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84" w:rsidRPr="00C40BD9" w:rsidRDefault="00245984" w:rsidP="00A82FB4">
      <w:pPr>
        <w:spacing w:after="0" w:line="240" w:lineRule="auto"/>
        <w:jc w:val="center"/>
        <w:rPr>
          <w:rFonts w:ascii="Verdana" w:eastAsia="Times New Roman" w:hAnsi="Verdana" w:cs="Verdana"/>
          <w:b/>
          <w:bCs/>
          <w:caps/>
          <w:snapToGrid w:val="0"/>
          <w:sz w:val="20"/>
          <w:szCs w:val="20"/>
          <w:lang w:val="pt-BR" w:eastAsia="es-ES"/>
        </w:rPr>
      </w:pPr>
    </w:p>
    <w:p w:rsidR="00245984" w:rsidRPr="00C40BD9" w:rsidRDefault="00245984" w:rsidP="00A82FB4">
      <w:pPr>
        <w:spacing w:after="0" w:line="240" w:lineRule="auto"/>
        <w:jc w:val="center"/>
        <w:rPr>
          <w:rFonts w:ascii="Verdana" w:eastAsia="Times New Roman" w:hAnsi="Verdana" w:cs="Verdana"/>
          <w:b/>
          <w:bCs/>
          <w:caps/>
          <w:snapToGrid w:val="0"/>
          <w:sz w:val="20"/>
          <w:szCs w:val="20"/>
          <w:lang w:val="pt-BR" w:eastAsia="es-ES"/>
        </w:rPr>
      </w:pPr>
    </w:p>
    <w:p w:rsidR="00245984" w:rsidRPr="00C40BD9" w:rsidRDefault="00245984" w:rsidP="00A82FB4">
      <w:pPr>
        <w:spacing w:after="0" w:line="240" w:lineRule="auto"/>
        <w:jc w:val="center"/>
        <w:rPr>
          <w:rFonts w:ascii="Verdana" w:eastAsia="Times New Roman" w:hAnsi="Verdana" w:cs="Verdana"/>
          <w:b/>
          <w:bCs/>
          <w:caps/>
          <w:snapToGrid w:val="0"/>
          <w:sz w:val="20"/>
          <w:szCs w:val="20"/>
          <w:lang w:val="pt-BR" w:eastAsia="es-ES"/>
        </w:rPr>
      </w:pPr>
    </w:p>
    <w:p w:rsidR="00245984" w:rsidRDefault="00245984" w:rsidP="003F10C1">
      <w:pPr>
        <w:spacing w:after="0" w:line="240" w:lineRule="auto"/>
        <w:rPr>
          <w:rFonts w:ascii="Verdana" w:eastAsia="Times New Roman" w:hAnsi="Verdana" w:cs="Verdana"/>
          <w:b/>
          <w:bCs/>
          <w:caps/>
          <w:snapToGrid w:val="0"/>
          <w:sz w:val="20"/>
          <w:szCs w:val="20"/>
          <w:lang w:val="pt-BR" w:eastAsia="es-ES"/>
        </w:rPr>
      </w:pPr>
    </w:p>
    <w:p w:rsidR="003F10C1" w:rsidRDefault="003F10C1" w:rsidP="003F10C1">
      <w:pPr>
        <w:spacing w:after="0" w:line="240" w:lineRule="auto"/>
        <w:rPr>
          <w:rFonts w:ascii="Verdana" w:eastAsia="Times New Roman" w:hAnsi="Verdana" w:cs="Verdana"/>
          <w:b/>
          <w:bCs/>
          <w:caps/>
          <w:snapToGrid w:val="0"/>
          <w:sz w:val="20"/>
          <w:szCs w:val="20"/>
          <w:lang w:val="pt-BR" w:eastAsia="es-ES"/>
        </w:rPr>
      </w:pPr>
    </w:p>
    <w:p w:rsidR="003F10C1" w:rsidRDefault="003F10C1" w:rsidP="003F10C1">
      <w:pPr>
        <w:spacing w:after="0" w:line="240" w:lineRule="auto"/>
        <w:rPr>
          <w:rFonts w:ascii="Verdana" w:eastAsia="Times New Roman" w:hAnsi="Verdana" w:cs="Verdana"/>
          <w:b/>
          <w:bCs/>
          <w:caps/>
          <w:snapToGrid w:val="0"/>
          <w:sz w:val="20"/>
          <w:szCs w:val="20"/>
          <w:lang w:val="pt-BR" w:eastAsia="es-ES"/>
        </w:rPr>
      </w:pPr>
    </w:p>
    <w:p w:rsidR="003F10C1" w:rsidRPr="00C40BD9" w:rsidRDefault="003F10C1" w:rsidP="003F10C1">
      <w:pPr>
        <w:spacing w:after="0" w:line="240" w:lineRule="auto"/>
        <w:rPr>
          <w:rFonts w:ascii="Verdana" w:eastAsia="Times New Roman" w:hAnsi="Verdana" w:cs="Verdana"/>
          <w:b/>
          <w:bCs/>
          <w:caps/>
          <w:snapToGrid w:val="0"/>
          <w:sz w:val="20"/>
          <w:szCs w:val="20"/>
          <w:lang w:val="pt-BR" w:eastAsia="es-ES"/>
        </w:rPr>
      </w:pPr>
    </w:p>
    <w:p w:rsidR="00245984" w:rsidRPr="00C40BD9" w:rsidRDefault="00245984" w:rsidP="00A82FB4">
      <w:pPr>
        <w:spacing w:after="0" w:line="240" w:lineRule="auto"/>
        <w:jc w:val="center"/>
        <w:rPr>
          <w:rFonts w:ascii="Verdana" w:eastAsia="Times New Roman" w:hAnsi="Verdana" w:cs="Verdana"/>
          <w:b/>
          <w:bCs/>
          <w:caps/>
          <w:snapToGrid w:val="0"/>
          <w:sz w:val="20"/>
          <w:szCs w:val="20"/>
          <w:lang w:val="pt-BR" w:eastAsia="es-ES"/>
        </w:rPr>
      </w:pPr>
    </w:p>
    <w:p w:rsidR="00245984" w:rsidRPr="00C40BD9" w:rsidRDefault="00245984" w:rsidP="00A82FB4">
      <w:pPr>
        <w:spacing w:after="0" w:line="240" w:lineRule="auto"/>
        <w:jc w:val="center"/>
        <w:rPr>
          <w:rFonts w:ascii="Verdana" w:eastAsia="Times New Roman" w:hAnsi="Verdana" w:cs="Verdana"/>
          <w:b/>
          <w:bCs/>
          <w:caps/>
          <w:snapToGrid w:val="0"/>
          <w:sz w:val="20"/>
          <w:szCs w:val="20"/>
          <w:lang w:val="pt-BR" w:eastAsia="es-ES"/>
        </w:rPr>
      </w:pPr>
    </w:p>
    <w:p w:rsidR="0074017B" w:rsidRPr="00C40BD9" w:rsidRDefault="0074017B" w:rsidP="00A82FB4">
      <w:pPr>
        <w:spacing w:after="0" w:line="240" w:lineRule="auto"/>
        <w:jc w:val="center"/>
        <w:rPr>
          <w:rFonts w:ascii="Verdana" w:eastAsia="Times New Roman" w:hAnsi="Verdana" w:cs="Verdana"/>
          <w:b/>
          <w:bCs/>
          <w:caps/>
          <w:snapToGrid w:val="0"/>
          <w:sz w:val="20"/>
          <w:szCs w:val="20"/>
          <w:lang w:val="pt-BR" w:eastAsia="es-ES"/>
        </w:rPr>
      </w:pPr>
      <w:bookmarkStart w:id="0" w:name="_GoBack"/>
      <w:r w:rsidRPr="00C40BD9">
        <w:rPr>
          <w:rFonts w:ascii="Verdana" w:eastAsia="Times New Roman" w:hAnsi="Verdana" w:cs="Verdana"/>
          <w:b/>
          <w:bCs/>
          <w:caps/>
          <w:snapToGrid w:val="0"/>
          <w:sz w:val="20"/>
          <w:szCs w:val="20"/>
          <w:lang w:val="pt-BR" w:eastAsia="es-ES"/>
        </w:rPr>
        <w:t>Corte Interamericana de D</w:t>
      </w:r>
      <w:r w:rsidR="00F633DD" w:rsidRPr="00C40BD9">
        <w:rPr>
          <w:rFonts w:ascii="Verdana" w:eastAsia="Times New Roman" w:hAnsi="Verdana" w:cs="Verdana"/>
          <w:b/>
          <w:bCs/>
          <w:caps/>
          <w:snapToGrid w:val="0"/>
          <w:sz w:val="20"/>
          <w:szCs w:val="20"/>
          <w:lang w:val="pt-BR" w:eastAsia="es-ES"/>
        </w:rPr>
        <w:t xml:space="preserve">IREITOS </w:t>
      </w:r>
      <w:r w:rsidRPr="00C40BD9">
        <w:rPr>
          <w:rFonts w:ascii="Verdana" w:eastAsia="Times New Roman" w:hAnsi="Verdana" w:cs="Verdana"/>
          <w:b/>
          <w:bCs/>
          <w:caps/>
          <w:snapToGrid w:val="0"/>
          <w:sz w:val="20"/>
          <w:szCs w:val="20"/>
          <w:lang w:val="pt-BR" w:eastAsia="es-ES"/>
        </w:rPr>
        <w:t>Humanos</w:t>
      </w:r>
    </w:p>
    <w:bookmarkEnd w:id="0"/>
    <w:p w:rsidR="0074017B" w:rsidRPr="00C40BD9" w:rsidRDefault="0074017B" w:rsidP="00A82FB4">
      <w:pPr>
        <w:spacing w:after="0" w:line="240" w:lineRule="auto"/>
        <w:jc w:val="center"/>
        <w:rPr>
          <w:rFonts w:ascii="Verdana" w:eastAsia="Times New Roman" w:hAnsi="Verdana" w:cs="Verdana"/>
          <w:b/>
          <w:bCs/>
          <w:caps/>
          <w:snapToGrid w:val="0"/>
          <w:sz w:val="20"/>
          <w:szCs w:val="20"/>
          <w:lang w:val="pt-BR" w:eastAsia="es-ES"/>
        </w:rPr>
      </w:pPr>
    </w:p>
    <w:p w:rsidR="0074017B" w:rsidRPr="00C40BD9" w:rsidRDefault="0074017B" w:rsidP="00A82FB4">
      <w:pPr>
        <w:spacing w:after="0" w:line="240" w:lineRule="auto"/>
        <w:jc w:val="center"/>
        <w:rPr>
          <w:rFonts w:ascii="Verdana" w:eastAsia="Times New Roman" w:hAnsi="Verdana" w:cs="Verdana"/>
          <w:b/>
          <w:bCs/>
          <w:caps/>
          <w:snapToGrid w:val="0"/>
          <w:sz w:val="20"/>
          <w:szCs w:val="20"/>
          <w:lang w:val="pt-BR" w:eastAsia="es-ES"/>
        </w:rPr>
      </w:pPr>
      <w:r w:rsidRPr="00C40BD9">
        <w:rPr>
          <w:rFonts w:ascii="Verdana" w:eastAsia="Times New Roman" w:hAnsi="Verdana" w:cs="Verdana"/>
          <w:b/>
          <w:bCs/>
          <w:caps/>
          <w:snapToGrid w:val="0"/>
          <w:sz w:val="20"/>
          <w:szCs w:val="20"/>
          <w:lang w:val="pt-BR" w:eastAsia="es-ES"/>
        </w:rPr>
        <w:t>CASO FAVELA NOVA BRAS</w:t>
      </w:r>
      <w:r w:rsidR="00F633DD" w:rsidRPr="00C40BD9">
        <w:rPr>
          <w:rFonts w:ascii="Verdana" w:eastAsia="Times New Roman" w:hAnsi="Verdana" w:cs="Verdana"/>
          <w:b/>
          <w:bCs/>
          <w:caps/>
          <w:snapToGrid w:val="0"/>
          <w:sz w:val="20"/>
          <w:szCs w:val="20"/>
          <w:lang w:val="pt-BR" w:eastAsia="es-ES"/>
        </w:rPr>
        <w:t>Í</w:t>
      </w:r>
      <w:r w:rsidRPr="00C40BD9">
        <w:rPr>
          <w:rFonts w:ascii="Verdana" w:eastAsia="Times New Roman" w:hAnsi="Verdana" w:cs="Verdana"/>
          <w:b/>
          <w:bCs/>
          <w:caps/>
          <w:snapToGrid w:val="0"/>
          <w:sz w:val="20"/>
          <w:szCs w:val="20"/>
          <w:lang w:val="pt-BR" w:eastAsia="es-ES"/>
        </w:rPr>
        <w:t xml:space="preserve">LIA </w:t>
      </w:r>
      <w:r w:rsidRPr="00C40BD9">
        <w:rPr>
          <w:rFonts w:ascii="Verdana" w:eastAsia="Times New Roman" w:hAnsi="Verdana" w:cs="Verdana"/>
          <w:b/>
          <w:bCs/>
          <w:i/>
          <w:caps/>
          <w:snapToGrid w:val="0"/>
          <w:sz w:val="20"/>
          <w:szCs w:val="20"/>
          <w:lang w:val="pt-BR" w:eastAsia="es-ES"/>
        </w:rPr>
        <w:t>VS.</w:t>
      </w:r>
      <w:r w:rsidRPr="00C40BD9">
        <w:rPr>
          <w:rFonts w:ascii="Verdana" w:eastAsia="Times New Roman" w:hAnsi="Verdana" w:cs="Verdana"/>
          <w:b/>
          <w:bCs/>
          <w:caps/>
          <w:snapToGrid w:val="0"/>
          <w:sz w:val="20"/>
          <w:szCs w:val="20"/>
          <w:lang w:val="pt-BR" w:eastAsia="es-ES"/>
        </w:rPr>
        <w:t xml:space="preserve"> BRASIL</w:t>
      </w:r>
    </w:p>
    <w:p w:rsidR="0074017B" w:rsidRPr="00C40BD9" w:rsidRDefault="0074017B" w:rsidP="00A82FB4">
      <w:pPr>
        <w:spacing w:after="0" w:line="240" w:lineRule="auto"/>
        <w:jc w:val="center"/>
        <w:rPr>
          <w:rFonts w:ascii="Verdana" w:eastAsia="Times New Roman" w:hAnsi="Verdana" w:cs="Verdana"/>
          <w:b/>
          <w:bCs/>
          <w:snapToGrid w:val="0"/>
          <w:sz w:val="20"/>
          <w:szCs w:val="20"/>
          <w:lang w:val="pt-BR" w:eastAsia="es-ES"/>
        </w:rPr>
      </w:pPr>
    </w:p>
    <w:p w:rsidR="0074017B" w:rsidRPr="00C40BD9" w:rsidRDefault="0074017B" w:rsidP="00A82FB4">
      <w:pPr>
        <w:spacing w:after="0" w:line="240" w:lineRule="auto"/>
        <w:jc w:val="center"/>
        <w:rPr>
          <w:rFonts w:ascii="Verdana" w:eastAsia="Times New Roman" w:hAnsi="Verdana" w:cs="Verdana"/>
          <w:b/>
          <w:bCs/>
          <w:snapToGrid w:val="0"/>
          <w:sz w:val="20"/>
          <w:szCs w:val="20"/>
          <w:lang w:val="pt-BR" w:eastAsia="es-ES"/>
        </w:rPr>
      </w:pPr>
      <w:r w:rsidRPr="00C40BD9">
        <w:rPr>
          <w:rFonts w:ascii="Verdana" w:eastAsia="Times New Roman" w:hAnsi="Verdana" w:cs="Verdana"/>
          <w:b/>
          <w:bCs/>
          <w:snapToGrid w:val="0"/>
          <w:sz w:val="20"/>
          <w:szCs w:val="20"/>
          <w:lang w:val="pt-BR" w:eastAsia="es-ES"/>
        </w:rPr>
        <w:t>SENTEN</w:t>
      </w:r>
      <w:r w:rsidR="00F633DD" w:rsidRPr="00C40BD9">
        <w:rPr>
          <w:rFonts w:ascii="Verdana" w:eastAsia="Times New Roman" w:hAnsi="Verdana" w:cs="Verdana"/>
          <w:b/>
          <w:bCs/>
          <w:snapToGrid w:val="0"/>
          <w:sz w:val="20"/>
          <w:szCs w:val="20"/>
          <w:lang w:val="pt-BR" w:eastAsia="es-ES"/>
        </w:rPr>
        <w:t>Ç</w:t>
      </w:r>
      <w:r w:rsidRPr="00C40BD9">
        <w:rPr>
          <w:rFonts w:ascii="Verdana" w:eastAsia="Times New Roman" w:hAnsi="Verdana" w:cs="Verdana"/>
          <w:b/>
          <w:bCs/>
          <w:snapToGrid w:val="0"/>
          <w:sz w:val="20"/>
          <w:szCs w:val="20"/>
          <w:lang w:val="pt-BR" w:eastAsia="es-ES"/>
        </w:rPr>
        <w:t xml:space="preserve">A DE </w:t>
      </w:r>
      <w:r w:rsidR="00591F77" w:rsidRPr="00C40BD9">
        <w:rPr>
          <w:rFonts w:ascii="Verdana" w:eastAsia="Times New Roman" w:hAnsi="Verdana" w:cs="Verdana"/>
          <w:b/>
          <w:bCs/>
          <w:snapToGrid w:val="0"/>
          <w:sz w:val="20"/>
          <w:szCs w:val="20"/>
          <w:lang w:val="pt-BR" w:eastAsia="es-ES"/>
        </w:rPr>
        <w:t xml:space="preserve">5 </w:t>
      </w:r>
      <w:r w:rsidR="006209CF" w:rsidRPr="00C40BD9">
        <w:rPr>
          <w:rFonts w:ascii="Verdana" w:eastAsia="Times New Roman" w:hAnsi="Verdana" w:cs="Verdana"/>
          <w:b/>
          <w:bCs/>
          <w:snapToGrid w:val="0"/>
          <w:sz w:val="20"/>
          <w:szCs w:val="20"/>
          <w:lang w:val="pt-BR" w:eastAsia="es-ES"/>
        </w:rPr>
        <w:t xml:space="preserve">DE </w:t>
      </w:r>
      <w:r w:rsidR="00F633DD" w:rsidRPr="00C40BD9">
        <w:rPr>
          <w:rFonts w:ascii="Verdana" w:eastAsia="Times New Roman" w:hAnsi="Verdana" w:cs="Verdana"/>
          <w:b/>
          <w:bCs/>
          <w:snapToGrid w:val="0"/>
          <w:sz w:val="20"/>
          <w:szCs w:val="20"/>
          <w:lang w:val="pt-BR" w:eastAsia="es-ES"/>
        </w:rPr>
        <w:t xml:space="preserve">FEVEREIRO </w:t>
      </w:r>
      <w:r w:rsidR="006209CF" w:rsidRPr="00C40BD9">
        <w:rPr>
          <w:rFonts w:ascii="Verdana" w:eastAsia="Times New Roman" w:hAnsi="Verdana" w:cs="Verdana"/>
          <w:b/>
          <w:bCs/>
          <w:snapToGrid w:val="0"/>
          <w:sz w:val="20"/>
          <w:szCs w:val="20"/>
          <w:lang w:val="pt-BR" w:eastAsia="es-ES"/>
        </w:rPr>
        <w:t>DE 2018</w:t>
      </w:r>
    </w:p>
    <w:p w:rsidR="003046E3" w:rsidRPr="00C40BD9" w:rsidRDefault="003046E3" w:rsidP="00A82FB4">
      <w:pPr>
        <w:spacing w:after="0" w:line="240" w:lineRule="auto"/>
        <w:jc w:val="center"/>
        <w:rPr>
          <w:rFonts w:ascii="Verdana" w:eastAsia="Times New Roman" w:hAnsi="Verdana"/>
          <w:b/>
          <w:bCs/>
          <w:caps/>
          <w:snapToGrid w:val="0"/>
          <w:sz w:val="20"/>
          <w:szCs w:val="20"/>
          <w:lang w:val="pt-BR" w:eastAsia="es-ES"/>
        </w:rPr>
      </w:pPr>
    </w:p>
    <w:p w:rsidR="00753AB6" w:rsidRPr="00C40BD9" w:rsidRDefault="0074017B" w:rsidP="00A82FB4">
      <w:pPr>
        <w:spacing w:after="0" w:line="240" w:lineRule="auto"/>
        <w:jc w:val="center"/>
        <w:rPr>
          <w:rFonts w:ascii="Verdana" w:eastAsia="Times New Roman" w:hAnsi="Verdana" w:cs="Verdana"/>
          <w:b/>
          <w:bCs/>
          <w:i/>
          <w:iCs/>
          <w:snapToGrid w:val="0"/>
          <w:sz w:val="20"/>
          <w:szCs w:val="20"/>
          <w:lang w:val="pt-BR" w:eastAsia="es-ES"/>
        </w:rPr>
      </w:pPr>
      <w:r w:rsidRPr="00C40BD9">
        <w:rPr>
          <w:rFonts w:ascii="Verdana" w:eastAsia="Times New Roman" w:hAnsi="Verdana" w:cs="Verdana"/>
          <w:b/>
          <w:bCs/>
          <w:i/>
          <w:iCs/>
          <w:snapToGrid w:val="0"/>
          <w:sz w:val="20"/>
          <w:szCs w:val="20"/>
          <w:lang w:val="pt-BR" w:eastAsia="es-ES"/>
        </w:rPr>
        <w:t>(Interpreta</w:t>
      </w:r>
      <w:r w:rsidR="00F633DD" w:rsidRPr="00C40BD9">
        <w:rPr>
          <w:rFonts w:ascii="Verdana" w:eastAsia="Times New Roman" w:hAnsi="Verdana" w:cs="Verdana"/>
          <w:b/>
          <w:bCs/>
          <w:i/>
          <w:iCs/>
          <w:snapToGrid w:val="0"/>
          <w:sz w:val="20"/>
          <w:szCs w:val="20"/>
          <w:lang w:val="pt-BR" w:eastAsia="es-ES"/>
        </w:rPr>
        <w:t xml:space="preserve">ção da Sentença </w:t>
      </w:r>
      <w:r w:rsidRPr="00C40BD9">
        <w:rPr>
          <w:rFonts w:ascii="Verdana" w:eastAsia="Times New Roman" w:hAnsi="Verdana" w:cs="Verdana"/>
          <w:b/>
          <w:bCs/>
          <w:i/>
          <w:iCs/>
          <w:snapToGrid w:val="0"/>
          <w:sz w:val="20"/>
          <w:szCs w:val="20"/>
          <w:lang w:val="pt-BR" w:eastAsia="es-ES"/>
        </w:rPr>
        <w:t>de Exce</w:t>
      </w:r>
      <w:r w:rsidR="00F633DD" w:rsidRPr="00C40BD9">
        <w:rPr>
          <w:rFonts w:ascii="Verdana" w:eastAsia="Times New Roman" w:hAnsi="Verdana" w:cs="Verdana"/>
          <w:b/>
          <w:bCs/>
          <w:i/>
          <w:iCs/>
          <w:snapToGrid w:val="0"/>
          <w:sz w:val="20"/>
          <w:szCs w:val="20"/>
          <w:lang w:val="pt-BR" w:eastAsia="es-ES"/>
        </w:rPr>
        <w:t xml:space="preserve">ções </w:t>
      </w:r>
      <w:r w:rsidRPr="00C40BD9">
        <w:rPr>
          <w:rFonts w:ascii="Verdana" w:eastAsia="Times New Roman" w:hAnsi="Verdana" w:cs="Verdana"/>
          <w:b/>
          <w:bCs/>
          <w:i/>
          <w:iCs/>
          <w:snapToGrid w:val="0"/>
          <w:sz w:val="20"/>
          <w:szCs w:val="20"/>
          <w:lang w:val="pt-BR" w:eastAsia="es-ES"/>
        </w:rPr>
        <w:t xml:space="preserve">Preliminares, </w:t>
      </w:r>
    </w:p>
    <w:p w:rsidR="0074017B" w:rsidRPr="00C40BD9" w:rsidRDefault="00F633DD" w:rsidP="00A82FB4">
      <w:pPr>
        <w:spacing w:after="0" w:line="240" w:lineRule="auto"/>
        <w:jc w:val="center"/>
        <w:rPr>
          <w:rFonts w:ascii="Verdana" w:hAnsi="Verdana"/>
          <w:b/>
          <w:i/>
          <w:caps/>
          <w:snapToGrid w:val="0"/>
          <w:sz w:val="20"/>
          <w:szCs w:val="20"/>
          <w:lang w:val="pt-BR"/>
        </w:rPr>
      </w:pPr>
      <w:r w:rsidRPr="00C40BD9">
        <w:rPr>
          <w:rFonts w:ascii="Verdana" w:eastAsia="Times New Roman" w:hAnsi="Verdana" w:cs="Verdana"/>
          <w:b/>
          <w:bCs/>
          <w:i/>
          <w:iCs/>
          <w:snapToGrid w:val="0"/>
          <w:sz w:val="20"/>
          <w:szCs w:val="20"/>
          <w:lang w:val="pt-BR" w:eastAsia="es-ES"/>
        </w:rPr>
        <w:t>Mérito</w:t>
      </w:r>
      <w:r w:rsidR="0074017B" w:rsidRPr="00C40BD9">
        <w:rPr>
          <w:rFonts w:ascii="Verdana" w:eastAsia="Times New Roman" w:hAnsi="Verdana" w:cs="Verdana"/>
          <w:b/>
          <w:bCs/>
          <w:i/>
          <w:iCs/>
          <w:snapToGrid w:val="0"/>
          <w:sz w:val="20"/>
          <w:szCs w:val="20"/>
          <w:lang w:val="pt-BR" w:eastAsia="es-ES"/>
        </w:rPr>
        <w:t>, Repara</w:t>
      </w:r>
      <w:r w:rsidRPr="00C40BD9">
        <w:rPr>
          <w:rFonts w:ascii="Verdana" w:eastAsia="Times New Roman" w:hAnsi="Verdana" w:cs="Verdana"/>
          <w:b/>
          <w:bCs/>
          <w:i/>
          <w:iCs/>
          <w:snapToGrid w:val="0"/>
          <w:sz w:val="20"/>
          <w:szCs w:val="20"/>
          <w:lang w:val="pt-BR" w:eastAsia="es-ES"/>
        </w:rPr>
        <w:t xml:space="preserve">ções e </w:t>
      </w:r>
      <w:r w:rsidR="0074017B" w:rsidRPr="00C40BD9">
        <w:rPr>
          <w:rFonts w:ascii="Verdana" w:eastAsia="Times New Roman" w:hAnsi="Verdana" w:cs="Verdana"/>
          <w:b/>
          <w:bCs/>
          <w:i/>
          <w:iCs/>
          <w:snapToGrid w:val="0"/>
          <w:sz w:val="20"/>
          <w:szCs w:val="20"/>
          <w:lang w:val="pt-BR" w:eastAsia="es-ES"/>
        </w:rPr>
        <w:t>C</w:t>
      </w:r>
      <w:r w:rsidRPr="00C40BD9">
        <w:rPr>
          <w:rFonts w:ascii="Verdana" w:eastAsia="Times New Roman" w:hAnsi="Verdana" w:cs="Verdana"/>
          <w:b/>
          <w:bCs/>
          <w:i/>
          <w:iCs/>
          <w:snapToGrid w:val="0"/>
          <w:sz w:val="20"/>
          <w:szCs w:val="20"/>
          <w:lang w:val="pt-BR" w:eastAsia="es-ES"/>
        </w:rPr>
        <w:t>u</w:t>
      </w:r>
      <w:r w:rsidR="0074017B" w:rsidRPr="00C40BD9">
        <w:rPr>
          <w:rFonts w:ascii="Verdana" w:eastAsia="Times New Roman" w:hAnsi="Verdana" w:cs="Verdana"/>
          <w:b/>
          <w:bCs/>
          <w:i/>
          <w:iCs/>
          <w:snapToGrid w:val="0"/>
          <w:sz w:val="20"/>
          <w:szCs w:val="20"/>
          <w:lang w:val="pt-BR" w:eastAsia="es-ES"/>
        </w:rPr>
        <w:t>stas</w:t>
      </w:r>
      <w:r w:rsidR="0074017B" w:rsidRPr="00C40BD9">
        <w:rPr>
          <w:rFonts w:ascii="Verdana" w:hAnsi="Verdana"/>
          <w:b/>
          <w:i/>
          <w:caps/>
          <w:snapToGrid w:val="0"/>
          <w:sz w:val="20"/>
          <w:szCs w:val="20"/>
          <w:lang w:val="pt-BR"/>
        </w:rPr>
        <w:t>)</w:t>
      </w:r>
    </w:p>
    <w:p w:rsidR="0074017B" w:rsidRPr="00C40BD9" w:rsidRDefault="0074017B" w:rsidP="00A82FB4">
      <w:pPr>
        <w:spacing w:after="0" w:line="240" w:lineRule="auto"/>
        <w:jc w:val="center"/>
        <w:rPr>
          <w:rFonts w:ascii="Verdana" w:hAnsi="Verdana"/>
          <w:b/>
          <w:i/>
          <w:caps/>
          <w:snapToGrid w:val="0"/>
          <w:sz w:val="20"/>
          <w:szCs w:val="20"/>
          <w:lang w:val="pt-BR"/>
        </w:rPr>
      </w:pPr>
    </w:p>
    <w:p w:rsidR="0074017B" w:rsidRPr="00C40BD9" w:rsidRDefault="0074017B" w:rsidP="00A82FB4">
      <w:pPr>
        <w:spacing w:after="0" w:line="240" w:lineRule="auto"/>
        <w:jc w:val="center"/>
        <w:rPr>
          <w:rFonts w:ascii="Verdana" w:eastAsia="Times New Roman" w:hAnsi="Verdana"/>
          <w:sz w:val="20"/>
          <w:szCs w:val="20"/>
          <w:lang w:val="pt-BR"/>
        </w:rPr>
      </w:pPr>
    </w:p>
    <w:p w:rsidR="0074017B" w:rsidRPr="00C40BD9" w:rsidRDefault="0074017B" w:rsidP="00A82FB4">
      <w:pPr>
        <w:spacing w:after="0" w:line="240" w:lineRule="auto"/>
        <w:jc w:val="both"/>
        <w:rPr>
          <w:rFonts w:ascii="Verdana" w:eastAsia="Times New Roman" w:hAnsi="Verdana"/>
          <w:sz w:val="20"/>
          <w:szCs w:val="20"/>
          <w:lang w:val="pt-BR"/>
        </w:rPr>
      </w:pPr>
    </w:p>
    <w:p w:rsidR="0074017B" w:rsidRPr="00C40BD9" w:rsidRDefault="00F633DD" w:rsidP="00A82FB4">
      <w:pPr>
        <w:spacing w:after="0" w:line="240" w:lineRule="auto"/>
        <w:jc w:val="both"/>
        <w:rPr>
          <w:rFonts w:ascii="Verdana" w:hAnsi="Verdana"/>
          <w:sz w:val="20"/>
          <w:szCs w:val="20"/>
          <w:lang w:val="pt-BR"/>
        </w:rPr>
      </w:pPr>
      <w:r w:rsidRPr="00C40BD9">
        <w:rPr>
          <w:rFonts w:ascii="Verdana" w:hAnsi="Verdana"/>
          <w:sz w:val="20"/>
          <w:szCs w:val="20"/>
          <w:lang w:val="pt-BR"/>
        </w:rPr>
        <w:t>No C</w:t>
      </w:r>
      <w:r w:rsidR="0074017B" w:rsidRPr="00C40BD9">
        <w:rPr>
          <w:rFonts w:ascii="Verdana" w:hAnsi="Verdana"/>
          <w:sz w:val="20"/>
          <w:szCs w:val="20"/>
          <w:lang w:val="pt-BR"/>
        </w:rPr>
        <w:t xml:space="preserve">aso </w:t>
      </w:r>
      <w:r w:rsidR="0074017B" w:rsidRPr="00C40BD9">
        <w:rPr>
          <w:rFonts w:ascii="Verdana" w:hAnsi="Verdana"/>
          <w:i/>
          <w:sz w:val="20"/>
          <w:szCs w:val="20"/>
          <w:lang w:val="pt-BR"/>
        </w:rPr>
        <w:t>Favela Nova Bras</w:t>
      </w:r>
      <w:r w:rsidRPr="00C40BD9">
        <w:rPr>
          <w:rFonts w:ascii="Verdana" w:hAnsi="Verdana"/>
          <w:i/>
          <w:sz w:val="20"/>
          <w:szCs w:val="20"/>
          <w:lang w:val="pt-BR"/>
        </w:rPr>
        <w:t>í</w:t>
      </w:r>
      <w:r w:rsidR="0074017B" w:rsidRPr="00C40BD9">
        <w:rPr>
          <w:rFonts w:ascii="Verdana" w:hAnsi="Verdana"/>
          <w:i/>
          <w:sz w:val="20"/>
          <w:szCs w:val="20"/>
          <w:lang w:val="pt-BR"/>
        </w:rPr>
        <w:t>lia</w:t>
      </w:r>
      <w:r w:rsidR="0074017B" w:rsidRPr="00C40BD9">
        <w:rPr>
          <w:rFonts w:ascii="Verdana" w:hAnsi="Verdana"/>
          <w:sz w:val="20"/>
          <w:szCs w:val="20"/>
          <w:lang w:val="pt-BR"/>
        </w:rPr>
        <w:t>,</w:t>
      </w:r>
    </w:p>
    <w:p w:rsidR="0074017B" w:rsidRPr="00C40BD9" w:rsidRDefault="0074017B" w:rsidP="00A82FB4">
      <w:pPr>
        <w:spacing w:after="0" w:line="240" w:lineRule="auto"/>
        <w:jc w:val="both"/>
        <w:rPr>
          <w:rFonts w:ascii="Verdana" w:hAnsi="Verdana"/>
          <w:sz w:val="20"/>
          <w:szCs w:val="20"/>
          <w:lang w:val="pt-BR"/>
        </w:rPr>
      </w:pPr>
    </w:p>
    <w:p w:rsidR="0074017B" w:rsidRPr="00C40BD9" w:rsidRDefault="0074017B" w:rsidP="00A82FB4">
      <w:pPr>
        <w:spacing w:after="0" w:line="240" w:lineRule="auto"/>
        <w:jc w:val="both"/>
        <w:rPr>
          <w:rFonts w:ascii="Verdana" w:hAnsi="Verdana"/>
          <w:sz w:val="20"/>
          <w:szCs w:val="20"/>
          <w:lang w:val="pt-BR"/>
        </w:rPr>
      </w:pPr>
      <w:r w:rsidRPr="00C40BD9">
        <w:rPr>
          <w:rFonts w:ascii="Verdana" w:hAnsi="Verdana"/>
          <w:sz w:val="20"/>
          <w:szCs w:val="20"/>
          <w:lang w:val="pt-BR"/>
        </w:rPr>
        <w:t xml:space="preserve">a Corte Interamericana de </w:t>
      </w:r>
      <w:r w:rsidR="00F633DD" w:rsidRPr="00C40BD9">
        <w:rPr>
          <w:rFonts w:ascii="Verdana" w:hAnsi="Verdana"/>
          <w:sz w:val="20"/>
          <w:szCs w:val="20"/>
          <w:lang w:val="pt-BR"/>
        </w:rPr>
        <w:t>Direitos</w:t>
      </w:r>
      <w:r w:rsidR="00DE316A">
        <w:rPr>
          <w:rFonts w:ascii="Verdana" w:hAnsi="Verdana"/>
          <w:sz w:val="20"/>
          <w:szCs w:val="20"/>
          <w:lang w:val="pt-BR"/>
        </w:rPr>
        <w:t xml:space="preserve"> </w:t>
      </w:r>
      <w:r w:rsidRPr="00C40BD9">
        <w:rPr>
          <w:rFonts w:ascii="Verdana" w:hAnsi="Verdana"/>
          <w:sz w:val="20"/>
          <w:szCs w:val="20"/>
          <w:lang w:val="pt-BR"/>
        </w:rPr>
        <w:t>Humanos (</w:t>
      </w:r>
      <w:r w:rsidR="00F633DD" w:rsidRPr="00C40BD9">
        <w:rPr>
          <w:rFonts w:ascii="Verdana" w:hAnsi="Verdana"/>
          <w:sz w:val="20"/>
          <w:szCs w:val="20"/>
          <w:lang w:val="pt-BR"/>
        </w:rPr>
        <w:t xml:space="preserve">doravante denominada </w:t>
      </w:r>
      <w:r w:rsidRPr="00C40BD9">
        <w:rPr>
          <w:rFonts w:ascii="Verdana" w:hAnsi="Verdana"/>
          <w:sz w:val="20"/>
          <w:szCs w:val="20"/>
          <w:lang w:val="pt-BR"/>
        </w:rPr>
        <w:t>“Corte Interamericana”, “Corte” o</w:t>
      </w:r>
      <w:r w:rsidR="00F633DD" w:rsidRPr="00C40BD9">
        <w:rPr>
          <w:rFonts w:ascii="Verdana" w:hAnsi="Verdana"/>
          <w:sz w:val="20"/>
          <w:szCs w:val="20"/>
          <w:lang w:val="pt-BR"/>
        </w:rPr>
        <w:t>u</w:t>
      </w:r>
      <w:r w:rsidRPr="00C40BD9">
        <w:rPr>
          <w:rFonts w:ascii="Verdana" w:hAnsi="Verdana"/>
          <w:sz w:val="20"/>
          <w:szCs w:val="20"/>
          <w:lang w:val="pt-BR"/>
        </w:rPr>
        <w:t xml:space="preserve"> “Tribunal”), </w:t>
      </w:r>
      <w:r w:rsidR="00F633DD" w:rsidRPr="00C40BD9">
        <w:rPr>
          <w:rFonts w:ascii="Verdana" w:hAnsi="Verdana"/>
          <w:sz w:val="20"/>
          <w:szCs w:val="20"/>
          <w:lang w:val="pt-BR"/>
        </w:rPr>
        <w:t>assim constituída:</w:t>
      </w:r>
      <w:r w:rsidRPr="00C40BD9">
        <w:rPr>
          <w:rStyle w:val="FootnoteReference"/>
          <w:lang w:val="pt-BR"/>
        </w:rPr>
        <w:footnoteReference w:id="1"/>
      </w:r>
    </w:p>
    <w:p w:rsidR="0074017B" w:rsidRPr="00C40BD9" w:rsidRDefault="0074017B" w:rsidP="00A82FB4">
      <w:pPr>
        <w:spacing w:after="0" w:line="240" w:lineRule="auto"/>
        <w:jc w:val="both"/>
        <w:rPr>
          <w:rFonts w:ascii="Verdana" w:hAnsi="Verdana"/>
          <w:color w:val="00B0F0"/>
          <w:sz w:val="20"/>
          <w:szCs w:val="20"/>
          <w:lang w:val="pt-BR"/>
        </w:rPr>
      </w:pPr>
    </w:p>
    <w:p w:rsidR="0074017B" w:rsidRPr="00C40BD9" w:rsidRDefault="0074017B" w:rsidP="00A82FB4">
      <w:pPr>
        <w:spacing w:after="0" w:line="240" w:lineRule="auto"/>
        <w:jc w:val="both"/>
        <w:rPr>
          <w:rFonts w:ascii="Verdana" w:hAnsi="Verdana"/>
          <w:sz w:val="20"/>
          <w:szCs w:val="20"/>
          <w:lang w:val="pt-BR"/>
        </w:rPr>
      </w:pPr>
      <w:r w:rsidRPr="00C40BD9">
        <w:rPr>
          <w:rFonts w:ascii="Verdana" w:hAnsi="Verdana"/>
          <w:sz w:val="20"/>
          <w:szCs w:val="20"/>
          <w:lang w:val="pt-BR"/>
        </w:rPr>
        <w:t>Eduardo Ferrer Mac-Gregor Poisot, Presidente;</w:t>
      </w:r>
    </w:p>
    <w:p w:rsidR="0074017B" w:rsidRPr="00C40BD9" w:rsidRDefault="0074017B" w:rsidP="00A82FB4">
      <w:pPr>
        <w:spacing w:after="0" w:line="240" w:lineRule="auto"/>
        <w:jc w:val="both"/>
        <w:rPr>
          <w:rFonts w:ascii="Verdana" w:hAnsi="Verdana"/>
          <w:sz w:val="20"/>
          <w:szCs w:val="20"/>
          <w:lang w:val="pt-BR"/>
        </w:rPr>
      </w:pPr>
      <w:r w:rsidRPr="00C40BD9">
        <w:rPr>
          <w:rFonts w:ascii="Verdana" w:hAnsi="Verdana"/>
          <w:sz w:val="20"/>
          <w:szCs w:val="20"/>
          <w:lang w:val="pt-BR"/>
        </w:rPr>
        <w:t>Eduardo Vio Grossi, Vice</w:t>
      </w:r>
      <w:r w:rsidR="00F633DD" w:rsidRPr="00C40BD9">
        <w:rPr>
          <w:rFonts w:ascii="Verdana" w:hAnsi="Verdana"/>
          <w:sz w:val="20"/>
          <w:szCs w:val="20"/>
          <w:lang w:val="pt-BR"/>
        </w:rPr>
        <w:t>-P</w:t>
      </w:r>
      <w:r w:rsidRPr="00C40BD9">
        <w:rPr>
          <w:rFonts w:ascii="Verdana" w:hAnsi="Verdana"/>
          <w:sz w:val="20"/>
          <w:szCs w:val="20"/>
          <w:lang w:val="pt-BR"/>
        </w:rPr>
        <w:t>residente;</w:t>
      </w:r>
    </w:p>
    <w:p w:rsidR="0074017B" w:rsidRPr="00C40BD9" w:rsidRDefault="0074017B" w:rsidP="00A82FB4">
      <w:pPr>
        <w:spacing w:after="0" w:line="240" w:lineRule="auto"/>
        <w:jc w:val="both"/>
        <w:rPr>
          <w:rFonts w:ascii="Verdana" w:hAnsi="Verdana"/>
          <w:sz w:val="20"/>
          <w:szCs w:val="20"/>
          <w:lang w:val="pt-BR"/>
        </w:rPr>
      </w:pPr>
      <w:r w:rsidRPr="00C40BD9">
        <w:rPr>
          <w:rFonts w:ascii="Verdana" w:hAnsi="Verdana"/>
          <w:sz w:val="20"/>
          <w:szCs w:val="20"/>
          <w:lang w:val="pt-BR"/>
        </w:rPr>
        <w:t xml:space="preserve">Humberto Antonio Sierra Porto, </w:t>
      </w:r>
      <w:r w:rsidR="00F633DD" w:rsidRPr="00C40BD9">
        <w:rPr>
          <w:rFonts w:ascii="Verdana" w:hAnsi="Verdana"/>
          <w:sz w:val="20"/>
          <w:szCs w:val="20"/>
          <w:lang w:val="pt-BR"/>
        </w:rPr>
        <w:t>Juiz</w:t>
      </w:r>
      <w:r w:rsidRPr="00C40BD9">
        <w:rPr>
          <w:rFonts w:ascii="Verdana" w:hAnsi="Verdana"/>
          <w:sz w:val="20"/>
          <w:szCs w:val="20"/>
          <w:lang w:val="pt-BR"/>
        </w:rPr>
        <w:t>;</w:t>
      </w:r>
    </w:p>
    <w:p w:rsidR="0074017B" w:rsidRPr="00C40BD9" w:rsidRDefault="0074017B" w:rsidP="00A82FB4">
      <w:pPr>
        <w:spacing w:after="0" w:line="240" w:lineRule="auto"/>
        <w:jc w:val="both"/>
        <w:rPr>
          <w:rFonts w:ascii="Verdana" w:hAnsi="Verdana"/>
          <w:sz w:val="20"/>
          <w:szCs w:val="20"/>
          <w:lang w:val="pt-BR"/>
        </w:rPr>
      </w:pPr>
      <w:r w:rsidRPr="00C40BD9">
        <w:rPr>
          <w:rFonts w:ascii="Verdana" w:hAnsi="Verdana"/>
          <w:sz w:val="20"/>
          <w:szCs w:val="20"/>
          <w:lang w:val="pt-BR"/>
        </w:rPr>
        <w:t>Elizabeth Odio Benito, Ju</w:t>
      </w:r>
      <w:r w:rsidR="00F633DD" w:rsidRPr="00C40BD9">
        <w:rPr>
          <w:rFonts w:ascii="Verdana" w:hAnsi="Verdana"/>
          <w:sz w:val="20"/>
          <w:szCs w:val="20"/>
          <w:lang w:val="pt-BR"/>
        </w:rPr>
        <w:t>í</w:t>
      </w:r>
      <w:r w:rsidRPr="00C40BD9">
        <w:rPr>
          <w:rFonts w:ascii="Verdana" w:hAnsi="Verdana"/>
          <w:sz w:val="20"/>
          <w:szCs w:val="20"/>
          <w:lang w:val="pt-BR"/>
        </w:rPr>
        <w:t>za;</w:t>
      </w:r>
    </w:p>
    <w:p w:rsidR="0074017B" w:rsidRPr="00C40BD9" w:rsidRDefault="0074017B" w:rsidP="00A82FB4">
      <w:pPr>
        <w:spacing w:after="0" w:line="240" w:lineRule="auto"/>
        <w:jc w:val="both"/>
        <w:rPr>
          <w:rFonts w:ascii="Verdana" w:hAnsi="Verdana"/>
          <w:sz w:val="20"/>
          <w:szCs w:val="20"/>
          <w:lang w:val="pt-BR"/>
        </w:rPr>
      </w:pPr>
      <w:r w:rsidRPr="00C40BD9">
        <w:rPr>
          <w:rFonts w:ascii="Verdana" w:hAnsi="Verdana"/>
          <w:sz w:val="20"/>
          <w:szCs w:val="20"/>
          <w:lang w:val="pt-BR"/>
        </w:rPr>
        <w:t xml:space="preserve">Eugenio Raúl Zaffaroni, </w:t>
      </w:r>
      <w:r w:rsidR="00F633DD" w:rsidRPr="00C40BD9">
        <w:rPr>
          <w:rFonts w:ascii="Verdana" w:hAnsi="Verdana"/>
          <w:sz w:val="20"/>
          <w:szCs w:val="20"/>
          <w:lang w:val="pt-BR"/>
        </w:rPr>
        <w:t>Juiz;</w:t>
      </w:r>
      <w:r w:rsidRPr="00C40BD9">
        <w:rPr>
          <w:rFonts w:ascii="Verdana" w:hAnsi="Verdana"/>
          <w:sz w:val="20"/>
          <w:szCs w:val="20"/>
          <w:lang w:val="pt-BR"/>
        </w:rPr>
        <w:t xml:space="preserve"> </w:t>
      </w:r>
      <w:r w:rsidR="00F633DD" w:rsidRPr="00C40BD9">
        <w:rPr>
          <w:rFonts w:ascii="Verdana" w:hAnsi="Verdana"/>
          <w:sz w:val="20"/>
          <w:szCs w:val="20"/>
          <w:lang w:val="pt-BR"/>
        </w:rPr>
        <w:t>e</w:t>
      </w:r>
    </w:p>
    <w:p w:rsidR="0074017B" w:rsidRPr="00C40BD9" w:rsidRDefault="0074017B" w:rsidP="00A82FB4">
      <w:pPr>
        <w:spacing w:after="0" w:line="240" w:lineRule="auto"/>
        <w:jc w:val="both"/>
        <w:rPr>
          <w:rFonts w:ascii="Verdana" w:hAnsi="Verdana"/>
          <w:sz w:val="20"/>
          <w:szCs w:val="20"/>
          <w:lang w:val="pt-BR"/>
        </w:rPr>
      </w:pPr>
      <w:r w:rsidRPr="00C40BD9">
        <w:rPr>
          <w:rFonts w:ascii="Verdana" w:hAnsi="Verdana"/>
          <w:sz w:val="20"/>
          <w:szCs w:val="20"/>
          <w:lang w:val="pt-BR"/>
        </w:rPr>
        <w:t xml:space="preserve">L. Patricio Pazmiño Freire, </w:t>
      </w:r>
      <w:r w:rsidR="00F633DD" w:rsidRPr="00C40BD9">
        <w:rPr>
          <w:rFonts w:ascii="Verdana" w:hAnsi="Verdana"/>
          <w:sz w:val="20"/>
          <w:szCs w:val="20"/>
          <w:lang w:val="pt-BR"/>
        </w:rPr>
        <w:t>Juiz</w:t>
      </w:r>
      <w:r w:rsidRPr="00C40BD9">
        <w:rPr>
          <w:rFonts w:ascii="Verdana" w:hAnsi="Verdana"/>
          <w:sz w:val="20"/>
          <w:szCs w:val="20"/>
          <w:lang w:val="pt-BR"/>
        </w:rPr>
        <w:t xml:space="preserve">; </w:t>
      </w:r>
    </w:p>
    <w:p w:rsidR="0074017B" w:rsidRPr="00C40BD9" w:rsidRDefault="0074017B" w:rsidP="00A82FB4">
      <w:pPr>
        <w:spacing w:after="0" w:line="240" w:lineRule="auto"/>
        <w:jc w:val="both"/>
        <w:rPr>
          <w:rFonts w:ascii="Verdana" w:hAnsi="Verdana"/>
          <w:sz w:val="20"/>
          <w:szCs w:val="20"/>
          <w:lang w:val="pt-BR"/>
        </w:rPr>
      </w:pPr>
    </w:p>
    <w:p w:rsidR="0074017B" w:rsidRPr="00C40BD9" w:rsidRDefault="0074017B" w:rsidP="00A82FB4">
      <w:pPr>
        <w:spacing w:after="0" w:line="240" w:lineRule="auto"/>
        <w:jc w:val="both"/>
        <w:rPr>
          <w:rFonts w:ascii="Verdana" w:hAnsi="Verdana"/>
          <w:sz w:val="20"/>
          <w:szCs w:val="20"/>
          <w:lang w:val="pt-BR"/>
        </w:rPr>
      </w:pPr>
      <w:r w:rsidRPr="00C40BD9">
        <w:rPr>
          <w:rFonts w:ascii="Verdana" w:hAnsi="Verdana"/>
          <w:sz w:val="20"/>
          <w:szCs w:val="20"/>
          <w:lang w:val="pt-BR"/>
        </w:rPr>
        <w:t>presente</w:t>
      </w:r>
      <w:r w:rsidR="006E3A35" w:rsidRPr="00C40BD9">
        <w:rPr>
          <w:rFonts w:ascii="Verdana" w:hAnsi="Verdana"/>
          <w:sz w:val="20"/>
          <w:szCs w:val="20"/>
          <w:lang w:val="pt-BR"/>
        </w:rPr>
        <w:t>s</w:t>
      </w:r>
      <w:r w:rsidRPr="00C40BD9">
        <w:rPr>
          <w:rFonts w:ascii="Verdana" w:hAnsi="Verdana"/>
          <w:sz w:val="20"/>
          <w:szCs w:val="20"/>
          <w:lang w:val="pt-BR"/>
        </w:rPr>
        <w:t xml:space="preserve">, </w:t>
      </w:r>
      <w:r w:rsidR="00F633DD" w:rsidRPr="00C40BD9">
        <w:rPr>
          <w:rFonts w:ascii="Verdana" w:hAnsi="Verdana"/>
          <w:sz w:val="20"/>
          <w:szCs w:val="20"/>
          <w:lang w:val="pt-BR"/>
        </w:rPr>
        <w:t>ademais</w:t>
      </w:r>
      <w:r w:rsidRPr="00C40BD9">
        <w:rPr>
          <w:rFonts w:ascii="Verdana" w:hAnsi="Verdana"/>
          <w:sz w:val="20"/>
          <w:szCs w:val="20"/>
          <w:lang w:val="pt-BR"/>
        </w:rPr>
        <w:t xml:space="preserve">, </w:t>
      </w:r>
    </w:p>
    <w:p w:rsidR="0074017B" w:rsidRPr="00C40BD9" w:rsidRDefault="0074017B" w:rsidP="00A82FB4">
      <w:pPr>
        <w:spacing w:after="0" w:line="240" w:lineRule="auto"/>
        <w:jc w:val="both"/>
        <w:rPr>
          <w:rFonts w:ascii="Verdana" w:hAnsi="Verdana"/>
          <w:sz w:val="20"/>
          <w:szCs w:val="20"/>
          <w:lang w:val="pt-BR"/>
        </w:rPr>
      </w:pPr>
    </w:p>
    <w:p w:rsidR="003046E3" w:rsidRPr="00C40BD9" w:rsidRDefault="0074017B" w:rsidP="00A82FB4">
      <w:pPr>
        <w:spacing w:after="0" w:line="240" w:lineRule="auto"/>
        <w:jc w:val="both"/>
        <w:rPr>
          <w:rFonts w:ascii="Verdana" w:hAnsi="Verdana"/>
          <w:sz w:val="20"/>
          <w:szCs w:val="20"/>
          <w:lang w:val="pt-BR"/>
        </w:rPr>
      </w:pPr>
      <w:r w:rsidRPr="00C40BD9">
        <w:rPr>
          <w:rFonts w:ascii="Verdana" w:hAnsi="Verdana"/>
          <w:sz w:val="20"/>
          <w:szCs w:val="20"/>
          <w:lang w:val="pt-BR"/>
        </w:rPr>
        <w:t>Pablo Saavedra Alessandri, Secret</w:t>
      </w:r>
      <w:r w:rsidR="00F633DD" w:rsidRPr="00C40BD9">
        <w:rPr>
          <w:rFonts w:ascii="Verdana" w:hAnsi="Verdana"/>
          <w:sz w:val="20"/>
          <w:szCs w:val="20"/>
          <w:lang w:val="pt-BR"/>
        </w:rPr>
        <w:t>á</w:t>
      </w:r>
      <w:r w:rsidRPr="00C40BD9">
        <w:rPr>
          <w:rFonts w:ascii="Verdana" w:hAnsi="Verdana"/>
          <w:sz w:val="20"/>
          <w:szCs w:val="20"/>
          <w:lang w:val="pt-BR"/>
        </w:rPr>
        <w:t>rio,</w:t>
      </w:r>
      <w:r w:rsidR="003046E3" w:rsidRPr="00C40BD9">
        <w:rPr>
          <w:rFonts w:ascii="Verdana" w:hAnsi="Verdana"/>
          <w:sz w:val="20"/>
          <w:szCs w:val="20"/>
          <w:lang w:val="pt-BR"/>
        </w:rPr>
        <w:t xml:space="preserve"> </w:t>
      </w:r>
      <w:r w:rsidR="00F633DD" w:rsidRPr="00C40BD9">
        <w:rPr>
          <w:rFonts w:ascii="Verdana" w:hAnsi="Verdana"/>
          <w:sz w:val="20"/>
          <w:szCs w:val="20"/>
          <w:lang w:val="pt-BR"/>
        </w:rPr>
        <w:t>e</w:t>
      </w:r>
      <w:r w:rsidR="003046E3" w:rsidRPr="00C40BD9">
        <w:rPr>
          <w:rFonts w:ascii="Verdana" w:hAnsi="Verdana"/>
          <w:sz w:val="20"/>
          <w:szCs w:val="20"/>
          <w:lang w:val="pt-BR"/>
        </w:rPr>
        <w:t xml:space="preserve"> </w:t>
      </w:r>
    </w:p>
    <w:p w:rsidR="003046E3" w:rsidRPr="00C40BD9" w:rsidRDefault="003046E3" w:rsidP="00A82FB4">
      <w:pPr>
        <w:spacing w:after="0" w:line="240" w:lineRule="auto"/>
        <w:jc w:val="both"/>
        <w:rPr>
          <w:rFonts w:ascii="Verdana" w:hAnsi="Verdana"/>
          <w:sz w:val="20"/>
          <w:szCs w:val="20"/>
          <w:lang w:val="pt-BR"/>
        </w:rPr>
      </w:pPr>
      <w:r w:rsidRPr="00C40BD9">
        <w:rPr>
          <w:rFonts w:ascii="Verdana" w:hAnsi="Verdana"/>
          <w:sz w:val="20"/>
          <w:szCs w:val="20"/>
          <w:lang w:val="pt-BR"/>
        </w:rPr>
        <w:t>Emilia Segares Rodríguez, Secret</w:t>
      </w:r>
      <w:r w:rsidR="00F633DD" w:rsidRPr="00C40BD9">
        <w:rPr>
          <w:rFonts w:ascii="Verdana" w:hAnsi="Verdana"/>
          <w:sz w:val="20"/>
          <w:szCs w:val="20"/>
          <w:lang w:val="pt-BR"/>
        </w:rPr>
        <w:t>á</w:t>
      </w:r>
      <w:r w:rsidRPr="00C40BD9">
        <w:rPr>
          <w:rFonts w:ascii="Verdana" w:hAnsi="Verdana"/>
          <w:sz w:val="20"/>
          <w:szCs w:val="20"/>
          <w:lang w:val="pt-BR"/>
        </w:rPr>
        <w:t>ria Adjunta,</w:t>
      </w:r>
    </w:p>
    <w:p w:rsidR="0074017B" w:rsidRPr="00C40BD9" w:rsidRDefault="0074017B" w:rsidP="00A82FB4">
      <w:pPr>
        <w:spacing w:after="0" w:line="240" w:lineRule="auto"/>
        <w:jc w:val="both"/>
        <w:rPr>
          <w:rFonts w:ascii="Verdana" w:hAnsi="Verdana"/>
          <w:color w:val="00B0F0"/>
          <w:sz w:val="20"/>
          <w:szCs w:val="20"/>
          <w:lang w:val="pt-BR"/>
        </w:rPr>
      </w:pPr>
    </w:p>
    <w:p w:rsidR="0074017B" w:rsidRPr="00C40BD9" w:rsidRDefault="00F633DD" w:rsidP="00A82FB4">
      <w:pPr>
        <w:spacing w:after="0" w:line="240" w:lineRule="auto"/>
        <w:jc w:val="both"/>
        <w:rPr>
          <w:rFonts w:ascii="Verdana" w:hAnsi="Verdana"/>
          <w:sz w:val="20"/>
          <w:szCs w:val="20"/>
          <w:lang w:val="pt-BR"/>
        </w:rPr>
      </w:pPr>
      <w:r w:rsidRPr="00C40BD9">
        <w:rPr>
          <w:rFonts w:ascii="Verdana" w:hAnsi="Verdana"/>
          <w:sz w:val="20"/>
          <w:szCs w:val="20"/>
          <w:lang w:val="pt-BR"/>
        </w:rPr>
        <w:t xml:space="preserve">em conformidade com o artigo </w:t>
      </w:r>
      <w:r w:rsidR="0074017B" w:rsidRPr="00C40BD9">
        <w:rPr>
          <w:rFonts w:ascii="Verdana" w:hAnsi="Verdana"/>
          <w:sz w:val="20"/>
          <w:szCs w:val="20"/>
          <w:lang w:val="pt-BR"/>
        </w:rPr>
        <w:t>67 da Conven</w:t>
      </w:r>
      <w:r w:rsidRPr="00C40BD9">
        <w:rPr>
          <w:rFonts w:ascii="Verdana" w:hAnsi="Verdana"/>
          <w:sz w:val="20"/>
          <w:szCs w:val="20"/>
          <w:lang w:val="pt-BR"/>
        </w:rPr>
        <w:t>ção</w:t>
      </w:r>
      <w:r w:rsidR="0074017B" w:rsidRPr="00C40BD9">
        <w:rPr>
          <w:rFonts w:ascii="Verdana" w:hAnsi="Verdana"/>
          <w:sz w:val="20"/>
          <w:szCs w:val="20"/>
          <w:lang w:val="pt-BR"/>
        </w:rPr>
        <w:t xml:space="preserve"> Americana sobre </w:t>
      </w:r>
      <w:r w:rsidRPr="00C40BD9">
        <w:rPr>
          <w:rFonts w:ascii="Verdana" w:hAnsi="Verdana"/>
          <w:sz w:val="20"/>
          <w:szCs w:val="20"/>
          <w:lang w:val="pt-BR"/>
        </w:rPr>
        <w:t>Direitos</w:t>
      </w:r>
      <w:r w:rsidR="00DE316A">
        <w:rPr>
          <w:rFonts w:ascii="Verdana" w:hAnsi="Verdana"/>
          <w:sz w:val="20"/>
          <w:szCs w:val="20"/>
          <w:lang w:val="pt-BR"/>
        </w:rPr>
        <w:t xml:space="preserve"> </w:t>
      </w:r>
      <w:r w:rsidR="0074017B" w:rsidRPr="00C40BD9">
        <w:rPr>
          <w:rFonts w:ascii="Verdana" w:hAnsi="Verdana"/>
          <w:sz w:val="20"/>
          <w:szCs w:val="20"/>
          <w:lang w:val="pt-BR"/>
        </w:rPr>
        <w:t>Humanos (</w:t>
      </w:r>
      <w:r w:rsidRPr="00C40BD9">
        <w:rPr>
          <w:rFonts w:ascii="Verdana" w:hAnsi="Verdana"/>
          <w:sz w:val="20"/>
          <w:szCs w:val="20"/>
          <w:lang w:val="pt-BR"/>
        </w:rPr>
        <w:t xml:space="preserve">doravante denominada </w:t>
      </w:r>
      <w:r w:rsidR="0074017B" w:rsidRPr="00C40BD9">
        <w:rPr>
          <w:rFonts w:ascii="Verdana" w:hAnsi="Verdana"/>
          <w:sz w:val="20"/>
          <w:szCs w:val="20"/>
          <w:lang w:val="pt-BR"/>
        </w:rPr>
        <w:t>“Conven</w:t>
      </w:r>
      <w:r w:rsidRPr="00C40BD9">
        <w:rPr>
          <w:rFonts w:ascii="Verdana" w:hAnsi="Verdana"/>
          <w:sz w:val="20"/>
          <w:szCs w:val="20"/>
          <w:lang w:val="pt-BR"/>
        </w:rPr>
        <w:t>ção</w:t>
      </w:r>
      <w:r w:rsidR="0074017B" w:rsidRPr="00C40BD9">
        <w:rPr>
          <w:rFonts w:ascii="Verdana" w:hAnsi="Verdana"/>
          <w:sz w:val="20"/>
          <w:szCs w:val="20"/>
          <w:lang w:val="pt-BR"/>
        </w:rPr>
        <w:t xml:space="preserve"> Americana” o</w:t>
      </w:r>
      <w:r w:rsidRPr="00C40BD9">
        <w:rPr>
          <w:rFonts w:ascii="Verdana" w:hAnsi="Verdana"/>
          <w:sz w:val="20"/>
          <w:szCs w:val="20"/>
          <w:lang w:val="pt-BR"/>
        </w:rPr>
        <w:t>u</w:t>
      </w:r>
      <w:r w:rsidR="0074017B" w:rsidRPr="00C40BD9">
        <w:rPr>
          <w:rFonts w:ascii="Verdana" w:hAnsi="Verdana"/>
          <w:sz w:val="20"/>
          <w:szCs w:val="20"/>
          <w:lang w:val="pt-BR"/>
        </w:rPr>
        <w:t xml:space="preserve"> “Conven</w:t>
      </w:r>
      <w:r w:rsidRPr="00C40BD9">
        <w:rPr>
          <w:rFonts w:ascii="Verdana" w:hAnsi="Verdana"/>
          <w:sz w:val="20"/>
          <w:szCs w:val="20"/>
          <w:lang w:val="pt-BR"/>
        </w:rPr>
        <w:t>ção</w:t>
      </w:r>
      <w:r w:rsidR="0074017B" w:rsidRPr="00C40BD9">
        <w:rPr>
          <w:rFonts w:ascii="Verdana" w:hAnsi="Verdana"/>
          <w:sz w:val="20"/>
          <w:szCs w:val="20"/>
          <w:lang w:val="pt-BR"/>
        </w:rPr>
        <w:t xml:space="preserve">”) </w:t>
      </w:r>
      <w:r w:rsidRPr="00C40BD9">
        <w:rPr>
          <w:rFonts w:ascii="Verdana" w:hAnsi="Verdana"/>
          <w:sz w:val="20"/>
          <w:szCs w:val="20"/>
          <w:lang w:val="pt-BR"/>
        </w:rPr>
        <w:t>e</w:t>
      </w:r>
      <w:r w:rsidR="00DE316A">
        <w:rPr>
          <w:rFonts w:ascii="Verdana" w:hAnsi="Verdana"/>
          <w:sz w:val="20"/>
          <w:szCs w:val="20"/>
          <w:lang w:val="pt-BR"/>
        </w:rPr>
        <w:t xml:space="preserve"> </w:t>
      </w:r>
      <w:r w:rsidRPr="00C40BD9">
        <w:rPr>
          <w:rFonts w:ascii="Verdana" w:hAnsi="Verdana"/>
          <w:sz w:val="20"/>
          <w:szCs w:val="20"/>
          <w:lang w:val="pt-BR"/>
        </w:rPr>
        <w:t xml:space="preserve">o artigo </w:t>
      </w:r>
      <w:r w:rsidR="0074017B" w:rsidRPr="00C40BD9">
        <w:rPr>
          <w:rFonts w:ascii="Verdana" w:hAnsi="Verdana"/>
          <w:sz w:val="20"/>
          <w:szCs w:val="20"/>
          <w:lang w:val="pt-BR"/>
        </w:rPr>
        <w:t>68 d</w:t>
      </w:r>
      <w:r w:rsidRPr="00C40BD9">
        <w:rPr>
          <w:rFonts w:ascii="Verdana" w:hAnsi="Verdana"/>
          <w:sz w:val="20"/>
          <w:szCs w:val="20"/>
          <w:lang w:val="pt-BR"/>
        </w:rPr>
        <w:t>o</w:t>
      </w:r>
      <w:r w:rsidR="0074017B" w:rsidRPr="00C40BD9">
        <w:rPr>
          <w:rFonts w:ascii="Verdana" w:hAnsi="Verdana"/>
          <w:sz w:val="20"/>
          <w:szCs w:val="20"/>
          <w:lang w:val="pt-BR"/>
        </w:rPr>
        <w:t xml:space="preserve"> </w:t>
      </w:r>
      <w:r w:rsidRPr="00C40BD9">
        <w:rPr>
          <w:rFonts w:ascii="Verdana" w:hAnsi="Verdana"/>
          <w:sz w:val="20"/>
          <w:szCs w:val="20"/>
          <w:lang w:val="pt-BR"/>
        </w:rPr>
        <w:t>Regulamento</w:t>
      </w:r>
      <w:r w:rsidR="00DE316A">
        <w:rPr>
          <w:rFonts w:ascii="Verdana" w:hAnsi="Verdana"/>
          <w:sz w:val="20"/>
          <w:szCs w:val="20"/>
          <w:lang w:val="pt-BR"/>
        </w:rPr>
        <w:t xml:space="preserve"> </w:t>
      </w:r>
      <w:r w:rsidRPr="00C40BD9">
        <w:rPr>
          <w:rFonts w:ascii="Verdana" w:hAnsi="Verdana"/>
          <w:sz w:val="20"/>
          <w:szCs w:val="20"/>
          <w:lang w:val="pt-BR"/>
        </w:rPr>
        <w:t xml:space="preserve">da </w:t>
      </w:r>
      <w:r w:rsidR="0074017B" w:rsidRPr="00C40BD9">
        <w:rPr>
          <w:rFonts w:ascii="Verdana" w:hAnsi="Verdana"/>
          <w:sz w:val="20"/>
          <w:szCs w:val="20"/>
          <w:lang w:val="pt-BR"/>
        </w:rPr>
        <w:t>Corte (</w:t>
      </w:r>
      <w:r w:rsidRPr="00C40BD9">
        <w:rPr>
          <w:rFonts w:ascii="Verdana" w:hAnsi="Verdana"/>
          <w:sz w:val="20"/>
          <w:szCs w:val="20"/>
          <w:lang w:val="pt-BR"/>
        </w:rPr>
        <w:t xml:space="preserve">doravante denominado </w:t>
      </w:r>
      <w:r w:rsidR="0074017B" w:rsidRPr="00C40BD9">
        <w:rPr>
          <w:rFonts w:ascii="Verdana" w:hAnsi="Verdana"/>
          <w:sz w:val="20"/>
          <w:szCs w:val="20"/>
          <w:lang w:val="pt-BR"/>
        </w:rPr>
        <w:t>“</w:t>
      </w:r>
      <w:r w:rsidRPr="00C40BD9">
        <w:rPr>
          <w:rFonts w:ascii="Verdana" w:hAnsi="Verdana"/>
          <w:sz w:val="20"/>
          <w:szCs w:val="20"/>
          <w:lang w:val="pt-BR"/>
        </w:rPr>
        <w:t>Regulamento</w:t>
      </w:r>
      <w:r w:rsidR="0074017B" w:rsidRPr="00C40BD9">
        <w:rPr>
          <w:rFonts w:ascii="Verdana" w:hAnsi="Verdana"/>
          <w:sz w:val="20"/>
          <w:szCs w:val="20"/>
          <w:lang w:val="pt-BR"/>
        </w:rPr>
        <w:t xml:space="preserve">”), </w:t>
      </w:r>
      <w:r w:rsidRPr="00C40BD9">
        <w:rPr>
          <w:rFonts w:ascii="Verdana" w:hAnsi="Verdana"/>
          <w:sz w:val="20"/>
          <w:szCs w:val="20"/>
          <w:lang w:val="pt-BR"/>
        </w:rPr>
        <w:t xml:space="preserve">decide sobre as solicitações </w:t>
      </w:r>
      <w:r w:rsidR="0074017B" w:rsidRPr="00C40BD9">
        <w:rPr>
          <w:rFonts w:ascii="Verdana" w:hAnsi="Verdana"/>
          <w:sz w:val="20"/>
          <w:szCs w:val="20"/>
          <w:lang w:val="pt-BR"/>
        </w:rPr>
        <w:t>de interpreta</w:t>
      </w:r>
      <w:r w:rsidRPr="00C40BD9">
        <w:rPr>
          <w:rFonts w:ascii="Verdana" w:hAnsi="Verdana"/>
          <w:sz w:val="20"/>
          <w:szCs w:val="20"/>
          <w:lang w:val="pt-BR"/>
        </w:rPr>
        <w:t>ção</w:t>
      </w:r>
      <w:r w:rsidR="0074017B" w:rsidRPr="00C40BD9">
        <w:rPr>
          <w:rFonts w:ascii="Verdana" w:hAnsi="Verdana"/>
          <w:sz w:val="20"/>
          <w:szCs w:val="20"/>
          <w:lang w:val="pt-BR"/>
        </w:rPr>
        <w:t xml:space="preserve"> </w:t>
      </w:r>
      <w:r w:rsidRPr="00C40BD9">
        <w:rPr>
          <w:rFonts w:ascii="Verdana" w:hAnsi="Verdana"/>
          <w:sz w:val="20"/>
          <w:szCs w:val="20"/>
          <w:lang w:val="pt-BR"/>
        </w:rPr>
        <w:t>da Sentença</w:t>
      </w:r>
      <w:r w:rsidR="00DE316A">
        <w:rPr>
          <w:rFonts w:ascii="Verdana" w:hAnsi="Verdana"/>
          <w:sz w:val="20"/>
          <w:szCs w:val="20"/>
          <w:lang w:val="pt-BR"/>
        </w:rPr>
        <w:t xml:space="preserve"> </w:t>
      </w:r>
      <w:r w:rsidR="0074017B" w:rsidRPr="00C40BD9">
        <w:rPr>
          <w:rFonts w:ascii="Verdana" w:hAnsi="Verdana"/>
          <w:sz w:val="20"/>
          <w:szCs w:val="20"/>
          <w:lang w:val="pt-BR"/>
        </w:rPr>
        <w:t xml:space="preserve">de </w:t>
      </w:r>
      <w:r w:rsidR="00C5232F">
        <w:rPr>
          <w:rFonts w:ascii="Verdana" w:hAnsi="Verdana"/>
          <w:sz w:val="20"/>
          <w:szCs w:val="20"/>
          <w:lang w:val="pt-BR"/>
        </w:rPr>
        <w:t>E</w:t>
      </w:r>
      <w:r w:rsidR="0074017B" w:rsidRPr="00C40BD9">
        <w:rPr>
          <w:rFonts w:ascii="Verdana" w:hAnsi="Verdana"/>
          <w:sz w:val="20"/>
          <w:szCs w:val="20"/>
          <w:lang w:val="pt-BR"/>
        </w:rPr>
        <w:t>xce</w:t>
      </w:r>
      <w:r w:rsidRPr="00C40BD9">
        <w:rPr>
          <w:rFonts w:ascii="Verdana" w:hAnsi="Verdana"/>
          <w:sz w:val="20"/>
          <w:szCs w:val="20"/>
          <w:lang w:val="pt-BR"/>
        </w:rPr>
        <w:t>ções</w:t>
      </w:r>
      <w:r w:rsidR="0074017B" w:rsidRPr="00C40BD9">
        <w:rPr>
          <w:rFonts w:ascii="Verdana" w:hAnsi="Verdana"/>
          <w:sz w:val="20"/>
          <w:szCs w:val="20"/>
          <w:lang w:val="pt-BR"/>
        </w:rPr>
        <w:t xml:space="preserve"> </w:t>
      </w:r>
      <w:r w:rsidR="00C5232F">
        <w:rPr>
          <w:rFonts w:ascii="Verdana" w:hAnsi="Verdana"/>
          <w:sz w:val="20"/>
          <w:szCs w:val="20"/>
          <w:lang w:val="pt-BR"/>
        </w:rPr>
        <w:t>P</w:t>
      </w:r>
      <w:r w:rsidR="0074017B" w:rsidRPr="00C40BD9">
        <w:rPr>
          <w:rFonts w:ascii="Verdana" w:hAnsi="Verdana"/>
          <w:sz w:val="20"/>
          <w:szCs w:val="20"/>
          <w:lang w:val="pt-BR"/>
        </w:rPr>
        <w:t xml:space="preserve">reliminares, </w:t>
      </w:r>
      <w:r w:rsidR="00C5232F">
        <w:rPr>
          <w:rFonts w:ascii="Verdana" w:hAnsi="Verdana"/>
          <w:sz w:val="20"/>
          <w:szCs w:val="20"/>
          <w:lang w:val="pt-BR"/>
        </w:rPr>
        <w:t>M</w:t>
      </w:r>
      <w:r w:rsidRPr="00C40BD9">
        <w:rPr>
          <w:rFonts w:ascii="Verdana" w:hAnsi="Verdana"/>
          <w:sz w:val="20"/>
          <w:szCs w:val="20"/>
          <w:lang w:val="pt-BR"/>
        </w:rPr>
        <w:t>érito</w:t>
      </w:r>
      <w:r w:rsidR="0074017B" w:rsidRPr="00C40BD9">
        <w:rPr>
          <w:rFonts w:ascii="Verdana" w:hAnsi="Verdana"/>
          <w:sz w:val="20"/>
          <w:szCs w:val="20"/>
          <w:lang w:val="pt-BR"/>
        </w:rPr>
        <w:t xml:space="preserve">, </w:t>
      </w:r>
      <w:r w:rsidR="00C5232F">
        <w:rPr>
          <w:rFonts w:ascii="Verdana" w:hAnsi="Verdana"/>
          <w:sz w:val="20"/>
          <w:szCs w:val="20"/>
          <w:lang w:val="pt-BR"/>
        </w:rPr>
        <w:t>R</w:t>
      </w:r>
      <w:r w:rsidR="0074017B" w:rsidRPr="00C40BD9">
        <w:rPr>
          <w:rFonts w:ascii="Verdana" w:hAnsi="Verdana"/>
          <w:sz w:val="20"/>
          <w:szCs w:val="20"/>
          <w:lang w:val="pt-BR"/>
        </w:rPr>
        <w:t>epara</w:t>
      </w:r>
      <w:r w:rsidRPr="00C40BD9">
        <w:rPr>
          <w:rFonts w:ascii="Verdana" w:hAnsi="Verdana"/>
          <w:sz w:val="20"/>
          <w:szCs w:val="20"/>
          <w:lang w:val="pt-BR"/>
        </w:rPr>
        <w:t>ções</w:t>
      </w:r>
      <w:r w:rsidR="0074017B" w:rsidRPr="00C40BD9">
        <w:rPr>
          <w:rFonts w:ascii="Verdana" w:hAnsi="Verdana"/>
          <w:sz w:val="20"/>
          <w:szCs w:val="20"/>
          <w:lang w:val="pt-BR"/>
        </w:rPr>
        <w:t xml:space="preserve"> </w:t>
      </w:r>
      <w:r w:rsidRPr="00C40BD9">
        <w:rPr>
          <w:rFonts w:ascii="Verdana" w:hAnsi="Verdana"/>
          <w:sz w:val="20"/>
          <w:szCs w:val="20"/>
          <w:lang w:val="pt-BR"/>
        </w:rPr>
        <w:t>e</w:t>
      </w:r>
      <w:r w:rsidR="00DE316A">
        <w:rPr>
          <w:rFonts w:ascii="Verdana" w:hAnsi="Verdana"/>
          <w:sz w:val="20"/>
          <w:szCs w:val="20"/>
          <w:lang w:val="pt-BR"/>
        </w:rPr>
        <w:t xml:space="preserve"> </w:t>
      </w:r>
      <w:r w:rsidR="00C5232F">
        <w:rPr>
          <w:rFonts w:ascii="Verdana" w:hAnsi="Verdana"/>
          <w:sz w:val="20"/>
          <w:szCs w:val="20"/>
          <w:lang w:val="pt-BR"/>
        </w:rPr>
        <w:t>C</w:t>
      </w:r>
      <w:r w:rsidRPr="00C40BD9">
        <w:rPr>
          <w:rFonts w:ascii="Verdana" w:hAnsi="Verdana"/>
          <w:sz w:val="20"/>
          <w:szCs w:val="20"/>
          <w:lang w:val="pt-BR"/>
        </w:rPr>
        <w:t>u</w:t>
      </w:r>
      <w:r w:rsidR="0074017B" w:rsidRPr="00C40BD9">
        <w:rPr>
          <w:rFonts w:ascii="Verdana" w:hAnsi="Verdana"/>
          <w:sz w:val="20"/>
          <w:szCs w:val="20"/>
          <w:lang w:val="pt-BR"/>
        </w:rPr>
        <w:t>stas</w:t>
      </w:r>
      <w:r w:rsidR="00405D70">
        <w:rPr>
          <w:rFonts w:ascii="Verdana" w:hAnsi="Verdana"/>
          <w:sz w:val="20"/>
          <w:szCs w:val="20"/>
          <w:lang w:val="pt-BR"/>
        </w:rPr>
        <w:t>,</w:t>
      </w:r>
      <w:r w:rsidR="0074017B" w:rsidRPr="00C40BD9">
        <w:rPr>
          <w:rFonts w:ascii="Verdana" w:hAnsi="Verdana"/>
          <w:sz w:val="20"/>
          <w:szCs w:val="20"/>
          <w:lang w:val="pt-BR"/>
        </w:rPr>
        <w:t xml:space="preserve"> emitida p</w:t>
      </w:r>
      <w:r w:rsidRPr="00C40BD9">
        <w:rPr>
          <w:rFonts w:ascii="Verdana" w:hAnsi="Verdana"/>
          <w:sz w:val="20"/>
          <w:szCs w:val="20"/>
          <w:lang w:val="pt-BR"/>
        </w:rPr>
        <w:t xml:space="preserve">elo </w:t>
      </w:r>
      <w:r w:rsidR="0074017B" w:rsidRPr="00C40BD9">
        <w:rPr>
          <w:rFonts w:ascii="Verdana" w:hAnsi="Verdana"/>
          <w:sz w:val="20"/>
          <w:szCs w:val="20"/>
          <w:lang w:val="pt-BR"/>
        </w:rPr>
        <w:t>Tribunal e</w:t>
      </w:r>
      <w:r w:rsidRPr="00C40BD9">
        <w:rPr>
          <w:rFonts w:ascii="Verdana" w:hAnsi="Verdana"/>
          <w:sz w:val="20"/>
          <w:szCs w:val="20"/>
          <w:lang w:val="pt-BR"/>
        </w:rPr>
        <w:t>m</w:t>
      </w:r>
      <w:r w:rsidR="0074017B" w:rsidRPr="00C40BD9">
        <w:rPr>
          <w:rFonts w:ascii="Verdana" w:hAnsi="Verdana"/>
          <w:sz w:val="20"/>
          <w:szCs w:val="20"/>
          <w:lang w:val="pt-BR"/>
        </w:rPr>
        <w:t xml:space="preserve"> </w:t>
      </w:r>
      <w:r w:rsidR="00591F77" w:rsidRPr="00C40BD9">
        <w:rPr>
          <w:rFonts w:ascii="Verdana" w:hAnsi="Verdana"/>
          <w:sz w:val="20"/>
          <w:szCs w:val="20"/>
          <w:lang w:val="pt-BR"/>
        </w:rPr>
        <w:t xml:space="preserve">16 de </w:t>
      </w:r>
      <w:r w:rsidRPr="00C40BD9">
        <w:rPr>
          <w:rFonts w:ascii="Verdana" w:hAnsi="Verdana"/>
          <w:sz w:val="20"/>
          <w:szCs w:val="20"/>
          <w:lang w:val="pt-BR"/>
        </w:rPr>
        <w:t>fevereiro</w:t>
      </w:r>
      <w:r w:rsidR="00DE316A">
        <w:rPr>
          <w:rFonts w:ascii="Verdana" w:hAnsi="Verdana"/>
          <w:sz w:val="20"/>
          <w:szCs w:val="20"/>
          <w:lang w:val="pt-BR"/>
        </w:rPr>
        <w:t xml:space="preserve"> </w:t>
      </w:r>
      <w:r w:rsidR="00591F77" w:rsidRPr="00C40BD9">
        <w:rPr>
          <w:rFonts w:ascii="Verdana" w:hAnsi="Verdana"/>
          <w:sz w:val="20"/>
          <w:szCs w:val="20"/>
          <w:lang w:val="pt-BR"/>
        </w:rPr>
        <w:t>de 2017</w:t>
      </w:r>
      <w:r w:rsidR="00DE316A">
        <w:rPr>
          <w:rFonts w:ascii="Verdana" w:hAnsi="Verdana"/>
          <w:sz w:val="20"/>
          <w:szCs w:val="20"/>
          <w:lang w:val="pt-BR"/>
        </w:rPr>
        <w:t xml:space="preserve"> </w:t>
      </w:r>
      <w:r w:rsidR="00C06A9B" w:rsidRPr="00C40BD9">
        <w:rPr>
          <w:rFonts w:ascii="Verdana" w:hAnsi="Verdana"/>
          <w:sz w:val="20"/>
          <w:szCs w:val="20"/>
          <w:lang w:val="pt-BR"/>
        </w:rPr>
        <w:t xml:space="preserve">no </w:t>
      </w:r>
      <w:r w:rsidR="0074017B" w:rsidRPr="00C40BD9">
        <w:rPr>
          <w:rFonts w:ascii="Verdana" w:hAnsi="Verdana"/>
          <w:sz w:val="20"/>
          <w:szCs w:val="20"/>
          <w:lang w:val="pt-BR"/>
        </w:rPr>
        <w:t>presente caso (</w:t>
      </w:r>
      <w:r w:rsidR="00C06A9B" w:rsidRPr="00C40BD9">
        <w:rPr>
          <w:rFonts w:ascii="Verdana" w:hAnsi="Verdana"/>
          <w:sz w:val="20"/>
          <w:szCs w:val="20"/>
          <w:lang w:val="pt-BR"/>
        </w:rPr>
        <w:t xml:space="preserve">doravante denominada </w:t>
      </w:r>
      <w:r w:rsidR="0074017B" w:rsidRPr="00C40BD9">
        <w:rPr>
          <w:rFonts w:ascii="Verdana" w:hAnsi="Verdana"/>
          <w:sz w:val="20"/>
          <w:szCs w:val="20"/>
          <w:lang w:val="pt-BR"/>
        </w:rPr>
        <w:t>“</w:t>
      </w:r>
      <w:r w:rsidRPr="00C40BD9">
        <w:rPr>
          <w:rFonts w:ascii="Verdana" w:hAnsi="Verdana"/>
          <w:sz w:val="20"/>
          <w:szCs w:val="20"/>
          <w:lang w:val="pt-BR"/>
        </w:rPr>
        <w:t>Sentença</w:t>
      </w:r>
      <w:r w:rsidR="0074017B" w:rsidRPr="00C40BD9">
        <w:rPr>
          <w:rFonts w:ascii="Verdana" w:hAnsi="Verdana"/>
          <w:sz w:val="20"/>
          <w:szCs w:val="20"/>
          <w:lang w:val="pt-BR"/>
        </w:rPr>
        <w:t>”), interp</w:t>
      </w:r>
      <w:r w:rsidR="00C06A9B" w:rsidRPr="00C40BD9">
        <w:rPr>
          <w:rFonts w:ascii="Verdana" w:hAnsi="Verdana"/>
          <w:sz w:val="20"/>
          <w:szCs w:val="20"/>
          <w:lang w:val="pt-BR"/>
        </w:rPr>
        <w:t>o</w:t>
      </w:r>
      <w:r w:rsidR="0074017B" w:rsidRPr="00C40BD9">
        <w:rPr>
          <w:rFonts w:ascii="Verdana" w:hAnsi="Verdana"/>
          <w:sz w:val="20"/>
          <w:szCs w:val="20"/>
          <w:lang w:val="pt-BR"/>
        </w:rPr>
        <w:t>sta</w:t>
      </w:r>
      <w:r w:rsidR="003046E3" w:rsidRPr="00C40BD9">
        <w:rPr>
          <w:rFonts w:ascii="Verdana" w:hAnsi="Verdana"/>
          <w:sz w:val="20"/>
          <w:szCs w:val="20"/>
          <w:lang w:val="pt-BR"/>
        </w:rPr>
        <w:t>s</w:t>
      </w:r>
      <w:r w:rsidR="0074017B" w:rsidRPr="00C40BD9">
        <w:rPr>
          <w:rFonts w:ascii="Verdana" w:hAnsi="Verdana"/>
          <w:sz w:val="20"/>
          <w:szCs w:val="20"/>
          <w:lang w:val="pt-BR"/>
        </w:rPr>
        <w:t xml:space="preserve"> e</w:t>
      </w:r>
      <w:r w:rsidR="00C06A9B" w:rsidRPr="00C40BD9">
        <w:rPr>
          <w:rFonts w:ascii="Verdana" w:hAnsi="Verdana"/>
          <w:sz w:val="20"/>
          <w:szCs w:val="20"/>
          <w:lang w:val="pt-BR"/>
        </w:rPr>
        <w:t>m</w:t>
      </w:r>
      <w:r w:rsidR="003046E3" w:rsidRPr="00C40BD9">
        <w:rPr>
          <w:rFonts w:ascii="Verdana" w:hAnsi="Verdana"/>
          <w:sz w:val="20"/>
          <w:szCs w:val="20"/>
          <w:lang w:val="pt-BR"/>
        </w:rPr>
        <w:t xml:space="preserve"> 9 de agosto </w:t>
      </w:r>
      <w:r w:rsidRPr="00C40BD9">
        <w:rPr>
          <w:rFonts w:ascii="Verdana" w:hAnsi="Verdana"/>
          <w:sz w:val="20"/>
          <w:szCs w:val="20"/>
          <w:lang w:val="pt-BR"/>
        </w:rPr>
        <w:t>e</w:t>
      </w:r>
      <w:r w:rsidR="00DE316A">
        <w:rPr>
          <w:rFonts w:ascii="Verdana" w:hAnsi="Verdana"/>
          <w:sz w:val="20"/>
          <w:szCs w:val="20"/>
          <w:lang w:val="pt-BR"/>
        </w:rPr>
        <w:t xml:space="preserve"> </w:t>
      </w:r>
      <w:r w:rsidR="003046E3" w:rsidRPr="00C40BD9">
        <w:rPr>
          <w:rFonts w:ascii="Verdana" w:hAnsi="Verdana"/>
          <w:sz w:val="20"/>
          <w:szCs w:val="20"/>
          <w:lang w:val="pt-BR"/>
        </w:rPr>
        <w:t>14 de agosto</w:t>
      </w:r>
      <w:r w:rsidR="0074017B" w:rsidRPr="00C40BD9">
        <w:rPr>
          <w:rFonts w:ascii="Verdana" w:hAnsi="Verdana"/>
          <w:sz w:val="20"/>
          <w:szCs w:val="20"/>
          <w:lang w:val="pt-BR"/>
        </w:rPr>
        <w:t xml:space="preserve"> de 2017</w:t>
      </w:r>
      <w:r w:rsidR="003046E3" w:rsidRPr="00C40BD9">
        <w:rPr>
          <w:rFonts w:ascii="Verdana" w:hAnsi="Verdana"/>
          <w:sz w:val="20"/>
          <w:szCs w:val="20"/>
          <w:lang w:val="pt-BR"/>
        </w:rPr>
        <w:t>, respectivamente,</w:t>
      </w:r>
      <w:r w:rsidR="0074017B" w:rsidRPr="00C40BD9">
        <w:rPr>
          <w:rFonts w:ascii="Verdana" w:hAnsi="Verdana"/>
          <w:sz w:val="20"/>
          <w:szCs w:val="20"/>
          <w:lang w:val="pt-BR"/>
        </w:rPr>
        <w:t xml:space="preserve"> p</w:t>
      </w:r>
      <w:r w:rsidR="00C06A9B" w:rsidRPr="00C40BD9">
        <w:rPr>
          <w:rFonts w:ascii="Verdana" w:hAnsi="Verdana"/>
          <w:sz w:val="20"/>
          <w:szCs w:val="20"/>
          <w:lang w:val="pt-BR"/>
        </w:rPr>
        <w:t>e</w:t>
      </w:r>
      <w:r w:rsidR="004A772A">
        <w:rPr>
          <w:rFonts w:ascii="Verdana" w:hAnsi="Verdana"/>
          <w:sz w:val="20"/>
          <w:szCs w:val="20"/>
          <w:lang w:val="pt-BR"/>
        </w:rPr>
        <w:t>l</w:t>
      </w:r>
      <w:r w:rsidR="00C06A9B" w:rsidRPr="00C40BD9">
        <w:rPr>
          <w:rFonts w:ascii="Verdana" w:hAnsi="Verdana"/>
          <w:sz w:val="20"/>
          <w:szCs w:val="20"/>
          <w:lang w:val="pt-BR"/>
        </w:rPr>
        <w:t>os representantes das vítimas</w:t>
      </w:r>
      <w:r w:rsidR="00DE316A">
        <w:rPr>
          <w:rFonts w:ascii="Verdana" w:hAnsi="Verdana"/>
          <w:sz w:val="20"/>
          <w:szCs w:val="20"/>
          <w:lang w:val="pt-BR"/>
        </w:rPr>
        <w:t xml:space="preserve"> </w:t>
      </w:r>
      <w:r w:rsidR="003046E3" w:rsidRPr="00C40BD9">
        <w:rPr>
          <w:rFonts w:ascii="Verdana" w:hAnsi="Verdana"/>
          <w:sz w:val="20"/>
          <w:szCs w:val="20"/>
          <w:lang w:val="pt-BR"/>
        </w:rPr>
        <w:t>(</w:t>
      </w:r>
      <w:r w:rsidR="00C06A9B" w:rsidRPr="00C40BD9">
        <w:rPr>
          <w:rFonts w:ascii="Verdana" w:hAnsi="Verdana"/>
          <w:sz w:val="20"/>
          <w:szCs w:val="20"/>
          <w:lang w:val="pt-BR"/>
        </w:rPr>
        <w:t xml:space="preserve">doravante denominados </w:t>
      </w:r>
      <w:r w:rsidR="003046E3" w:rsidRPr="00C40BD9">
        <w:rPr>
          <w:rFonts w:ascii="Verdana" w:hAnsi="Verdana"/>
          <w:sz w:val="20"/>
          <w:szCs w:val="20"/>
          <w:lang w:val="pt-BR"/>
        </w:rPr>
        <w:t xml:space="preserve">“representantes”) </w:t>
      </w:r>
      <w:r w:rsidRPr="00C40BD9">
        <w:rPr>
          <w:rFonts w:ascii="Verdana" w:hAnsi="Verdana"/>
          <w:sz w:val="20"/>
          <w:szCs w:val="20"/>
          <w:lang w:val="pt-BR"/>
        </w:rPr>
        <w:t>e</w:t>
      </w:r>
      <w:r w:rsidR="00DE316A">
        <w:rPr>
          <w:rFonts w:ascii="Verdana" w:hAnsi="Verdana"/>
          <w:sz w:val="20"/>
          <w:szCs w:val="20"/>
          <w:lang w:val="pt-BR"/>
        </w:rPr>
        <w:t xml:space="preserve"> </w:t>
      </w:r>
      <w:r w:rsidR="00405D70">
        <w:rPr>
          <w:rFonts w:ascii="Verdana" w:hAnsi="Verdana"/>
          <w:sz w:val="20"/>
          <w:szCs w:val="20"/>
          <w:lang w:val="pt-BR"/>
        </w:rPr>
        <w:t>pel</w:t>
      </w:r>
      <w:r w:rsidR="0074017B" w:rsidRPr="00C40BD9">
        <w:rPr>
          <w:rFonts w:ascii="Verdana" w:hAnsi="Verdana"/>
          <w:sz w:val="20"/>
          <w:szCs w:val="20"/>
          <w:lang w:val="pt-BR"/>
        </w:rPr>
        <w:t>a República Federativa d</w:t>
      </w:r>
      <w:r w:rsidR="00C06A9B" w:rsidRPr="00C40BD9">
        <w:rPr>
          <w:rFonts w:ascii="Verdana" w:hAnsi="Verdana"/>
          <w:sz w:val="20"/>
          <w:szCs w:val="20"/>
          <w:lang w:val="pt-BR"/>
        </w:rPr>
        <w:t>o</w:t>
      </w:r>
      <w:r w:rsidR="0074017B" w:rsidRPr="00C40BD9">
        <w:rPr>
          <w:rFonts w:ascii="Verdana" w:hAnsi="Verdana"/>
          <w:sz w:val="20"/>
          <w:szCs w:val="20"/>
          <w:lang w:val="pt-BR"/>
        </w:rPr>
        <w:t xml:space="preserve"> Brasil (</w:t>
      </w:r>
      <w:r w:rsidR="00C06A9B" w:rsidRPr="00C40BD9">
        <w:rPr>
          <w:rFonts w:ascii="Verdana" w:hAnsi="Verdana"/>
          <w:sz w:val="20"/>
          <w:szCs w:val="20"/>
          <w:lang w:val="pt-BR"/>
        </w:rPr>
        <w:t xml:space="preserve">doravante denominada </w:t>
      </w:r>
      <w:r w:rsidR="0074017B" w:rsidRPr="00C40BD9">
        <w:rPr>
          <w:rFonts w:ascii="Verdana" w:hAnsi="Verdana"/>
          <w:sz w:val="20"/>
          <w:szCs w:val="20"/>
          <w:lang w:val="pt-BR"/>
        </w:rPr>
        <w:t>“Estado” o</w:t>
      </w:r>
      <w:r w:rsidR="00C06A9B" w:rsidRPr="00C40BD9">
        <w:rPr>
          <w:rFonts w:ascii="Verdana" w:hAnsi="Verdana"/>
          <w:sz w:val="20"/>
          <w:szCs w:val="20"/>
          <w:lang w:val="pt-BR"/>
        </w:rPr>
        <w:t>u</w:t>
      </w:r>
      <w:r w:rsidR="0074017B" w:rsidRPr="00C40BD9">
        <w:rPr>
          <w:rFonts w:ascii="Verdana" w:hAnsi="Verdana"/>
          <w:sz w:val="20"/>
          <w:szCs w:val="20"/>
          <w:lang w:val="pt-BR"/>
        </w:rPr>
        <w:t xml:space="preserve"> “Brasil”).</w:t>
      </w:r>
    </w:p>
    <w:p w:rsidR="0074017B" w:rsidRPr="00C40BD9" w:rsidRDefault="0074017B" w:rsidP="00A82FB4">
      <w:pPr>
        <w:autoSpaceDE w:val="0"/>
        <w:autoSpaceDN w:val="0"/>
        <w:adjustRightInd w:val="0"/>
        <w:jc w:val="both"/>
        <w:rPr>
          <w:rFonts w:cs="Verdana"/>
          <w:b/>
          <w:lang w:val="pt-BR"/>
        </w:rPr>
      </w:pPr>
      <w:r w:rsidRPr="00C40BD9">
        <w:rPr>
          <w:rFonts w:ascii="Verdana" w:hAnsi="Verdana"/>
          <w:sz w:val="20"/>
          <w:szCs w:val="20"/>
          <w:lang w:val="pt-BR"/>
        </w:rPr>
        <w:br w:type="page"/>
      </w:r>
    </w:p>
    <w:p w:rsidR="0074017B" w:rsidRPr="00C40BD9" w:rsidRDefault="0074017B" w:rsidP="00A82FB4">
      <w:pPr>
        <w:pStyle w:val="Heading1"/>
        <w:tabs>
          <w:tab w:val="clear" w:pos="567"/>
        </w:tabs>
      </w:pPr>
      <w:r w:rsidRPr="00C40BD9">
        <w:lastRenderedPageBreak/>
        <w:t>I</w:t>
      </w:r>
    </w:p>
    <w:p w:rsidR="00C06A9B" w:rsidRPr="00C40BD9" w:rsidRDefault="00C06A9B" w:rsidP="00A82FB4">
      <w:pPr>
        <w:autoSpaceDE w:val="0"/>
        <w:autoSpaceDN w:val="0"/>
        <w:adjustRightInd w:val="0"/>
        <w:spacing w:after="0" w:line="240" w:lineRule="auto"/>
        <w:jc w:val="center"/>
        <w:rPr>
          <w:rFonts w:ascii="Verdana" w:hAnsi="Verdana" w:cs="Verdana"/>
          <w:b/>
          <w:bCs/>
          <w:sz w:val="20"/>
          <w:szCs w:val="20"/>
          <w:lang w:val="pt-BR"/>
        </w:rPr>
      </w:pPr>
      <w:r w:rsidRPr="00C40BD9">
        <w:rPr>
          <w:rFonts w:ascii="Verdana" w:hAnsi="Verdana" w:cs="Verdana"/>
          <w:b/>
          <w:bCs/>
          <w:sz w:val="20"/>
          <w:szCs w:val="20"/>
          <w:lang w:val="pt-BR"/>
        </w:rPr>
        <w:t>A</w:t>
      </w:r>
      <w:r w:rsidR="0074017B" w:rsidRPr="00C40BD9">
        <w:rPr>
          <w:rFonts w:ascii="Verdana" w:hAnsi="Verdana" w:cs="Verdana"/>
          <w:b/>
          <w:bCs/>
          <w:sz w:val="20"/>
          <w:szCs w:val="20"/>
          <w:lang w:val="pt-BR"/>
        </w:rPr>
        <w:t>PRESENTA</w:t>
      </w:r>
      <w:r w:rsidRPr="00C40BD9">
        <w:rPr>
          <w:rFonts w:ascii="Verdana" w:hAnsi="Verdana" w:cs="Verdana"/>
          <w:b/>
          <w:bCs/>
          <w:sz w:val="20"/>
          <w:szCs w:val="20"/>
          <w:lang w:val="pt-BR"/>
        </w:rPr>
        <w:t xml:space="preserve">ÇÃO DA SOLICITAÇÃO </w:t>
      </w:r>
      <w:r w:rsidR="0074017B" w:rsidRPr="00C40BD9">
        <w:rPr>
          <w:rFonts w:ascii="Verdana" w:hAnsi="Verdana" w:cs="Verdana"/>
          <w:b/>
          <w:bCs/>
          <w:sz w:val="20"/>
          <w:szCs w:val="20"/>
          <w:lang w:val="pt-BR"/>
        </w:rPr>
        <w:t>DE INTERPRETA</w:t>
      </w:r>
      <w:r w:rsidRPr="00C40BD9">
        <w:rPr>
          <w:rFonts w:ascii="Verdana" w:hAnsi="Verdana" w:cs="Verdana"/>
          <w:b/>
          <w:bCs/>
          <w:sz w:val="20"/>
          <w:szCs w:val="20"/>
          <w:lang w:val="pt-BR"/>
        </w:rPr>
        <w:t xml:space="preserve">ÇÃO E </w:t>
      </w:r>
      <w:r w:rsidR="0074017B" w:rsidRPr="00C40BD9">
        <w:rPr>
          <w:rFonts w:ascii="Verdana" w:hAnsi="Verdana" w:cs="Verdana"/>
          <w:b/>
          <w:bCs/>
          <w:sz w:val="20"/>
          <w:szCs w:val="20"/>
          <w:lang w:val="pt-BR"/>
        </w:rPr>
        <w:t xml:space="preserve">PROCEDIMENTO </w:t>
      </w:r>
    </w:p>
    <w:p w:rsidR="0074017B" w:rsidRPr="00C40BD9" w:rsidRDefault="00C06A9B" w:rsidP="00A82FB4">
      <w:pPr>
        <w:autoSpaceDE w:val="0"/>
        <w:autoSpaceDN w:val="0"/>
        <w:adjustRightInd w:val="0"/>
        <w:spacing w:after="0" w:line="240" w:lineRule="auto"/>
        <w:jc w:val="center"/>
        <w:rPr>
          <w:rFonts w:ascii="Verdana" w:eastAsia="Times" w:hAnsi="Verdana"/>
          <w:sz w:val="20"/>
          <w:szCs w:val="20"/>
          <w:lang w:val="pt-BR" w:eastAsia="es-ES"/>
        </w:rPr>
      </w:pPr>
      <w:r w:rsidRPr="00C40BD9">
        <w:rPr>
          <w:rFonts w:ascii="Verdana" w:hAnsi="Verdana" w:cs="Verdana"/>
          <w:b/>
          <w:bCs/>
          <w:sz w:val="20"/>
          <w:szCs w:val="20"/>
          <w:lang w:val="pt-BR"/>
        </w:rPr>
        <w:t>PER</w:t>
      </w:r>
      <w:r w:rsidR="0074017B" w:rsidRPr="00C40BD9">
        <w:rPr>
          <w:rFonts w:ascii="Verdana" w:hAnsi="Verdana" w:cs="Verdana"/>
          <w:b/>
          <w:bCs/>
          <w:sz w:val="20"/>
          <w:szCs w:val="20"/>
          <w:lang w:val="pt-BR"/>
        </w:rPr>
        <w:t xml:space="preserve">ANTE A CORTE </w:t>
      </w:r>
    </w:p>
    <w:p w:rsidR="0074017B" w:rsidRPr="00C40BD9" w:rsidRDefault="0074017B" w:rsidP="00A82FB4">
      <w:pPr>
        <w:spacing w:after="0" w:line="240" w:lineRule="auto"/>
        <w:jc w:val="both"/>
        <w:rPr>
          <w:rFonts w:ascii="Verdana" w:eastAsia="Times" w:hAnsi="Verdana"/>
          <w:sz w:val="20"/>
          <w:szCs w:val="20"/>
          <w:lang w:val="pt-BR"/>
        </w:rPr>
      </w:pPr>
    </w:p>
    <w:p w:rsidR="0074017B" w:rsidRPr="00C40BD9" w:rsidRDefault="0074017B" w:rsidP="00A82FB4">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pt-BR"/>
        </w:rPr>
      </w:pPr>
      <w:r w:rsidRPr="00C40BD9">
        <w:rPr>
          <w:rFonts w:ascii="Verdana" w:hAnsi="Verdana" w:cs="Verdana"/>
          <w:sz w:val="20"/>
          <w:szCs w:val="20"/>
          <w:lang w:val="pt-BR"/>
        </w:rPr>
        <w:t>E</w:t>
      </w:r>
      <w:r w:rsidR="00C06A9B" w:rsidRPr="00C40BD9">
        <w:rPr>
          <w:rFonts w:ascii="Verdana" w:hAnsi="Verdana" w:cs="Verdana"/>
          <w:sz w:val="20"/>
          <w:szCs w:val="20"/>
          <w:lang w:val="pt-BR"/>
        </w:rPr>
        <w:t>m</w:t>
      </w:r>
      <w:r w:rsidRPr="00C40BD9">
        <w:rPr>
          <w:rFonts w:ascii="Verdana" w:hAnsi="Verdana" w:cs="Verdana"/>
          <w:sz w:val="20"/>
          <w:szCs w:val="20"/>
          <w:lang w:val="pt-BR"/>
        </w:rPr>
        <w:t xml:space="preserve"> 16 de </w:t>
      </w:r>
      <w:r w:rsidR="00F633DD" w:rsidRPr="00C40BD9">
        <w:rPr>
          <w:rFonts w:ascii="Verdana" w:hAnsi="Verdana" w:cs="Verdana"/>
          <w:sz w:val="20"/>
          <w:szCs w:val="20"/>
          <w:lang w:val="pt-BR"/>
        </w:rPr>
        <w:t>fevereiro</w:t>
      </w:r>
      <w:r w:rsidR="00DE316A">
        <w:rPr>
          <w:rFonts w:ascii="Verdana" w:hAnsi="Verdana" w:cs="Verdana"/>
          <w:sz w:val="20"/>
          <w:szCs w:val="20"/>
          <w:lang w:val="pt-BR"/>
        </w:rPr>
        <w:t xml:space="preserve"> </w:t>
      </w:r>
      <w:r w:rsidRPr="00C40BD9">
        <w:rPr>
          <w:rFonts w:ascii="Verdana" w:hAnsi="Verdana" w:cs="Verdana"/>
          <w:sz w:val="20"/>
          <w:szCs w:val="20"/>
          <w:lang w:val="pt-BR"/>
        </w:rPr>
        <w:t>de 2017</w:t>
      </w:r>
      <w:r w:rsidR="00C06A9B" w:rsidRPr="00C40BD9">
        <w:rPr>
          <w:rFonts w:ascii="Verdana" w:hAnsi="Verdana" w:cs="Verdana"/>
          <w:sz w:val="20"/>
          <w:szCs w:val="20"/>
          <w:lang w:val="pt-BR"/>
        </w:rPr>
        <w:t>,</w:t>
      </w:r>
      <w:r w:rsidRPr="00C40BD9">
        <w:rPr>
          <w:rFonts w:ascii="Verdana" w:hAnsi="Verdana" w:cs="Verdana"/>
          <w:sz w:val="20"/>
          <w:szCs w:val="20"/>
          <w:lang w:val="pt-BR"/>
        </w:rPr>
        <w:t xml:space="preserve"> a Corte </w:t>
      </w:r>
      <w:r w:rsidR="00C06A9B" w:rsidRPr="00C40BD9">
        <w:rPr>
          <w:rFonts w:ascii="Verdana" w:hAnsi="Verdana" w:cs="Verdana"/>
          <w:sz w:val="20"/>
          <w:szCs w:val="20"/>
          <w:lang w:val="pt-BR"/>
        </w:rPr>
        <w:t xml:space="preserve">emitiu a </w:t>
      </w:r>
      <w:r w:rsidR="00F633DD" w:rsidRPr="00C40BD9">
        <w:rPr>
          <w:rFonts w:ascii="Verdana" w:hAnsi="Verdana" w:cs="Verdana"/>
          <w:sz w:val="20"/>
          <w:szCs w:val="20"/>
          <w:lang w:val="pt-BR"/>
        </w:rPr>
        <w:t>Sentença</w:t>
      </w:r>
      <w:r w:rsidR="00DE316A">
        <w:rPr>
          <w:rFonts w:ascii="Verdana" w:hAnsi="Verdana" w:cs="Verdana"/>
          <w:sz w:val="20"/>
          <w:szCs w:val="20"/>
          <w:lang w:val="pt-BR"/>
        </w:rPr>
        <w:t xml:space="preserve"> </w:t>
      </w:r>
      <w:r w:rsidRPr="00C40BD9">
        <w:rPr>
          <w:rFonts w:ascii="Verdana" w:hAnsi="Verdana"/>
          <w:sz w:val="20"/>
          <w:szCs w:val="20"/>
          <w:lang w:val="pt-BR"/>
        </w:rPr>
        <w:t xml:space="preserve">de </w:t>
      </w:r>
      <w:r w:rsidR="00405D70">
        <w:rPr>
          <w:rFonts w:ascii="Verdana" w:hAnsi="Verdana"/>
          <w:sz w:val="20"/>
          <w:szCs w:val="20"/>
          <w:lang w:val="pt-BR"/>
        </w:rPr>
        <w:t>E</w:t>
      </w:r>
      <w:r w:rsidRPr="00C40BD9">
        <w:rPr>
          <w:rFonts w:ascii="Verdana" w:hAnsi="Verdana"/>
          <w:sz w:val="20"/>
          <w:szCs w:val="20"/>
          <w:lang w:val="pt-BR"/>
        </w:rPr>
        <w:t>xce</w:t>
      </w:r>
      <w:r w:rsidR="00C06A9B" w:rsidRPr="00C40BD9">
        <w:rPr>
          <w:rFonts w:ascii="Verdana" w:hAnsi="Verdana"/>
          <w:sz w:val="20"/>
          <w:szCs w:val="20"/>
          <w:lang w:val="pt-BR"/>
        </w:rPr>
        <w:t>ç</w:t>
      </w:r>
      <w:r w:rsidR="00F633DD" w:rsidRPr="00C40BD9">
        <w:rPr>
          <w:rFonts w:ascii="Verdana" w:hAnsi="Verdana"/>
          <w:sz w:val="20"/>
          <w:szCs w:val="20"/>
          <w:lang w:val="pt-BR"/>
        </w:rPr>
        <w:t>ões</w:t>
      </w:r>
      <w:r w:rsidRPr="00C40BD9">
        <w:rPr>
          <w:rFonts w:ascii="Verdana" w:hAnsi="Verdana"/>
          <w:sz w:val="20"/>
          <w:szCs w:val="20"/>
          <w:lang w:val="pt-BR"/>
        </w:rPr>
        <w:t xml:space="preserve"> </w:t>
      </w:r>
      <w:r w:rsidR="00405D70">
        <w:rPr>
          <w:rFonts w:ascii="Verdana" w:hAnsi="Verdana"/>
          <w:sz w:val="20"/>
          <w:szCs w:val="20"/>
          <w:lang w:val="pt-BR"/>
        </w:rPr>
        <w:t>P</w:t>
      </w:r>
      <w:r w:rsidRPr="00C40BD9">
        <w:rPr>
          <w:rFonts w:ascii="Verdana" w:hAnsi="Verdana"/>
          <w:sz w:val="20"/>
          <w:szCs w:val="20"/>
          <w:lang w:val="pt-BR"/>
        </w:rPr>
        <w:t xml:space="preserve">reliminares, </w:t>
      </w:r>
      <w:r w:rsidR="00405D70">
        <w:rPr>
          <w:rFonts w:ascii="Verdana" w:hAnsi="Verdana"/>
          <w:sz w:val="20"/>
          <w:szCs w:val="20"/>
          <w:lang w:val="pt-BR"/>
        </w:rPr>
        <w:t>M</w:t>
      </w:r>
      <w:r w:rsidR="00F633DD" w:rsidRPr="00C40BD9">
        <w:rPr>
          <w:rFonts w:ascii="Verdana" w:hAnsi="Verdana"/>
          <w:sz w:val="20"/>
          <w:szCs w:val="20"/>
          <w:lang w:val="pt-BR"/>
        </w:rPr>
        <w:t>érito</w:t>
      </w:r>
      <w:r w:rsidRPr="00C40BD9">
        <w:rPr>
          <w:rFonts w:ascii="Verdana" w:hAnsi="Verdana"/>
          <w:sz w:val="20"/>
          <w:szCs w:val="20"/>
          <w:lang w:val="pt-BR"/>
        </w:rPr>
        <w:t xml:space="preserve">, </w:t>
      </w:r>
      <w:r w:rsidR="00405D70">
        <w:rPr>
          <w:rFonts w:ascii="Verdana" w:hAnsi="Verdana"/>
          <w:sz w:val="20"/>
          <w:szCs w:val="20"/>
          <w:lang w:val="pt-BR"/>
        </w:rPr>
        <w:t>R</w:t>
      </w:r>
      <w:r w:rsidRPr="00C40BD9">
        <w:rPr>
          <w:rFonts w:ascii="Verdana" w:hAnsi="Verdana"/>
          <w:sz w:val="20"/>
          <w:szCs w:val="20"/>
          <w:lang w:val="pt-BR"/>
        </w:rPr>
        <w:t>epara</w:t>
      </w:r>
      <w:r w:rsidR="00F633DD" w:rsidRPr="00C40BD9">
        <w:rPr>
          <w:rFonts w:ascii="Verdana" w:hAnsi="Verdana"/>
          <w:sz w:val="20"/>
          <w:szCs w:val="20"/>
          <w:lang w:val="pt-BR"/>
        </w:rPr>
        <w:t>ções</w:t>
      </w:r>
      <w:r w:rsidRPr="00C40BD9">
        <w:rPr>
          <w:rFonts w:ascii="Verdana" w:hAnsi="Verdana"/>
          <w:sz w:val="20"/>
          <w:szCs w:val="20"/>
          <w:lang w:val="pt-BR"/>
        </w:rPr>
        <w:t xml:space="preserve"> </w:t>
      </w:r>
      <w:r w:rsidR="00F633DD" w:rsidRPr="00C40BD9">
        <w:rPr>
          <w:rFonts w:ascii="Verdana" w:hAnsi="Verdana"/>
          <w:sz w:val="20"/>
          <w:szCs w:val="20"/>
          <w:lang w:val="pt-BR"/>
        </w:rPr>
        <w:t>e</w:t>
      </w:r>
      <w:r w:rsidR="00DE316A">
        <w:rPr>
          <w:rFonts w:ascii="Verdana" w:hAnsi="Verdana"/>
          <w:sz w:val="20"/>
          <w:szCs w:val="20"/>
          <w:lang w:val="pt-BR"/>
        </w:rPr>
        <w:t xml:space="preserve"> </w:t>
      </w:r>
      <w:r w:rsidR="00405D70">
        <w:rPr>
          <w:rFonts w:ascii="Verdana" w:hAnsi="Verdana"/>
          <w:sz w:val="20"/>
          <w:szCs w:val="20"/>
          <w:lang w:val="pt-BR"/>
        </w:rPr>
        <w:t>C</w:t>
      </w:r>
      <w:r w:rsidR="00C06A9B" w:rsidRPr="00C40BD9">
        <w:rPr>
          <w:rFonts w:ascii="Verdana" w:hAnsi="Verdana"/>
          <w:sz w:val="20"/>
          <w:szCs w:val="20"/>
          <w:lang w:val="pt-BR"/>
        </w:rPr>
        <w:t>u</w:t>
      </w:r>
      <w:r w:rsidRPr="00C40BD9">
        <w:rPr>
          <w:rFonts w:ascii="Verdana" w:hAnsi="Verdana"/>
          <w:sz w:val="20"/>
          <w:szCs w:val="20"/>
          <w:lang w:val="pt-BR"/>
        </w:rPr>
        <w:t>stas</w:t>
      </w:r>
      <w:r w:rsidRPr="00C40BD9">
        <w:rPr>
          <w:rFonts w:ascii="Verdana" w:hAnsi="Verdana" w:cs="Verdana"/>
          <w:sz w:val="20"/>
          <w:szCs w:val="20"/>
          <w:shd w:val="clear" w:color="auto" w:fill="FFFFFF" w:themeFill="background1"/>
          <w:lang w:val="pt-BR"/>
        </w:rPr>
        <w:t xml:space="preserve">, </w:t>
      </w:r>
      <w:r w:rsidR="00F633DD" w:rsidRPr="00C40BD9">
        <w:rPr>
          <w:rFonts w:ascii="Verdana" w:hAnsi="Verdana" w:cs="Verdana"/>
          <w:sz w:val="20"/>
          <w:szCs w:val="20"/>
          <w:shd w:val="clear" w:color="auto" w:fill="FFFFFF" w:themeFill="background1"/>
          <w:lang w:val="pt-BR"/>
        </w:rPr>
        <w:t xml:space="preserve">da </w:t>
      </w:r>
      <w:r w:rsidR="00C06A9B" w:rsidRPr="00C40BD9">
        <w:rPr>
          <w:rFonts w:ascii="Verdana" w:hAnsi="Verdana" w:cs="Verdana"/>
          <w:sz w:val="20"/>
          <w:szCs w:val="20"/>
          <w:shd w:val="clear" w:color="auto" w:fill="FFFFFF" w:themeFill="background1"/>
          <w:lang w:val="pt-BR"/>
        </w:rPr>
        <w:t xml:space="preserve">qual foram </w:t>
      </w:r>
      <w:r w:rsidR="00C06A9B" w:rsidRPr="00C40BD9">
        <w:rPr>
          <w:rFonts w:ascii="Verdana" w:hAnsi="Verdana" w:cs="Verdana"/>
          <w:sz w:val="20"/>
          <w:szCs w:val="20"/>
          <w:lang w:val="pt-BR"/>
        </w:rPr>
        <w:t xml:space="preserve">notificadas </w:t>
      </w:r>
      <w:r w:rsidRPr="00C40BD9">
        <w:rPr>
          <w:rFonts w:ascii="Verdana" w:hAnsi="Verdana" w:cs="Verdana"/>
          <w:sz w:val="20"/>
          <w:szCs w:val="20"/>
          <w:lang w:val="pt-BR"/>
        </w:rPr>
        <w:t xml:space="preserve">as partes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Pr="00C40BD9">
        <w:rPr>
          <w:rFonts w:ascii="Verdana" w:hAnsi="Verdana" w:cs="Verdana"/>
          <w:sz w:val="20"/>
          <w:szCs w:val="20"/>
          <w:lang w:val="pt-BR"/>
        </w:rPr>
        <w:t xml:space="preserve">a </w:t>
      </w:r>
      <w:r w:rsidR="00C06A9B" w:rsidRPr="00C40BD9">
        <w:rPr>
          <w:rFonts w:ascii="Verdana" w:hAnsi="Verdana" w:cs="Verdana"/>
          <w:sz w:val="20"/>
          <w:szCs w:val="20"/>
          <w:lang w:val="pt-BR"/>
        </w:rPr>
        <w:t>Comissão</w:t>
      </w:r>
      <w:r w:rsidR="00DE316A">
        <w:rPr>
          <w:rFonts w:ascii="Verdana" w:hAnsi="Verdana" w:cs="Verdana"/>
          <w:sz w:val="20"/>
          <w:szCs w:val="20"/>
          <w:lang w:val="pt-BR"/>
        </w:rPr>
        <w:t xml:space="preserve"> </w:t>
      </w:r>
      <w:r w:rsidRPr="00C40BD9">
        <w:rPr>
          <w:rFonts w:ascii="Verdana" w:hAnsi="Verdana" w:cs="Verdana"/>
          <w:sz w:val="20"/>
          <w:szCs w:val="20"/>
          <w:lang w:val="pt-BR"/>
        </w:rPr>
        <w:t xml:space="preserve">Interamericana de </w:t>
      </w:r>
      <w:r w:rsidR="00F633DD" w:rsidRPr="00C40BD9">
        <w:rPr>
          <w:rFonts w:ascii="Verdana" w:hAnsi="Verdana" w:cs="Verdana"/>
          <w:sz w:val="20"/>
          <w:szCs w:val="20"/>
          <w:lang w:val="pt-BR"/>
        </w:rPr>
        <w:t>Direitos</w:t>
      </w:r>
      <w:r w:rsidR="00DE316A">
        <w:rPr>
          <w:rFonts w:ascii="Verdana" w:hAnsi="Verdana" w:cs="Verdana"/>
          <w:sz w:val="20"/>
          <w:szCs w:val="20"/>
          <w:lang w:val="pt-BR"/>
        </w:rPr>
        <w:t xml:space="preserve"> </w:t>
      </w:r>
      <w:r w:rsidRPr="00C40BD9">
        <w:rPr>
          <w:rFonts w:ascii="Verdana" w:hAnsi="Verdana" w:cs="Verdana"/>
          <w:sz w:val="20"/>
          <w:szCs w:val="20"/>
          <w:lang w:val="pt-BR"/>
        </w:rPr>
        <w:t>Humanos (</w:t>
      </w:r>
      <w:r w:rsidR="00C06A9B" w:rsidRPr="00C40BD9">
        <w:rPr>
          <w:rFonts w:ascii="Verdana" w:hAnsi="Verdana" w:cs="Verdana"/>
          <w:sz w:val="20"/>
          <w:szCs w:val="20"/>
          <w:lang w:val="pt-BR"/>
        </w:rPr>
        <w:t xml:space="preserve">doravante denominada </w:t>
      </w:r>
      <w:r w:rsidRPr="00C40BD9">
        <w:rPr>
          <w:rFonts w:ascii="Verdana" w:hAnsi="Verdana" w:cs="Verdana"/>
          <w:sz w:val="20"/>
          <w:szCs w:val="20"/>
          <w:lang w:val="pt-BR"/>
        </w:rPr>
        <w:t>“</w:t>
      </w:r>
      <w:r w:rsidR="00C06A9B" w:rsidRPr="00C40BD9">
        <w:rPr>
          <w:rFonts w:ascii="Verdana" w:hAnsi="Verdana" w:cs="Verdana"/>
          <w:sz w:val="20"/>
          <w:szCs w:val="20"/>
          <w:lang w:val="pt-BR"/>
        </w:rPr>
        <w:t>Comissão</w:t>
      </w:r>
      <w:r w:rsidR="00DE316A">
        <w:rPr>
          <w:rFonts w:ascii="Verdana" w:hAnsi="Verdana" w:cs="Verdana"/>
          <w:sz w:val="20"/>
          <w:szCs w:val="20"/>
          <w:lang w:val="pt-BR"/>
        </w:rPr>
        <w:t xml:space="preserve"> </w:t>
      </w:r>
      <w:r w:rsidRPr="00C40BD9">
        <w:rPr>
          <w:rFonts w:ascii="Verdana" w:hAnsi="Verdana" w:cs="Verdana"/>
          <w:sz w:val="20"/>
          <w:szCs w:val="20"/>
          <w:lang w:val="pt-BR"/>
        </w:rPr>
        <w:t>Interamericana” o</w:t>
      </w:r>
      <w:r w:rsidR="00C06A9B" w:rsidRPr="00C40BD9">
        <w:rPr>
          <w:rFonts w:ascii="Verdana" w:hAnsi="Verdana" w:cs="Verdana"/>
          <w:sz w:val="20"/>
          <w:szCs w:val="20"/>
          <w:lang w:val="pt-BR"/>
        </w:rPr>
        <w:t>u</w:t>
      </w:r>
      <w:r w:rsidRPr="00C40BD9">
        <w:rPr>
          <w:rFonts w:ascii="Verdana" w:hAnsi="Verdana" w:cs="Verdana"/>
          <w:sz w:val="20"/>
          <w:szCs w:val="20"/>
          <w:lang w:val="pt-BR"/>
        </w:rPr>
        <w:t xml:space="preserve"> “</w:t>
      </w:r>
      <w:r w:rsidR="00C06A9B" w:rsidRPr="00C40BD9">
        <w:rPr>
          <w:rFonts w:ascii="Verdana" w:hAnsi="Verdana" w:cs="Verdana"/>
          <w:sz w:val="20"/>
          <w:szCs w:val="20"/>
          <w:lang w:val="pt-BR"/>
        </w:rPr>
        <w:t>Comissão</w:t>
      </w:r>
      <w:r w:rsidRPr="00C40BD9">
        <w:rPr>
          <w:rFonts w:ascii="Verdana" w:hAnsi="Verdana" w:cs="Verdana"/>
          <w:sz w:val="20"/>
          <w:szCs w:val="20"/>
          <w:lang w:val="pt-BR"/>
        </w:rPr>
        <w:t>”)</w:t>
      </w:r>
      <w:r w:rsidR="004A772A">
        <w:rPr>
          <w:rFonts w:ascii="Verdana" w:hAnsi="Verdana" w:cs="Verdana"/>
          <w:sz w:val="20"/>
          <w:szCs w:val="20"/>
          <w:lang w:val="pt-BR"/>
        </w:rPr>
        <w:t>,</w:t>
      </w:r>
      <w:r w:rsidRPr="00C40BD9">
        <w:rPr>
          <w:rFonts w:ascii="Verdana" w:hAnsi="Verdana" w:cs="Verdana"/>
          <w:sz w:val="20"/>
          <w:szCs w:val="20"/>
          <w:lang w:val="pt-BR"/>
        </w:rPr>
        <w:t xml:space="preserve"> e</w:t>
      </w:r>
      <w:r w:rsidR="00C06A9B" w:rsidRPr="00C40BD9">
        <w:rPr>
          <w:rFonts w:ascii="Verdana" w:hAnsi="Verdana" w:cs="Verdana"/>
          <w:sz w:val="20"/>
          <w:szCs w:val="20"/>
          <w:lang w:val="pt-BR"/>
        </w:rPr>
        <w:t>m</w:t>
      </w:r>
      <w:r w:rsidRPr="00C40BD9">
        <w:rPr>
          <w:rFonts w:ascii="Verdana" w:hAnsi="Verdana" w:cs="Verdana"/>
          <w:sz w:val="20"/>
          <w:szCs w:val="20"/>
          <w:lang w:val="pt-BR"/>
        </w:rPr>
        <w:t xml:space="preserve"> </w:t>
      </w:r>
      <w:r w:rsidR="00E1366A" w:rsidRPr="00C40BD9">
        <w:rPr>
          <w:rFonts w:ascii="Verdana" w:hAnsi="Verdana" w:cs="Verdana"/>
          <w:sz w:val="20"/>
          <w:szCs w:val="20"/>
          <w:lang w:val="pt-BR"/>
        </w:rPr>
        <w:t>12 de ma</w:t>
      </w:r>
      <w:r w:rsidR="00C06A9B" w:rsidRPr="00C40BD9">
        <w:rPr>
          <w:rFonts w:ascii="Verdana" w:hAnsi="Verdana" w:cs="Verdana"/>
          <w:sz w:val="20"/>
          <w:szCs w:val="20"/>
          <w:lang w:val="pt-BR"/>
        </w:rPr>
        <w:t>i</w:t>
      </w:r>
      <w:r w:rsidR="00E1366A" w:rsidRPr="00C40BD9">
        <w:rPr>
          <w:rFonts w:ascii="Verdana" w:hAnsi="Verdana" w:cs="Verdana"/>
          <w:sz w:val="20"/>
          <w:szCs w:val="20"/>
          <w:lang w:val="pt-BR"/>
        </w:rPr>
        <w:t xml:space="preserve">o </w:t>
      </w:r>
      <w:r w:rsidR="00407CB3" w:rsidRPr="00C40BD9">
        <w:rPr>
          <w:rFonts w:ascii="Verdana" w:hAnsi="Verdana" w:cs="Verdana"/>
          <w:sz w:val="20"/>
          <w:szCs w:val="20"/>
          <w:lang w:val="pt-BR"/>
        </w:rPr>
        <w:t>de 2017</w:t>
      </w:r>
      <w:r w:rsidR="004A772A">
        <w:rPr>
          <w:rFonts w:ascii="Verdana" w:hAnsi="Verdana" w:cs="Verdana"/>
          <w:sz w:val="20"/>
          <w:szCs w:val="20"/>
          <w:lang w:val="pt-BR"/>
        </w:rPr>
        <w:t>.</w:t>
      </w:r>
      <w:r w:rsidR="001D5CB5" w:rsidRPr="00C40BD9">
        <w:rPr>
          <w:rFonts w:ascii="Verdana" w:hAnsi="Verdana" w:cs="Verdana"/>
          <w:sz w:val="20"/>
          <w:szCs w:val="20"/>
          <w:lang w:val="pt-BR"/>
        </w:rPr>
        <w:t xml:space="preserve"> </w:t>
      </w:r>
    </w:p>
    <w:p w:rsidR="0074017B" w:rsidRPr="00C40BD9" w:rsidRDefault="0074017B" w:rsidP="00A82FB4">
      <w:pPr>
        <w:autoSpaceDE w:val="0"/>
        <w:autoSpaceDN w:val="0"/>
        <w:adjustRightInd w:val="0"/>
        <w:spacing w:after="0" w:line="240" w:lineRule="auto"/>
        <w:jc w:val="both"/>
        <w:rPr>
          <w:rFonts w:ascii="Verdana" w:hAnsi="Verdana" w:cs="Verdana"/>
          <w:sz w:val="20"/>
          <w:szCs w:val="20"/>
          <w:lang w:val="pt-BR"/>
        </w:rPr>
      </w:pPr>
    </w:p>
    <w:p w:rsidR="0074017B" w:rsidRPr="00C40BD9" w:rsidRDefault="0074017B" w:rsidP="00A82FB4">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pt-BR"/>
        </w:rPr>
      </w:pPr>
      <w:r w:rsidRPr="00C40BD9">
        <w:rPr>
          <w:rFonts w:ascii="Verdana" w:hAnsi="Verdana" w:cs="Verdana"/>
          <w:sz w:val="20"/>
          <w:szCs w:val="20"/>
          <w:lang w:val="pt-BR"/>
        </w:rPr>
        <w:t>E</w:t>
      </w:r>
      <w:r w:rsidR="00C06A9B" w:rsidRPr="00C40BD9">
        <w:rPr>
          <w:rFonts w:ascii="Verdana" w:hAnsi="Verdana" w:cs="Verdana"/>
          <w:sz w:val="20"/>
          <w:szCs w:val="20"/>
          <w:lang w:val="pt-BR"/>
        </w:rPr>
        <w:t>m</w:t>
      </w:r>
      <w:r w:rsidRPr="00C40BD9">
        <w:rPr>
          <w:rFonts w:ascii="Verdana" w:hAnsi="Verdana" w:cs="Verdana"/>
          <w:sz w:val="20"/>
          <w:szCs w:val="20"/>
          <w:lang w:val="pt-BR"/>
        </w:rPr>
        <w:t xml:space="preserve"> 9 de </w:t>
      </w:r>
      <w:r w:rsidR="008A2A90" w:rsidRPr="00C40BD9">
        <w:rPr>
          <w:rFonts w:ascii="Verdana" w:hAnsi="Verdana" w:cs="Verdana"/>
          <w:sz w:val="20"/>
          <w:szCs w:val="20"/>
          <w:lang w:val="pt-BR"/>
        </w:rPr>
        <w:t>a</w:t>
      </w:r>
      <w:r w:rsidRPr="00C40BD9">
        <w:rPr>
          <w:rFonts w:ascii="Verdana" w:hAnsi="Verdana" w:cs="Verdana"/>
          <w:sz w:val="20"/>
          <w:szCs w:val="20"/>
          <w:lang w:val="pt-BR"/>
        </w:rPr>
        <w:t>gosto de 2017</w:t>
      </w:r>
      <w:r w:rsidR="00C06A9B" w:rsidRPr="00C40BD9">
        <w:rPr>
          <w:rFonts w:ascii="Verdana" w:hAnsi="Verdana" w:cs="Verdana"/>
          <w:sz w:val="20"/>
          <w:szCs w:val="20"/>
          <w:lang w:val="pt-BR"/>
        </w:rPr>
        <w:t>,</w:t>
      </w:r>
      <w:r w:rsidRPr="00C40BD9">
        <w:rPr>
          <w:rFonts w:ascii="Verdana" w:hAnsi="Verdana" w:cs="Verdana"/>
          <w:sz w:val="20"/>
          <w:szCs w:val="20"/>
          <w:lang w:val="pt-BR"/>
        </w:rPr>
        <w:t xml:space="preserve"> </w:t>
      </w:r>
      <w:r w:rsidR="00C06A9B" w:rsidRPr="00C40BD9">
        <w:rPr>
          <w:rFonts w:ascii="Verdana" w:hAnsi="Verdana" w:cs="Verdana"/>
          <w:sz w:val="20"/>
          <w:szCs w:val="20"/>
          <w:lang w:val="pt-BR"/>
        </w:rPr>
        <w:t>os representantes apresentaram uma solicitação</w:t>
      </w:r>
      <w:r w:rsidRPr="00C40BD9">
        <w:rPr>
          <w:rFonts w:ascii="Verdana" w:hAnsi="Verdana" w:cs="Verdana"/>
          <w:sz w:val="20"/>
          <w:szCs w:val="20"/>
          <w:lang w:val="pt-BR"/>
        </w:rPr>
        <w:t xml:space="preserve"> de interpreta</w:t>
      </w:r>
      <w:r w:rsidR="00F633DD" w:rsidRPr="00C40BD9">
        <w:rPr>
          <w:rFonts w:ascii="Verdana" w:hAnsi="Verdana" w:cs="Verdana"/>
          <w:sz w:val="20"/>
          <w:szCs w:val="20"/>
          <w:lang w:val="pt-BR"/>
        </w:rPr>
        <w:t>ção</w:t>
      </w:r>
      <w:r w:rsidRPr="00C40BD9">
        <w:rPr>
          <w:rFonts w:ascii="Verdana" w:hAnsi="Verdana" w:cs="Verdana"/>
          <w:sz w:val="20"/>
          <w:szCs w:val="20"/>
          <w:lang w:val="pt-BR"/>
        </w:rPr>
        <w:t xml:space="preserve"> de </w:t>
      </w:r>
      <w:r w:rsidR="00C06A9B" w:rsidRPr="00C40BD9">
        <w:rPr>
          <w:rFonts w:ascii="Verdana" w:hAnsi="Verdana" w:cs="Verdana"/>
          <w:sz w:val="20"/>
          <w:szCs w:val="20"/>
          <w:lang w:val="pt-BR"/>
        </w:rPr>
        <w:t>sentença,</w:t>
      </w:r>
      <w:r w:rsidR="00DE316A">
        <w:rPr>
          <w:rFonts w:ascii="Verdana" w:hAnsi="Verdana" w:cs="Verdana"/>
          <w:sz w:val="20"/>
          <w:szCs w:val="20"/>
          <w:lang w:val="pt-BR"/>
        </w:rPr>
        <w:t xml:space="preserve"> </w:t>
      </w:r>
      <w:r w:rsidR="00F633DD" w:rsidRPr="00C40BD9">
        <w:rPr>
          <w:rFonts w:ascii="Verdana" w:hAnsi="Verdana" w:cs="Verdana"/>
          <w:sz w:val="20"/>
          <w:szCs w:val="20"/>
          <w:lang w:val="pt-BR"/>
        </w:rPr>
        <w:t xml:space="preserve">em conformidade com </w:t>
      </w:r>
      <w:r w:rsidR="00C06A9B" w:rsidRPr="00C40BD9">
        <w:rPr>
          <w:rFonts w:ascii="Verdana" w:hAnsi="Verdana" w:cs="Verdana"/>
          <w:sz w:val="20"/>
          <w:szCs w:val="20"/>
          <w:lang w:val="pt-BR"/>
        </w:rPr>
        <w:t xml:space="preserve">os artigos </w:t>
      </w:r>
      <w:r w:rsidRPr="00C40BD9">
        <w:rPr>
          <w:rFonts w:ascii="Verdana" w:hAnsi="Verdana" w:cs="Verdana"/>
          <w:sz w:val="20"/>
          <w:szCs w:val="20"/>
          <w:lang w:val="pt-BR"/>
        </w:rPr>
        <w:t xml:space="preserve">67 </w:t>
      </w:r>
      <w:r w:rsidR="00F633DD" w:rsidRPr="00C40BD9">
        <w:rPr>
          <w:rFonts w:ascii="Verdana" w:hAnsi="Verdana" w:cs="Verdana"/>
          <w:sz w:val="20"/>
          <w:szCs w:val="20"/>
          <w:lang w:val="pt-BR"/>
        </w:rPr>
        <w:t xml:space="preserve">da </w:t>
      </w:r>
      <w:r w:rsidRPr="00C40BD9">
        <w:rPr>
          <w:rFonts w:ascii="Verdana" w:hAnsi="Verdana" w:cs="Verdana"/>
          <w:sz w:val="20"/>
          <w:szCs w:val="20"/>
          <w:lang w:val="pt-BR"/>
        </w:rPr>
        <w:t>Conven</w:t>
      </w:r>
      <w:r w:rsidR="00F633DD" w:rsidRPr="00C40BD9">
        <w:rPr>
          <w:rFonts w:ascii="Verdana" w:hAnsi="Verdana" w:cs="Verdana"/>
          <w:sz w:val="20"/>
          <w:szCs w:val="20"/>
          <w:lang w:val="pt-BR"/>
        </w:rPr>
        <w:t>ção</w:t>
      </w:r>
      <w:r w:rsidRPr="00C40BD9">
        <w:rPr>
          <w:rFonts w:ascii="Verdana" w:hAnsi="Verdana" w:cs="Verdana"/>
          <w:sz w:val="20"/>
          <w:szCs w:val="20"/>
          <w:lang w:val="pt-BR"/>
        </w:rPr>
        <w:t xml:space="preserve">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Pr="00C40BD9">
        <w:rPr>
          <w:rFonts w:ascii="Verdana" w:hAnsi="Verdana" w:cs="Verdana"/>
          <w:sz w:val="20"/>
          <w:szCs w:val="20"/>
          <w:lang w:val="pt-BR"/>
        </w:rPr>
        <w:t>68 d</w:t>
      </w:r>
      <w:r w:rsidR="00C06A9B" w:rsidRPr="00C40BD9">
        <w:rPr>
          <w:rFonts w:ascii="Verdana" w:hAnsi="Verdana" w:cs="Verdana"/>
          <w:sz w:val="20"/>
          <w:szCs w:val="20"/>
          <w:lang w:val="pt-BR"/>
        </w:rPr>
        <w:t>o</w:t>
      </w:r>
      <w:r w:rsidRPr="00C40BD9">
        <w:rPr>
          <w:rFonts w:ascii="Verdana" w:hAnsi="Verdana" w:cs="Verdana"/>
          <w:sz w:val="20"/>
          <w:szCs w:val="20"/>
          <w:lang w:val="pt-BR"/>
        </w:rPr>
        <w:t xml:space="preserve"> </w:t>
      </w:r>
      <w:r w:rsidR="00F633DD" w:rsidRPr="00C40BD9">
        <w:rPr>
          <w:rFonts w:ascii="Verdana" w:hAnsi="Verdana" w:cs="Verdana"/>
          <w:sz w:val="20"/>
          <w:szCs w:val="20"/>
          <w:lang w:val="pt-BR"/>
        </w:rPr>
        <w:t>Regulamento</w:t>
      </w:r>
      <w:r w:rsidRPr="00C40BD9">
        <w:rPr>
          <w:rFonts w:ascii="Verdana" w:hAnsi="Verdana" w:cs="Verdana"/>
          <w:sz w:val="20"/>
          <w:szCs w:val="20"/>
          <w:lang w:val="pt-BR"/>
        </w:rPr>
        <w:t xml:space="preserve">, sobre </w:t>
      </w:r>
      <w:r w:rsidR="00C06A9B" w:rsidRPr="00C40BD9">
        <w:rPr>
          <w:rFonts w:ascii="Verdana" w:hAnsi="Verdana" w:cs="Verdana"/>
          <w:sz w:val="20"/>
          <w:szCs w:val="20"/>
          <w:lang w:val="pt-BR"/>
        </w:rPr>
        <w:t>o</w:t>
      </w:r>
      <w:r w:rsidRPr="00C40BD9">
        <w:rPr>
          <w:rFonts w:ascii="Verdana" w:hAnsi="Verdana" w:cs="Verdana"/>
          <w:sz w:val="20"/>
          <w:szCs w:val="20"/>
          <w:lang w:val="pt-BR"/>
        </w:rPr>
        <w:t xml:space="preserve"> alcance d</w:t>
      </w:r>
      <w:r w:rsidR="00C06A9B" w:rsidRPr="00C40BD9">
        <w:rPr>
          <w:rFonts w:ascii="Verdana" w:hAnsi="Verdana" w:cs="Verdana"/>
          <w:sz w:val="20"/>
          <w:szCs w:val="20"/>
          <w:lang w:val="pt-BR"/>
        </w:rPr>
        <w:t>o</w:t>
      </w:r>
      <w:r w:rsidRPr="00C40BD9">
        <w:rPr>
          <w:rFonts w:ascii="Verdana" w:hAnsi="Verdana" w:cs="Verdana"/>
          <w:sz w:val="20"/>
          <w:szCs w:val="20"/>
          <w:lang w:val="pt-BR"/>
        </w:rPr>
        <w:t xml:space="preserve"> </w:t>
      </w:r>
      <w:r w:rsidR="00C06A9B" w:rsidRPr="00C40BD9">
        <w:rPr>
          <w:rFonts w:ascii="Verdana" w:hAnsi="Verdana" w:cs="Verdana"/>
          <w:sz w:val="20"/>
          <w:szCs w:val="20"/>
          <w:lang w:val="pt-BR"/>
        </w:rPr>
        <w:t>parágrafo</w:t>
      </w:r>
      <w:r w:rsidR="00DE316A">
        <w:rPr>
          <w:rFonts w:ascii="Verdana" w:hAnsi="Verdana" w:cs="Verdana"/>
          <w:sz w:val="20"/>
          <w:szCs w:val="20"/>
          <w:lang w:val="pt-BR"/>
        </w:rPr>
        <w:t xml:space="preserve"> </w:t>
      </w:r>
      <w:r w:rsidRPr="00C40BD9">
        <w:rPr>
          <w:rFonts w:ascii="Verdana" w:hAnsi="Verdana" w:cs="Verdana"/>
          <w:sz w:val="20"/>
          <w:szCs w:val="20"/>
          <w:lang w:val="pt-BR"/>
        </w:rPr>
        <w:t>292.b</w:t>
      </w:r>
      <w:r w:rsidR="00E50131" w:rsidRPr="00C40BD9">
        <w:rPr>
          <w:rFonts w:ascii="Verdana" w:hAnsi="Verdana" w:cs="Verdana"/>
          <w:sz w:val="20"/>
          <w:szCs w:val="20"/>
          <w:lang w:val="pt-BR"/>
        </w:rPr>
        <w:t xml:space="preserve"> </w:t>
      </w:r>
      <w:r w:rsidR="00F633DD" w:rsidRPr="00C40BD9">
        <w:rPr>
          <w:rFonts w:ascii="Verdana" w:hAnsi="Verdana" w:cs="Verdana"/>
          <w:sz w:val="20"/>
          <w:szCs w:val="20"/>
          <w:lang w:val="pt-BR"/>
        </w:rPr>
        <w:t>da Sentença</w:t>
      </w:r>
      <w:r w:rsidR="006D1CD4" w:rsidRPr="00C40BD9">
        <w:rPr>
          <w:rFonts w:ascii="Verdana" w:hAnsi="Verdana" w:cs="Verdana"/>
          <w:sz w:val="20"/>
          <w:szCs w:val="20"/>
          <w:lang w:val="pt-BR"/>
        </w:rPr>
        <w:t xml:space="preserve">, </w:t>
      </w:r>
      <w:r w:rsidR="00D13234">
        <w:rPr>
          <w:rFonts w:ascii="Verdana" w:hAnsi="Verdana" w:cs="Verdana"/>
          <w:sz w:val="20"/>
          <w:szCs w:val="20"/>
          <w:lang w:val="pt-BR"/>
        </w:rPr>
        <w:t>com vistas a</w:t>
      </w:r>
      <w:r w:rsidR="006D1CD4" w:rsidRPr="00C40BD9">
        <w:rPr>
          <w:rFonts w:ascii="Verdana" w:hAnsi="Verdana" w:cs="Verdana"/>
          <w:sz w:val="20"/>
          <w:szCs w:val="20"/>
          <w:lang w:val="pt-BR"/>
        </w:rPr>
        <w:t xml:space="preserve"> </w:t>
      </w:r>
      <w:r w:rsidR="00571782" w:rsidRPr="00C40BD9">
        <w:rPr>
          <w:rFonts w:ascii="Verdana" w:hAnsi="Verdana" w:cs="Verdana"/>
          <w:sz w:val="20"/>
          <w:szCs w:val="20"/>
          <w:lang w:val="pt-BR"/>
        </w:rPr>
        <w:t>esclarecer</w:t>
      </w:r>
      <w:r w:rsidR="006D1CD4" w:rsidRPr="00C40BD9">
        <w:rPr>
          <w:rFonts w:ascii="Verdana" w:hAnsi="Verdana" w:cs="Verdana"/>
          <w:sz w:val="20"/>
          <w:szCs w:val="20"/>
          <w:lang w:val="pt-BR"/>
        </w:rPr>
        <w:t xml:space="preserve"> s</w:t>
      </w:r>
      <w:r w:rsidR="00C06A9B" w:rsidRPr="00C40BD9">
        <w:rPr>
          <w:rFonts w:ascii="Verdana" w:hAnsi="Verdana" w:cs="Verdana"/>
          <w:sz w:val="20"/>
          <w:szCs w:val="20"/>
          <w:lang w:val="pt-BR"/>
        </w:rPr>
        <w:t>e</w:t>
      </w:r>
      <w:r w:rsidR="006D1CD4" w:rsidRPr="00C40BD9">
        <w:rPr>
          <w:rFonts w:ascii="Verdana" w:hAnsi="Verdana" w:cs="Verdana"/>
          <w:sz w:val="20"/>
          <w:szCs w:val="20"/>
          <w:lang w:val="pt-BR"/>
        </w:rPr>
        <w:t xml:space="preserve"> </w:t>
      </w:r>
      <w:r w:rsidR="00571782" w:rsidRPr="00C40BD9">
        <w:rPr>
          <w:rFonts w:ascii="Verdana" w:hAnsi="Verdana" w:cs="Verdana"/>
          <w:sz w:val="20"/>
          <w:szCs w:val="20"/>
          <w:lang w:val="pt-BR"/>
        </w:rPr>
        <w:t xml:space="preserve">a </w:t>
      </w:r>
      <w:r w:rsidR="00C06A9B" w:rsidRPr="00C40BD9">
        <w:rPr>
          <w:rFonts w:ascii="Verdana" w:hAnsi="Verdana" w:cs="Verdana"/>
          <w:sz w:val="20"/>
          <w:szCs w:val="20"/>
          <w:lang w:val="pt-BR"/>
        </w:rPr>
        <w:t>excludente</w:t>
      </w:r>
      <w:r w:rsidR="00571782" w:rsidRPr="00C40BD9">
        <w:rPr>
          <w:rFonts w:ascii="Verdana" w:hAnsi="Verdana" w:cs="Verdana"/>
          <w:sz w:val="20"/>
          <w:szCs w:val="20"/>
          <w:lang w:val="pt-BR"/>
        </w:rPr>
        <w:t xml:space="preserve"> de aplica</w:t>
      </w:r>
      <w:r w:rsidR="00F633DD" w:rsidRPr="00C40BD9">
        <w:rPr>
          <w:rFonts w:ascii="Verdana" w:hAnsi="Verdana" w:cs="Verdana"/>
          <w:sz w:val="20"/>
          <w:szCs w:val="20"/>
          <w:lang w:val="pt-BR"/>
        </w:rPr>
        <w:t>ção</w:t>
      </w:r>
      <w:r w:rsidR="00571782" w:rsidRPr="00C40BD9">
        <w:rPr>
          <w:rFonts w:ascii="Verdana" w:hAnsi="Verdana" w:cs="Verdana"/>
          <w:sz w:val="20"/>
          <w:szCs w:val="20"/>
          <w:lang w:val="pt-BR"/>
        </w:rPr>
        <w:t xml:space="preserve"> </w:t>
      </w:r>
      <w:r w:rsidR="00C06A9B" w:rsidRPr="00C40BD9">
        <w:rPr>
          <w:rFonts w:ascii="Verdana" w:hAnsi="Verdana" w:cs="Verdana"/>
          <w:sz w:val="20"/>
          <w:szCs w:val="20"/>
          <w:lang w:val="pt-BR"/>
        </w:rPr>
        <w:t xml:space="preserve">dos </w:t>
      </w:r>
      <w:r w:rsidR="00571782" w:rsidRPr="00C40BD9">
        <w:rPr>
          <w:rFonts w:ascii="Verdana" w:hAnsi="Verdana" w:cs="Verdana"/>
          <w:sz w:val="20"/>
          <w:szCs w:val="20"/>
          <w:lang w:val="pt-BR"/>
        </w:rPr>
        <w:t>“obstáculos proces</w:t>
      </w:r>
      <w:r w:rsidR="00C06A9B" w:rsidRPr="00C40BD9">
        <w:rPr>
          <w:rFonts w:ascii="Verdana" w:hAnsi="Verdana" w:cs="Verdana"/>
          <w:sz w:val="20"/>
          <w:szCs w:val="20"/>
          <w:lang w:val="pt-BR"/>
        </w:rPr>
        <w:t>su</w:t>
      </w:r>
      <w:r w:rsidR="00571782" w:rsidRPr="00C40BD9">
        <w:rPr>
          <w:rFonts w:ascii="Verdana" w:hAnsi="Verdana" w:cs="Verdana"/>
          <w:sz w:val="20"/>
          <w:szCs w:val="20"/>
          <w:lang w:val="pt-BR"/>
        </w:rPr>
        <w:t>a</w:t>
      </w:r>
      <w:r w:rsidR="00C06A9B" w:rsidRPr="00C40BD9">
        <w:rPr>
          <w:rFonts w:ascii="Verdana" w:hAnsi="Verdana" w:cs="Verdana"/>
          <w:sz w:val="20"/>
          <w:szCs w:val="20"/>
          <w:lang w:val="pt-BR"/>
        </w:rPr>
        <w:t>i</w:t>
      </w:r>
      <w:r w:rsidR="00571782" w:rsidRPr="00C40BD9">
        <w:rPr>
          <w:rFonts w:ascii="Verdana" w:hAnsi="Verdana" w:cs="Verdana"/>
          <w:sz w:val="20"/>
          <w:szCs w:val="20"/>
          <w:lang w:val="pt-BR"/>
        </w:rPr>
        <w:t>s”</w:t>
      </w:r>
      <w:r w:rsidR="008A2A90" w:rsidRPr="00C40BD9">
        <w:rPr>
          <w:rFonts w:ascii="Verdana" w:hAnsi="Verdana" w:cs="Verdana"/>
          <w:sz w:val="20"/>
          <w:szCs w:val="20"/>
          <w:lang w:val="pt-BR"/>
        </w:rPr>
        <w:t>,</w:t>
      </w:r>
      <w:r w:rsidR="00571782" w:rsidRPr="00C40BD9">
        <w:rPr>
          <w:rFonts w:ascii="Verdana" w:hAnsi="Verdana" w:cs="Verdana"/>
          <w:sz w:val="20"/>
          <w:szCs w:val="20"/>
          <w:lang w:val="pt-BR"/>
        </w:rPr>
        <w:t xml:space="preserve"> ta</w:t>
      </w:r>
      <w:r w:rsidR="00C06A9B" w:rsidRPr="00C40BD9">
        <w:rPr>
          <w:rFonts w:ascii="Verdana" w:hAnsi="Verdana" w:cs="Verdana"/>
          <w:sz w:val="20"/>
          <w:szCs w:val="20"/>
          <w:lang w:val="pt-BR"/>
        </w:rPr>
        <w:t>i</w:t>
      </w:r>
      <w:r w:rsidR="00571782" w:rsidRPr="00C40BD9">
        <w:rPr>
          <w:rFonts w:ascii="Verdana" w:hAnsi="Verdana" w:cs="Verdana"/>
          <w:sz w:val="20"/>
          <w:szCs w:val="20"/>
          <w:lang w:val="pt-BR"/>
        </w:rPr>
        <w:t xml:space="preserve">s como </w:t>
      </w:r>
      <w:r w:rsidR="00C06A9B" w:rsidRPr="00C40BD9">
        <w:rPr>
          <w:rFonts w:ascii="Verdana" w:hAnsi="Verdana" w:cs="Verdana"/>
          <w:sz w:val="20"/>
          <w:szCs w:val="20"/>
          <w:lang w:val="pt-BR"/>
        </w:rPr>
        <w:t xml:space="preserve">a </w:t>
      </w:r>
      <w:r w:rsidR="00571782" w:rsidRPr="00C40BD9">
        <w:rPr>
          <w:rFonts w:ascii="Verdana" w:hAnsi="Verdana" w:cs="Verdana"/>
          <w:sz w:val="20"/>
          <w:szCs w:val="20"/>
          <w:lang w:val="pt-BR"/>
        </w:rPr>
        <w:t>prescri</w:t>
      </w:r>
      <w:r w:rsidR="00F633DD" w:rsidRPr="00C40BD9">
        <w:rPr>
          <w:rFonts w:ascii="Verdana" w:hAnsi="Verdana" w:cs="Verdana"/>
          <w:sz w:val="20"/>
          <w:szCs w:val="20"/>
          <w:lang w:val="pt-BR"/>
        </w:rPr>
        <w:t>ção</w:t>
      </w:r>
      <w:r w:rsidR="008A2A90" w:rsidRPr="00C40BD9">
        <w:rPr>
          <w:rFonts w:ascii="Verdana" w:hAnsi="Verdana" w:cs="Verdana"/>
          <w:sz w:val="20"/>
          <w:szCs w:val="20"/>
          <w:lang w:val="pt-BR"/>
        </w:rPr>
        <w:t>,</w:t>
      </w:r>
      <w:r w:rsidR="00571782" w:rsidRPr="00C40BD9">
        <w:rPr>
          <w:rFonts w:ascii="Verdana" w:hAnsi="Verdana" w:cs="Verdana"/>
          <w:sz w:val="20"/>
          <w:szCs w:val="20"/>
          <w:lang w:val="pt-BR"/>
        </w:rPr>
        <w:t xml:space="preserve"> </w:t>
      </w:r>
      <w:r w:rsidR="008A2A90" w:rsidRPr="00C40BD9">
        <w:rPr>
          <w:rFonts w:ascii="Verdana" w:hAnsi="Verdana" w:cs="Verdana"/>
          <w:sz w:val="20"/>
          <w:szCs w:val="20"/>
          <w:lang w:val="pt-BR"/>
        </w:rPr>
        <w:t xml:space="preserve">se refere </w:t>
      </w:r>
      <w:r w:rsidRPr="00C40BD9">
        <w:rPr>
          <w:rFonts w:ascii="Verdana" w:hAnsi="Verdana" w:cs="Verdana"/>
          <w:sz w:val="20"/>
          <w:szCs w:val="20"/>
          <w:lang w:val="pt-BR"/>
        </w:rPr>
        <w:t>a</w:t>
      </w:r>
      <w:r w:rsidR="00475C1A" w:rsidRPr="00C40BD9">
        <w:rPr>
          <w:rFonts w:ascii="Verdana" w:hAnsi="Verdana" w:cs="Verdana"/>
          <w:sz w:val="20"/>
          <w:szCs w:val="20"/>
          <w:lang w:val="pt-BR"/>
        </w:rPr>
        <w:t xml:space="preserve">os </w:t>
      </w:r>
      <w:r w:rsidR="00C06A9B" w:rsidRPr="00C40BD9">
        <w:rPr>
          <w:rFonts w:ascii="Verdana" w:hAnsi="Verdana" w:cs="Verdana"/>
          <w:sz w:val="20"/>
          <w:szCs w:val="20"/>
          <w:lang w:val="pt-BR"/>
        </w:rPr>
        <w:t xml:space="preserve">atos </w:t>
      </w:r>
      <w:r w:rsidR="00475C1A" w:rsidRPr="00C40BD9">
        <w:rPr>
          <w:rFonts w:ascii="Verdana" w:hAnsi="Verdana" w:cs="Verdana"/>
          <w:sz w:val="20"/>
          <w:szCs w:val="20"/>
          <w:lang w:val="pt-BR"/>
        </w:rPr>
        <w:t xml:space="preserve">de </w:t>
      </w:r>
      <w:r w:rsidR="00C06A9B" w:rsidRPr="00C40BD9">
        <w:rPr>
          <w:rFonts w:ascii="Verdana" w:hAnsi="Verdana" w:cs="Verdana"/>
          <w:sz w:val="20"/>
          <w:szCs w:val="20"/>
          <w:lang w:val="pt-BR"/>
        </w:rPr>
        <w:t>violência</w:t>
      </w:r>
      <w:r w:rsidR="00DE316A">
        <w:rPr>
          <w:rFonts w:ascii="Verdana" w:hAnsi="Verdana" w:cs="Verdana"/>
          <w:sz w:val="20"/>
          <w:szCs w:val="20"/>
          <w:lang w:val="pt-BR"/>
        </w:rPr>
        <w:t xml:space="preserve"> </w:t>
      </w:r>
      <w:r w:rsidR="00475C1A" w:rsidRPr="00C40BD9">
        <w:rPr>
          <w:rFonts w:ascii="Verdana" w:hAnsi="Verdana" w:cs="Verdana"/>
          <w:sz w:val="20"/>
          <w:szCs w:val="20"/>
          <w:lang w:val="pt-BR"/>
        </w:rPr>
        <w:t>sexual</w:t>
      </w:r>
      <w:r w:rsidR="00571782" w:rsidRPr="00C40BD9">
        <w:rPr>
          <w:rFonts w:ascii="Verdana" w:hAnsi="Verdana" w:cs="Verdana"/>
          <w:sz w:val="20"/>
          <w:szCs w:val="20"/>
          <w:lang w:val="pt-BR"/>
        </w:rPr>
        <w:t xml:space="preserve"> o</w:t>
      </w:r>
      <w:r w:rsidR="00C06A9B" w:rsidRPr="00C40BD9">
        <w:rPr>
          <w:rFonts w:ascii="Verdana" w:hAnsi="Verdana" w:cs="Verdana"/>
          <w:sz w:val="20"/>
          <w:szCs w:val="20"/>
          <w:lang w:val="pt-BR"/>
        </w:rPr>
        <w:t>u</w:t>
      </w:r>
      <w:r w:rsidR="00571782" w:rsidRPr="00C40BD9">
        <w:rPr>
          <w:rFonts w:ascii="Verdana" w:hAnsi="Verdana" w:cs="Verdana"/>
          <w:sz w:val="20"/>
          <w:szCs w:val="20"/>
          <w:lang w:val="pt-BR"/>
        </w:rPr>
        <w:t xml:space="preserve"> </w:t>
      </w:r>
      <w:r w:rsidR="00C06A9B" w:rsidRPr="00C40BD9">
        <w:rPr>
          <w:rFonts w:ascii="Verdana" w:hAnsi="Verdana" w:cs="Verdana"/>
          <w:sz w:val="20"/>
          <w:szCs w:val="20"/>
          <w:lang w:val="pt-BR"/>
        </w:rPr>
        <w:t>apenas aos atos</w:t>
      </w:r>
      <w:r w:rsidR="00DE316A">
        <w:rPr>
          <w:rFonts w:ascii="Verdana" w:hAnsi="Verdana" w:cs="Verdana"/>
          <w:sz w:val="20"/>
          <w:szCs w:val="20"/>
          <w:lang w:val="pt-BR"/>
        </w:rPr>
        <w:t xml:space="preserve"> </w:t>
      </w:r>
      <w:r w:rsidR="00571782" w:rsidRPr="00C40BD9">
        <w:rPr>
          <w:rFonts w:ascii="Verdana" w:hAnsi="Verdana" w:cs="Verdana"/>
          <w:sz w:val="20"/>
          <w:szCs w:val="20"/>
          <w:lang w:val="pt-BR"/>
        </w:rPr>
        <w:t xml:space="preserve">de </w:t>
      </w:r>
      <w:r w:rsidR="00C06A9B" w:rsidRPr="00C40BD9">
        <w:rPr>
          <w:rFonts w:ascii="Verdana" w:hAnsi="Verdana" w:cs="Verdana"/>
          <w:sz w:val="20"/>
          <w:szCs w:val="20"/>
          <w:lang w:val="pt-BR"/>
        </w:rPr>
        <w:t>violência</w:t>
      </w:r>
      <w:r w:rsidR="00DE316A">
        <w:rPr>
          <w:rFonts w:ascii="Verdana" w:hAnsi="Verdana" w:cs="Verdana"/>
          <w:sz w:val="20"/>
          <w:szCs w:val="20"/>
          <w:lang w:val="pt-BR"/>
        </w:rPr>
        <w:t xml:space="preserve"> </w:t>
      </w:r>
      <w:r w:rsidR="00571782" w:rsidRPr="00C40BD9">
        <w:rPr>
          <w:rFonts w:ascii="Verdana" w:hAnsi="Verdana" w:cs="Verdana"/>
          <w:sz w:val="20"/>
          <w:szCs w:val="20"/>
          <w:lang w:val="pt-BR"/>
        </w:rPr>
        <w:t xml:space="preserve">policial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00C06A9B" w:rsidRPr="00C40BD9">
        <w:rPr>
          <w:rFonts w:ascii="Verdana" w:hAnsi="Verdana" w:cs="Verdana"/>
          <w:sz w:val="20"/>
          <w:szCs w:val="20"/>
          <w:lang w:val="pt-BR"/>
        </w:rPr>
        <w:t>execuções</w:t>
      </w:r>
      <w:r w:rsidR="00DE316A">
        <w:rPr>
          <w:rFonts w:ascii="Verdana" w:hAnsi="Verdana" w:cs="Verdana"/>
          <w:sz w:val="20"/>
          <w:szCs w:val="20"/>
          <w:lang w:val="pt-BR"/>
        </w:rPr>
        <w:t xml:space="preserve"> </w:t>
      </w:r>
      <w:r w:rsidR="00571782" w:rsidRPr="00C40BD9">
        <w:rPr>
          <w:rFonts w:ascii="Verdana" w:hAnsi="Verdana" w:cs="Verdana"/>
          <w:sz w:val="20"/>
          <w:szCs w:val="20"/>
          <w:lang w:val="pt-BR"/>
        </w:rPr>
        <w:t>extrajudici</w:t>
      </w:r>
      <w:r w:rsidR="00C06A9B" w:rsidRPr="00C40BD9">
        <w:rPr>
          <w:rFonts w:ascii="Verdana" w:hAnsi="Verdana" w:cs="Verdana"/>
          <w:sz w:val="20"/>
          <w:szCs w:val="20"/>
          <w:lang w:val="pt-BR"/>
        </w:rPr>
        <w:t>ais</w:t>
      </w:r>
      <w:r w:rsidR="00475C1A" w:rsidRPr="00C40BD9">
        <w:rPr>
          <w:rFonts w:ascii="Verdana" w:hAnsi="Verdana" w:cs="Verdana"/>
          <w:sz w:val="20"/>
          <w:szCs w:val="20"/>
          <w:lang w:val="pt-BR"/>
        </w:rPr>
        <w:t>,</w:t>
      </w:r>
      <w:r w:rsidR="00407CB3" w:rsidRPr="00C40BD9">
        <w:rPr>
          <w:rFonts w:ascii="Verdana" w:hAnsi="Verdana" w:cs="Verdana"/>
          <w:sz w:val="20"/>
          <w:szCs w:val="20"/>
          <w:lang w:val="pt-BR"/>
        </w:rPr>
        <w:t xml:space="preserve"> solicitando </w:t>
      </w:r>
      <w:r w:rsidR="00475C1A" w:rsidRPr="00C40BD9">
        <w:rPr>
          <w:rFonts w:ascii="Verdana" w:hAnsi="Verdana" w:cs="Verdana"/>
          <w:sz w:val="20"/>
          <w:szCs w:val="20"/>
          <w:lang w:val="pt-BR"/>
        </w:rPr>
        <w:t>detal</w:t>
      </w:r>
      <w:r w:rsidR="00C06A9B" w:rsidRPr="00C40BD9">
        <w:rPr>
          <w:rFonts w:ascii="Verdana" w:hAnsi="Verdana" w:cs="Verdana"/>
          <w:sz w:val="20"/>
          <w:szCs w:val="20"/>
          <w:lang w:val="pt-BR"/>
        </w:rPr>
        <w:t>h</w:t>
      </w:r>
      <w:r w:rsidR="00475C1A" w:rsidRPr="00C40BD9">
        <w:rPr>
          <w:rFonts w:ascii="Verdana" w:hAnsi="Verdana" w:cs="Verdana"/>
          <w:sz w:val="20"/>
          <w:szCs w:val="20"/>
          <w:lang w:val="pt-BR"/>
        </w:rPr>
        <w:t xml:space="preserve">es para </w:t>
      </w:r>
      <w:r w:rsidR="00C06A9B" w:rsidRPr="00C40BD9">
        <w:rPr>
          <w:rFonts w:ascii="Verdana" w:hAnsi="Verdana" w:cs="Verdana"/>
          <w:sz w:val="20"/>
          <w:szCs w:val="20"/>
          <w:lang w:val="pt-BR"/>
        </w:rPr>
        <w:t>o melhor cumprimento</w:t>
      </w:r>
      <w:r w:rsidR="00DE316A">
        <w:rPr>
          <w:rFonts w:ascii="Verdana" w:hAnsi="Verdana" w:cs="Verdana"/>
          <w:sz w:val="20"/>
          <w:szCs w:val="20"/>
          <w:lang w:val="pt-BR"/>
        </w:rPr>
        <w:t xml:space="preserve"> </w:t>
      </w:r>
      <w:r w:rsidR="00F633DD" w:rsidRPr="00C40BD9">
        <w:rPr>
          <w:rFonts w:ascii="Verdana" w:hAnsi="Verdana" w:cs="Verdana"/>
          <w:sz w:val="20"/>
          <w:szCs w:val="20"/>
          <w:lang w:val="pt-BR"/>
        </w:rPr>
        <w:t xml:space="preserve">da </w:t>
      </w:r>
      <w:r w:rsidR="00C06A9B" w:rsidRPr="00C40BD9">
        <w:rPr>
          <w:rFonts w:ascii="Verdana" w:hAnsi="Verdana" w:cs="Verdana"/>
          <w:sz w:val="20"/>
          <w:szCs w:val="20"/>
          <w:lang w:val="pt-BR"/>
        </w:rPr>
        <w:t>sentença</w:t>
      </w:r>
      <w:r w:rsidR="00DE316A">
        <w:rPr>
          <w:rFonts w:ascii="Verdana" w:hAnsi="Verdana" w:cs="Verdana"/>
          <w:sz w:val="20"/>
          <w:szCs w:val="20"/>
          <w:lang w:val="pt-BR"/>
        </w:rPr>
        <w:t xml:space="preserve"> </w:t>
      </w:r>
      <w:r w:rsidR="00475C1A" w:rsidRPr="00C40BD9">
        <w:rPr>
          <w:rFonts w:ascii="Verdana" w:hAnsi="Verdana" w:cs="Verdana"/>
          <w:sz w:val="20"/>
          <w:szCs w:val="20"/>
          <w:lang w:val="pt-BR"/>
        </w:rPr>
        <w:t xml:space="preserve">por </w:t>
      </w:r>
      <w:r w:rsidR="008A2A90" w:rsidRPr="00C40BD9">
        <w:rPr>
          <w:rFonts w:ascii="Verdana" w:hAnsi="Verdana" w:cs="Verdana"/>
          <w:sz w:val="20"/>
          <w:szCs w:val="20"/>
          <w:lang w:val="pt-BR"/>
        </w:rPr>
        <w:t>parte d</w:t>
      </w:r>
      <w:r w:rsidR="00C06A9B" w:rsidRPr="00C40BD9">
        <w:rPr>
          <w:rFonts w:ascii="Verdana" w:hAnsi="Verdana" w:cs="Verdana"/>
          <w:sz w:val="20"/>
          <w:szCs w:val="20"/>
          <w:lang w:val="pt-BR"/>
        </w:rPr>
        <w:t>o</w:t>
      </w:r>
      <w:r w:rsidR="00475C1A" w:rsidRPr="00C40BD9">
        <w:rPr>
          <w:rFonts w:ascii="Verdana" w:hAnsi="Verdana" w:cs="Verdana"/>
          <w:sz w:val="20"/>
          <w:szCs w:val="20"/>
          <w:lang w:val="pt-BR"/>
        </w:rPr>
        <w:t xml:space="preserve"> Estado </w:t>
      </w:r>
      <w:r w:rsidR="00571782" w:rsidRPr="00C40BD9">
        <w:rPr>
          <w:rFonts w:ascii="Verdana" w:hAnsi="Verdana" w:cs="Verdana"/>
          <w:sz w:val="20"/>
          <w:szCs w:val="20"/>
          <w:lang w:val="pt-BR"/>
        </w:rPr>
        <w:t>brasile</w:t>
      </w:r>
      <w:r w:rsidR="00C06A9B" w:rsidRPr="00C40BD9">
        <w:rPr>
          <w:rFonts w:ascii="Verdana" w:hAnsi="Verdana" w:cs="Verdana"/>
          <w:sz w:val="20"/>
          <w:szCs w:val="20"/>
          <w:lang w:val="pt-BR"/>
        </w:rPr>
        <w:t>iro</w:t>
      </w:r>
      <w:r w:rsidR="004A772A">
        <w:rPr>
          <w:rFonts w:ascii="Verdana" w:hAnsi="Verdana" w:cs="Verdana"/>
          <w:sz w:val="20"/>
          <w:szCs w:val="20"/>
          <w:lang w:val="pt-BR"/>
        </w:rPr>
        <w:t>.</w:t>
      </w:r>
      <w:r w:rsidR="00C06A9B" w:rsidRPr="00C40BD9">
        <w:rPr>
          <w:rFonts w:ascii="Verdana" w:hAnsi="Verdana" w:cs="Verdana"/>
          <w:sz w:val="20"/>
          <w:szCs w:val="20"/>
          <w:lang w:val="pt-BR"/>
        </w:rPr>
        <w:t xml:space="preserve"> </w:t>
      </w:r>
    </w:p>
    <w:p w:rsidR="0074017B" w:rsidRPr="00C40BD9" w:rsidRDefault="0074017B" w:rsidP="00A82FB4">
      <w:pPr>
        <w:autoSpaceDE w:val="0"/>
        <w:autoSpaceDN w:val="0"/>
        <w:adjustRightInd w:val="0"/>
        <w:spacing w:after="0" w:line="240" w:lineRule="auto"/>
        <w:jc w:val="both"/>
        <w:rPr>
          <w:rFonts w:ascii="Verdana" w:hAnsi="Verdana" w:cs="Verdana"/>
          <w:sz w:val="20"/>
          <w:szCs w:val="20"/>
          <w:lang w:val="pt-BR"/>
        </w:rPr>
      </w:pPr>
    </w:p>
    <w:p w:rsidR="0074017B" w:rsidRPr="00C40BD9" w:rsidRDefault="0074017B" w:rsidP="00A82FB4">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pt-BR"/>
        </w:rPr>
      </w:pPr>
      <w:r w:rsidRPr="00C40BD9">
        <w:rPr>
          <w:rFonts w:ascii="Verdana" w:hAnsi="Verdana" w:cs="Verdana"/>
          <w:sz w:val="20"/>
          <w:szCs w:val="20"/>
          <w:lang w:val="pt-BR"/>
        </w:rPr>
        <w:t>E</w:t>
      </w:r>
      <w:r w:rsidR="00C06A9B" w:rsidRPr="00C40BD9">
        <w:rPr>
          <w:rFonts w:ascii="Verdana" w:hAnsi="Verdana" w:cs="Verdana"/>
          <w:sz w:val="20"/>
          <w:szCs w:val="20"/>
          <w:lang w:val="pt-BR"/>
        </w:rPr>
        <w:t>m</w:t>
      </w:r>
      <w:r w:rsidRPr="00C40BD9">
        <w:rPr>
          <w:rFonts w:ascii="Verdana" w:hAnsi="Verdana" w:cs="Verdana"/>
          <w:sz w:val="20"/>
          <w:szCs w:val="20"/>
          <w:lang w:val="pt-BR"/>
        </w:rPr>
        <w:t xml:space="preserve"> 14 de agosto de 2017</w:t>
      </w:r>
      <w:r w:rsidR="00C06A9B" w:rsidRPr="00C40BD9">
        <w:rPr>
          <w:rFonts w:ascii="Verdana" w:hAnsi="Verdana" w:cs="Verdana"/>
          <w:sz w:val="20"/>
          <w:szCs w:val="20"/>
          <w:lang w:val="pt-BR"/>
        </w:rPr>
        <w:t xml:space="preserve">, o </w:t>
      </w:r>
      <w:r w:rsidRPr="00C40BD9">
        <w:rPr>
          <w:rFonts w:ascii="Verdana" w:hAnsi="Verdana" w:cs="Verdana"/>
          <w:sz w:val="20"/>
          <w:szCs w:val="20"/>
          <w:lang w:val="pt-BR"/>
        </w:rPr>
        <w:t xml:space="preserve">Brasil </w:t>
      </w:r>
      <w:r w:rsidR="00C06A9B" w:rsidRPr="00C40BD9">
        <w:rPr>
          <w:rFonts w:ascii="Verdana" w:hAnsi="Verdana" w:cs="Verdana"/>
          <w:sz w:val="20"/>
          <w:szCs w:val="20"/>
          <w:lang w:val="pt-BR"/>
        </w:rPr>
        <w:t>apresentou uma solicitação</w:t>
      </w:r>
      <w:r w:rsidR="00DE316A">
        <w:rPr>
          <w:rFonts w:ascii="Verdana" w:hAnsi="Verdana" w:cs="Verdana"/>
          <w:sz w:val="20"/>
          <w:szCs w:val="20"/>
          <w:lang w:val="pt-BR"/>
        </w:rPr>
        <w:t xml:space="preserve"> </w:t>
      </w:r>
      <w:r w:rsidRPr="00C40BD9">
        <w:rPr>
          <w:rFonts w:ascii="Verdana" w:hAnsi="Verdana" w:cs="Verdana"/>
          <w:sz w:val="20"/>
          <w:szCs w:val="20"/>
          <w:lang w:val="pt-BR"/>
        </w:rPr>
        <w:t>de interpreta</w:t>
      </w:r>
      <w:r w:rsidR="00F633DD" w:rsidRPr="00C40BD9">
        <w:rPr>
          <w:rFonts w:ascii="Verdana" w:hAnsi="Verdana" w:cs="Verdana"/>
          <w:sz w:val="20"/>
          <w:szCs w:val="20"/>
          <w:lang w:val="pt-BR"/>
        </w:rPr>
        <w:t>ção</w:t>
      </w:r>
      <w:r w:rsidRPr="00C40BD9">
        <w:rPr>
          <w:rFonts w:ascii="Verdana" w:hAnsi="Verdana" w:cs="Verdana"/>
          <w:sz w:val="20"/>
          <w:szCs w:val="20"/>
          <w:lang w:val="pt-BR"/>
        </w:rPr>
        <w:t xml:space="preserve"> de </w:t>
      </w:r>
      <w:r w:rsidR="00C06A9B" w:rsidRPr="00C40BD9">
        <w:rPr>
          <w:rFonts w:ascii="Verdana" w:hAnsi="Verdana" w:cs="Verdana"/>
          <w:sz w:val="20"/>
          <w:szCs w:val="20"/>
          <w:lang w:val="pt-BR"/>
        </w:rPr>
        <w:t>sentença</w:t>
      </w:r>
      <w:r w:rsidRPr="00C40BD9">
        <w:rPr>
          <w:rFonts w:ascii="Verdana" w:hAnsi="Verdana" w:cs="Verdana"/>
          <w:sz w:val="20"/>
          <w:szCs w:val="20"/>
          <w:lang w:val="pt-BR"/>
        </w:rPr>
        <w:t xml:space="preserve">, </w:t>
      </w:r>
      <w:r w:rsidR="00F633DD" w:rsidRPr="00C40BD9">
        <w:rPr>
          <w:rFonts w:ascii="Verdana" w:hAnsi="Verdana" w:cs="Verdana"/>
          <w:sz w:val="20"/>
          <w:szCs w:val="20"/>
          <w:lang w:val="pt-BR"/>
        </w:rPr>
        <w:t xml:space="preserve">em conformidade com </w:t>
      </w:r>
      <w:r w:rsidR="00C06A9B" w:rsidRPr="00C40BD9">
        <w:rPr>
          <w:rFonts w:ascii="Verdana" w:hAnsi="Verdana" w:cs="Verdana"/>
          <w:sz w:val="20"/>
          <w:szCs w:val="20"/>
          <w:lang w:val="pt-BR"/>
        </w:rPr>
        <w:t xml:space="preserve">os artigos </w:t>
      </w:r>
      <w:r w:rsidRPr="00C40BD9">
        <w:rPr>
          <w:rFonts w:ascii="Verdana" w:hAnsi="Verdana" w:cs="Verdana"/>
          <w:sz w:val="20"/>
          <w:szCs w:val="20"/>
          <w:lang w:val="pt-BR"/>
        </w:rPr>
        <w:t xml:space="preserve">67 </w:t>
      </w:r>
      <w:r w:rsidR="00F633DD" w:rsidRPr="00C40BD9">
        <w:rPr>
          <w:rFonts w:ascii="Verdana" w:hAnsi="Verdana" w:cs="Verdana"/>
          <w:sz w:val="20"/>
          <w:szCs w:val="20"/>
          <w:lang w:val="pt-BR"/>
        </w:rPr>
        <w:t xml:space="preserve">da </w:t>
      </w:r>
      <w:r w:rsidRPr="00C40BD9">
        <w:rPr>
          <w:rFonts w:ascii="Verdana" w:hAnsi="Verdana" w:cs="Verdana"/>
          <w:sz w:val="20"/>
          <w:szCs w:val="20"/>
          <w:lang w:val="pt-BR"/>
        </w:rPr>
        <w:t>Conven</w:t>
      </w:r>
      <w:r w:rsidR="00F633DD" w:rsidRPr="00C40BD9">
        <w:rPr>
          <w:rFonts w:ascii="Verdana" w:hAnsi="Verdana" w:cs="Verdana"/>
          <w:sz w:val="20"/>
          <w:szCs w:val="20"/>
          <w:lang w:val="pt-BR"/>
        </w:rPr>
        <w:t>ção</w:t>
      </w:r>
      <w:r w:rsidRPr="00C40BD9">
        <w:rPr>
          <w:rFonts w:ascii="Verdana" w:hAnsi="Verdana" w:cs="Verdana"/>
          <w:sz w:val="20"/>
          <w:szCs w:val="20"/>
          <w:lang w:val="pt-BR"/>
        </w:rPr>
        <w:t xml:space="preserve">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Pr="00C40BD9">
        <w:rPr>
          <w:rFonts w:ascii="Verdana" w:hAnsi="Verdana" w:cs="Verdana"/>
          <w:sz w:val="20"/>
          <w:szCs w:val="20"/>
          <w:lang w:val="pt-BR"/>
        </w:rPr>
        <w:t>68 d</w:t>
      </w:r>
      <w:r w:rsidR="00C06A9B" w:rsidRPr="00C40BD9">
        <w:rPr>
          <w:rFonts w:ascii="Verdana" w:hAnsi="Verdana" w:cs="Verdana"/>
          <w:sz w:val="20"/>
          <w:szCs w:val="20"/>
          <w:lang w:val="pt-BR"/>
        </w:rPr>
        <w:t>o</w:t>
      </w:r>
      <w:r w:rsidRPr="00C40BD9">
        <w:rPr>
          <w:rFonts w:ascii="Verdana" w:hAnsi="Verdana" w:cs="Verdana"/>
          <w:sz w:val="20"/>
          <w:szCs w:val="20"/>
          <w:lang w:val="pt-BR"/>
        </w:rPr>
        <w:t xml:space="preserve"> </w:t>
      </w:r>
      <w:r w:rsidR="00F633DD" w:rsidRPr="00C40BD9">
        <w:rPr>
          <w:rFonts w:ascii="Verdana" w:hAnsi="Verdana" w:cs="Verdana"/>
          <w:sz w:val="20"/>
          <w:szCs w:val="20"/>
          <w:lang w:val="pt-BR"/>
        </w:rPr>
        <w:t>Regulamento</w:t>
      </w:r>
      <w:r w:rsidRPr="00C40BD9">
        <w:rPr>
          <w:rFonts w:ascii="Verdana" w:hAnsi="Verdana" w:cs="Verdana"/>
          <w:sz w:val="20"/>
          <w:szCs w:val="20"/>
          <w:lang w:val="pt-BR"/>
        </w:rPr>
        <w:t xml:space="preserve">, sobre: </w:t>
      </w:r>
      <w:r w:rsidR="00A9152C" w:rsidRPr="00C40BD9">
        <w:rPr>
          <w:rFonts w:ascii="Verdana" w:hAnsi="Verdana" w:cs="Verdana"/>
          <w:sz w:val="20"/>
          <w:szCs w:val="20"/>
          <w:lang w:val="pt-BR"/>
        </w:rPr>
        <w:t>a)</w:t>
      </w:r>
      <w:r w:rsidRPr="00C40BD9">
        <w:rPr>
          <w:rFonts w:ascii="Verdana" w:hAnsi="Verdana" w:cs="Verdana"/>
          <w:sz w:val="20"/>
          <w:szCs w:val="20"/>
          <w:lang w:val="pt-BR"/>
        </w:rPr>
        <w:t xml:space="preserve"> a</w:t>
      </w:r>
      <w:r w:rsidR="009419AC" w:rsidRPr="00C40BD9">
        <w:rPr>
          <w:rFonts w:ascii="Verdana" w:hAnsi="Verdana" w:cs="Verdana"/>
          <w:sz w:val="20"/>
          <w:szCs w:val="20"/>
          <w:lang w:val="pt-BR"/>
        </w:rPr>
        <w:t xml:space="preserve"> ade</w:t>
      </w:r>
      <w:r w:rsidR="00C06A9B" w:rsidRPr="00C40BD9">
        <w:rPr>
          <w:rFonts w:ascii="Verdana" w:hAnsi="Verdana" w:cs="Verdana"/>
          <w:sz w:val="20"/>
          <w:szCs w:val="20"/>
          <w:lang w:val="pt-BR"/>
        </w:rPr>
        <w:t>q</w:t>
      </w:r>
      <w:r w:rsidR="009419AC" w:rsidRPr="00C40BD9">
        <w:rPr>
          <w:rFonts w:ascii="Verdana" w:hAnsi="Verdana" w:cs="Verdana"/>
          <w:sz w:val="20"/>
          <w:szCs w:val="20"/>
          <w:lang w:val="pt-BR"/>
        </w:rPr>
        <w:t>uada</w:t>
      </w:r>
      <w:r w:rsidRPr="00C40BD9">
        <w:rPr>
          <w:rFonts w:ascii="Verdana" w:hAnsi="Verdana" w:cs="Verdana"/>
          <w:sz w:val="20"/>
          <w:szCs w:val="20"/>
          <w:lang w:val="pt-BR"/>
        </w:rPr>
        <w:t xml:space="preserve"> representa</w:t>
      </w:r>
      <w:r w:rsidR="00F633DD" w:rsidRPr="00C40BD9">
        <w:rPr>
          <w:rFonts w:ascii="Verdana" w:hAnsi="Verdana" w:cs="Verdana"/>
          <w:sz w:val="20"/>
          <w:szCs w:val="20"/>
          <w:lang w:val="pt-BR"/>
        </w:rPr>
        <w:t>ção</w:t>
      </w:r>
      <w:r w:rsidRPr="00C40BD9">
        <w:rPr>
          <w:rFonts w:ascii="Verdana" w:hAnsi="Verdana" w:cs="Verdana"/>
          <w:sz w:val="20"/>
          <w:szCs w:val="20"/>
          <w:lang w:val="pt-BR"/>
        </w:rPr>
        <w:t xml:space="preserve"> </w:t>
      </w:r>
      <w:r w:rsidR="00C06A9B" w:rsidRPr="00C40BD9">
        <w:rPr>
          <w:rFonts w:ascii="Verdana" w:hAnsi="Verdana" w:cs="Verdana"/>
          <w:sz w:val="20"/>
          <w:szCs w:val="20"/>
          <w:lang w:val="pt-BR"/>
        </w:rPr>
        <w:t>das vítimas</w:t>
      </w:r>
      <w:r w:rsidR="00DE316A">
        <w:rPr>
          <w:rFonts w:ascii="Verdana" w:hAnsi="Verdana" w:cs="Verdana"/>
          <w:sz w:val="20"/>
          <w:szCs w:val="20"/>
          <w:lang w:val="pt-BR"/>
        </w:rPr>
        <w:t xml:space="preserve">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Pr="00C40BD9">
        <w:rPr>
          <w:rFonts w:ascii="Verdana" w:hAnsi="Verdana" w:cs="Verdana"/>
          <w:sz w:val="20"/>
          <w:szCs w:val="20"/>
          <w:lang w:val="pt-BR"/>
        </w:rPr>
        <w:t>s</w:t>
      </w:r>
      <w:r w:rsidR="00C06A9B" w:rsidRPr="00C40BD9">
        <w:rPr>
          <w:rFonts w:ascii="Verdana" w:hAnsi="Verdana" w:cs="Verdana"/>
          <w:sz w:val="20"/>
          <w:szCs w:val="20"/>
          <w:lang w:val="pt-BR"/>
        </w:rPr>
        <w:t>e</w:t>
      </w:r>
      <w:r w:rsidRPr="00C40BD9">
        <w:rPr>
          <w:rFonts w:ascii="Verdana" w:hAnsi="Verdana" w:cs="Verdana"/>
          <w:sz w:val="20"/>
          <w:szCs w:val="20"/>
          <w:lang w:val="pt-BR"/>
        </w:rPr>
        <w:t>us familiares p</w:t>
      </w:r>
      <w:r w:rsidR="004A772A">
        <w:rPr>
          <w:rFonts w:ascii="Verdana" w:hAnsi="Verdana" w:cs="Verdana"/>
          <w:sz w:val="20"/>
          <w:szCs w:val="20"/>
          <w:lang w:val="pt-BR"/>
        </w:rPr>
        <w:t xml:space="preserve">elo </w:t>
      </w:r>
      <w:r w:rsidRPr="00C40BD9">
        <w:rPr>
          <w:rFonts w:ascii="Verdana" w:hAnsi="Verdana" w:cs="Verdana"/>
          <w:sz w:val="20"/>
          <w:szCs w:val="20"/>
          <w:lang w:val="pt-BR"/>
        </w:rPr>
        <w:t xml:space="preserve">CEJIL </w:t>
      </w:r>
      <w:r w:rsidR="008A2A90" w:rsidRPr="00C40BD9">
        <w:rPr>
          <w:rFonts w:ascii="Verdana" w:hAnsi="Verdana" w:cs="Verdana"/>
          <w:sz w:val="20"/>
          <w:szCs w:val="20"/>
          <w:lang w:val="pt-BR"/>
        </w:rPr>
        <w:t>e</w:t>
      </w:r>
      <w:r w:rsidRPr="00C40BD9">
        <w:rPr>
          <w:rFonts w:ascii="Verdana" w:hAnsi="Verdana" w:cs="Verdana"/>
          <w:sz w:val="20"/>
          <w:szCs w:val="20"/>
          <w:lang w:val="pt-BR"/>
        </w:rPr>
        <w:t xml:space="preserve"> </w:t>
      </w:r>
      <w:r w:rsidR="004A772A">
        <w:rPr>
          <w:rFonts w:ascii="Verdana" w:hAnsi="Verdana" w:cs="Verdana"/>
          <w:sz w:val="20"/>
          <w:szCs w:val="20"/>
          <w:lang w:val="pt-BR"/>
        </w:rPr>
        <w:t>pel</w:t>
      </w:r>
      <w:r w:rsidR="00C06A9B" w:rsidRPr="00C40BD9">
        <w:rPr>
          <w:rFonts w:ascii="Verdana" w:hAnsi="Verdana" w:cs="Verdana"/>
          <w:sz w:val="20"/>
          <w:szCs w:val="20"/>
          <w:lang w:val="pt-BR"/>
        </w:rPr>
        <w:t xml:space="preserve">o </w:t>
      </w:r>
      <w:r w:rsidRPr="00C40BD9">
        <w:rPr>
          <w:rFonts w:ascii="Verdana" w:hAnsi="Verdana" w:cs="Verdana"/>
          <w:sz w:val="20"/>
          <w:szCs w:val="20"/>
          <w:lang w:val="pt-BR"/>
        </w:rPr>
        <w:t>ISER</w:t>
      </w:r>
      <w:r w:rsidR="009419AC" w:rsidRPr="00C40BD9">
        <w:rPr>
          <w:rFonts w:ascii="Verdana" w:hAnsi="Verdana" w:cs="Verdana"/>
          <w:sz w:val="20"/>
          <w:szCs w:val="20"/>
          <w:lang w:val="pt-BR"/>
        </w:rPr>
        <w:t xml:space="preserve"> </w:t>
      </w:r>
      <w:r w:rsidR="00E50131" w:rsidRPr="00C40BD9">
        <w:rPr>
          <w:rFonts w:ascii="Verdana" w:hAnsi="Verdana" w:cs="Verdana"/>
          <w:sz w:val="20"/>
          <w:szCs w:val="20"/>
          <w:lang w:val="pt-BR"/>
        </w:rPr>
        <w:t>(</w:t>
      </w:r>
      <w:r w:rsidR="00C06A9B" w:rsidRPr="00C40BD9">
        <w:rPr>
          <w:rFonts w:ascii="Verdana" w:hAnsi="Verdana" w:cs="Verdana"/>
          <w:sz w:val="20"/>
          <w:szCs w:val="20"/>
          <w:lang w:val="pt-BR"/>
        </w:rPr>
        <w:t>parágrafo</w:t>
      </w:r>
      <w:r w:rsidR="00DE316A">
        <w:rPr>
          <w:rFonts w:ascii="Verdana" w:hAnsi="Verdana" w:cs="Verdana"/>
          <w:sz w:val="20"/>
          <w:szCs w:val="20"/>
          <w:lang w:val="pt-BR"/>
        </w:rPr>
        <w:t xml:space="preserve"> </w:t>
      </w:r>
      <w:r w:rsidR="00E50131" w:rsidRPr="00C40BD9">
        <w:rPr>
          <w:rFonts w:ascii="Verdana" w:hAnsi="Verdana" w:cs="Verdana"/>
          <w:sz w:val="20"/>
          <w:szCs w:val="20"/>
          <w:lang w:val="pt-BR"/>
        </w:rPr>
        <w:t xml:space="preserve">41 </w:t>
      </w:r>
      <w:r w:rsidR="00F633DD" w:rsidRPr="00C40BD9">
        <w:rPr>
          <w:rFonts w:ascii="Verdana" w:hAnsi="Verdana" w:cs="Verdana"/>
          <w:sz w:val="20"/>
          <w:szCs w:val="20"/>
          <w:lang w:val="pt-BR"/>
        </w:rPr>
        <w:t>da Sentença</w:t>
      </w:r>
      <w:r w:rsidR="00E50131" w:rsidRPr="00C40BD9">
        <w:rPr>
          <w:rFonts w:ascii="Verdana" w:hAnsi="Verdana" w:cs="Verdana"/>
          <w:sz w:val="20"/>
          <w:szCs w:val="20"/>
          <w:lang w:val="pt-BR"/>
        </w:rPr>
        <w:t>)</w:t>
      </w:r>
      <w:r w:rsidRPr="00C40BD9">
        <w:rPr>
          <w:rFonts w:ascii="Verdana" w:hAnsi="Verdana" w:cs="Verdana"/>
          <w:sz w:val="20"/>
          <w:szCs w:val="20"/>
          <w:lang w:val="pt-BR"/>
        </w:rPr>
        <w:t xml:space="preserve">; </w:t>
      </w:r>
      <w:r w:rsidR="00A9152C" w:rsidRPr="00C40BD9">
        <w:rPr>
          <w:rFonts w:ascii="Verdana" w:hAnsi="Verdana" w:cs="Verdana"/>
          <w:sz w:val="20"/>
          <w:szCs w:val="20"/>
          <w:lang w:val="pt-BR"/>
        </w:rPr>
        <w:t>b)</w:t>
      </w:r>
      <w:r w:rsidRPr="00C40BD9">
        <w:rPr>
          <w:rFonts w:ascii="Verdana" w:hAnsi="Verdana"/>
          <w:sz w:val="20"/>
          <w:szCs w:val="20"/>
          <w:lang w:val="pt-BR" w:bidi="en-US"/>
        </w:rPr>
        <w:t xml:space="preserve"> a </w:t>
      </w:r>
      <w:r w:rsidR="00C06A9B" w:rsidRPr="00C40BD9">
        <w:rPr>
          <w:rFonts w:ascii="Verdana" w:hAnsi="Verdana"/>
          <w:sz w:val="20"/>
          <w:szCs w:val="20"/>
          <w:lang w:val="pt-BR" w:bidi="en-US"/>
        </w:rPr>
        <w:t>competência</w:t>
      </w:r>
      <w:r w:rsidR="00DE316A">
        <w:rPr>
          <w:rFonts w:ascii="Verdana" w:hAnsi="Verdana"/>
          <w:sz w:val="20"/>
          <w:szCs w:val="20"/>
          <w:lang w:val="pt-BR" w:bidi="en-US"/>
        </w:rPr>
        <w:t xml:space="preserve"> </w:t>
      </w:r>
      <w:r w:rsidRPr="00C40BD9">
        <w:rPr>
          <w:rFonts w:ascii="Verdana" w:hAnsi="Verdana"/>
          <w:sz w:val="20"/>
          <w:szCs w:val="20"/>
          <w:lang w:val="pt-BR" w:bidi="en-US"/>
        </w:rPr>
        <w:t>e</w:t>
      </w:r>
      <w:r w:rsidR="00C06A9B" w:rsidRPr="00C40BD9">
        <w:rPr>
          <w:rFonts w:ascii="Verdana" w:hAnsi="Verdana"/>
          <w:sz w:val="20"/>
          <w:szCs w:val="20"/>
          <w:lang w:val="pt-BR" w:bidi="en-US"/>
        </w:rPr>
        <w:t>m</w:t>
      </w:r>
      <w:r w:rsidRPr="00C40BD9">
        <w:rPr>
          <w:rFonts w:ascii="Verdana" w:hAnsi="Verdana"/>
          <w:sz w:val="20"/>
          <w:szCs w:val="20"/>
          <w:lang w:val="pt-BR" w:bidi="en-US"/>
        </w:rPr>
        <w:t xml:space="preserve"> raz</w:t>
      </w:r>
      <w:r w:rsidR="00C06A9B" w:rsidRPr="00C40BD9">
        <w:rPr>
          <w:rFonts w:ascii="Verdana" w:hAnsi="Verdana"/>
          <w:sz w:val="20"/>
          <w:szCs w:val="20"/>
          <w:lang w:val="pt-BR" w:bidi="en-US"/>
        </w:rPr>
        <w:t xml:space="preserve">ão </w:t>
      </w:r>
      <w:r w:rsidR="00F633DD" w:rsidRPr="00C40BD9">
        <w:rPr>
          <w:rFonts w:ascii="Verdana" w:hAnsi="Verdana"/>
          <w:sz w:val="20"/>
          <w:szCs w:val="20"/>
          <w:lang w:val="pt-BR" w:bidi="en-US"/>
        </w:rPr>
        <w:t xml:space="preserve">da </w:t>
      </w:r>
      <w:r w:rsidR="00C06A9B" w:rsidRPr="00C40BD9">
        <w:rPr>
          <w:rFonts w:ascii="Verdana" w:hAnsi="Verdana"/>
          <w:sz w:val="20"/>
          <w:szCs w:val="20"/>
          <w:lang w:val="pt-BR" w:bidi="en-US"/>
        </w:rPr>
        <w:t>matéria</w:t>
      </w:r>
      <w:r w:rsidR="00DE316A">
        <w:rPr>
          <w:rFonts w:ascii="Verdana" w:hAnsi="Verdana"/>
          <w:sz w:val="20"/>
          <w:szCs w:val="20"/>
          <w:lang w:val="pt-BR" w:bidi="en-US"/>
        </w:rPr>
        <w:t xml:space="preserve"> </w:t>
      </w:r>
      <w:r w:rsidRPr="00C40BD9">
        <w:rPr>
          <w:rFonts w:ascii="Verdana" w:hAnsi="Verdana"/>
          <w:sz w:val="20"/>
          <w:szCs w:val="20"/>
          <w:lang w:val="pt-BR" w:bidi="en-US"/>
        </w:rPr>
        <w:t>para declarar sup</w:t>
      </w:r>
      <w:r w:rsidR="00635878" w:rsidRPr="00C40BD9">
        <w:rPr>
          <w:rFonts w:ascii="Verdana" w:hAnsi="Verdana"/>
          <w:sz w:val="20"/>
          <w:szCs w:val="20"/>
          <w:lang w:val="pt-BR" w:bidi="en-US"/>
        </w:rPr>
        <w:t>o</w:t>
      </w:r>
      <w:r w:rsidRPr="00C40BD9">
        <w:rPr>
          <w:rFonts w:ascii="Verdana" w:hAnsi="Verdana"/>
          <w:sz w:val="20"/>
          <w:szCs w:val="20"/>
          <w:lang w:val="pt-BR" w:bidi="en-US"/>
        </w:rPr>
        <w:t>stas viola</w:t>
      </w:r>
      <w:r w:rsidR="00F633DD" w:rsidRPr="00C40BD9">
        <w:rPr>
          <w:rFonts w:ascii="Verdana" w:hAnsi="Verdana"/>
          <w:sz w:val="20"/>
          <w:szCs w:val="20"/>
          <w:lang w:val="pt-BR" w:bidi="en-US"/>
        </w:rPr>
        <w:t>ções</w:t>
      </w:r>
      <w:r w:rsidRPr="00C40BD9">
        <w:rPr>
          <w:rFonts w:ascii="Verdana" w:hAnsi="Verdana"/>
          <w:sz w:val="20"/>
          <w:szCs w:val="20"/>
          <w:lang w:val="pt-BR" w:bidi="en-US"/>
        </w:rPr>
        <w:t xml:space="preserve"> </w:t>
      </w:r>
      <w:r w:rsidR="00635878" w:rsidRPr="00C40BD9">
        <w:rPr>
          <w:rFonts w:ascii="Verdana" w:hAnsi="Verdana"/>
          <w:sz w:val="20"/>
          <w:szCs w:val="20"/>
          <w:lang w:val="pt-BR" w:bidi="en-US"/>
        </w:rPr>
        <w:t xml:space="preserve">à </w:t>
      </w:r>
      <w:r w:rsidRPr="00C40BD9">
        <w:rPr>
          <w:rFonts w:ascii="Verdana" w:hAnsi="Verdana"/>
          <w:sz w:val="20"/>
          <w:szCs w:val="20"/>
          <w:lang w:val="pt-BR" w:bidi="en-US"/>
        </w:rPr>
        <w:t>Conven</w:t>
      </w:r>
      <w:r w:rsidR="00F633DD" w:rsidRPr="00C40BD9">
        <w:rPr>
          <w:rFonts w:ascii="Verdana" w:hAnsi="Verdana"/>
          <w:sz w:val="20"/>
          <w:szCs w:val="20"/>
          <w:lang w:val="pt-BR" w:bidi="en-US"/>
        </w:rPr>
        <w:t>ção</w:t>
      </w:r>
      <w:r w:rsidRPr="00C40BD9">
        <w:rPr>
          <w:rFonts w:ascii="Verdana" w:hAnsi="Verdana"/>
          <w:sz w:val="20"/>
          <w:szCs w:val="20"/>
          <w:lang w:val="pt-BR" w:bidi="en-US"/>
        </w:rPr>
        <w:t xml:space="preserve"> </w:t>
      </w:r>
      <w:r w:rsidRPr="00C40BD9">
        <w:rPr>
          <w:rFonts w:ascii="Verdana" w:hAnsi="Verdana"/>
          <w:iCs/>
          <w:sz w:val="20"/>
          <w:szCs w:val="20"/>
          <w:lang w:val="pt-BR" w:bidi="en-US"/>
        </w:rPr>
        <w:t xml:space="preserve">Interamericana para Prevenir </w:t>
      </w:r>
      <w:r w:rsidR="00F633DD" w:rsidRPr="00C40BD9">
        <w:rPr>
          <w:rFonts w:ascii="Verdana" w:hAnsi="Verdana"/>
          <w:iCs/>
          <w:sz w:val="20"/>
          <w:szCs w:val="20"/>
          <w:lang w:val="pt-BR" w:bidi="en-US"/>
        </w:rPr>
        <w:t>e</w:t>
      </w:r>
      <w:r w:rsidR="00DE316A">
        <w:rPr>
          <w:rFonts w:ascii="Verdana" w:hAnsi="Verdana"/>
          <w:iCs/>
          <w:sz w:val="20"/>
          <w:szCs w:val="20"/>
          <w:lang w:val="pt-BR" w:bidi="en-US"/>
        </w:rPr>
        <w:t xml:space="preserve"> </w:t>
      </w:r>
      <w:r w:rsidR="00635878" w:rsidRPr="00C40BD9">
        <w:rPr>
          <w:rFonts w:ascii="Verdana" w:hAnsi="Verdana"/>
          <w:iCs/>
          <w:sz w:val="20"/>
          <w:szCs w:val="20"/>
          <w:lang w:val="pt-BR" w:bidi="en-US"/>
        </w:rPr>
        <w:t xml:space="preserve">Punir </w:t>
      </w:r>
      <w:r w:rsidRPr="00C40BD9">
        <w:rPr>
          <w:rFonts w:ascii="Verdana" w:hAnsi="Verdana"/>
          <w:iCs/>
          <w:sz w:val="20"/>
          <w:szCs w:val="20"/>
          <w:lang w:val="pt-BR" w:bidi="en-US"/>
        </w:rPr>
        <w:t>a Tortura</w:t>
      </w:r>
      <w:r w:rsidR="00E50131" w:rsidRPr="00C40BD9">
        <w:rPr>
          <w:rFonts w:ascii="Verdana" w:hAnsi="Verdana"/>
          <w:i/>
          <w:iCs/>
          <w:sz w:val="20"/>
          <w:szCs w:val="20"/>
          <w:lang w:val="pt-BR" w:bidi="en-US"/>
        </w:rPr>
        <w:t xml:space="preserve"> </w:t>
      </w:r>
      <w:r w:rsidR="00E50131" w:rsidRPr="00C40BD9">
        <w:rPr>
          <w:rFonts w:ascii="Verdana" w:hAnsi="Verdana"/>
          <w:iCs/>
          <w:sz w:val="20"/>
          <w:szCs w:val="20"/>
          <w:lang w:val="pt-BR" w:bidi="en-US"/>
        </w:rPr>
        <w:t>(</w:t>
      </w:r>
      <w:r w:rsidR="00635878" w:rsidRPr="00C40BD9">
        <w:rPr>
          <w:rFonts w:ascii="Verdana" w:hAnsi="Verdana"/>
          <w:iCs/>
          <w:sz w:val="20"/>
          <w:szCs w:val="20"/>
          <w:lang w:val="pt-BR" w:bidi="en-US"/>
        </w:rPr>
        <w:t>parágrafos</w:t>
      </w:r>
      <w:r w:rsidR="00DE316A">
        <w:rPr>
          <w:rFonts w:ascii="Verdana" w:hAnsi="Verdana"/>
          <w:iCs/>
          <w:sz w:val="20"/>
          <w:szCs w:val="20"/>
          <w:lang w:val="pt-BR" w:bidi="en-US"/>
        </w:rPr>
        <w:t xml:space="preserve"> </w:t>
      </w:r>
      <w:r w:rsidR="00E50131" w:rsidRPr="00C40BD9">
        <w:rPr>
          <w:rFonts w:ascii="Verdana" w:hAnsi="Verdana"/>
          <w:iCs/>
          <w:sz w:val="20"/>
          <w:szCs w:val="20"/>
          <w:lang w:val="pt-BR" w:bidi="en-US"/>
        </w:rPr>
        <w:t xml:space="preserve">65 </w:t>
      </w:r>
      <w:r w:rsidR="00F633DD" w:rsidRPr="00C40BD9">
        <w:rPr>
          <w:rFonts w:ascii="Verdana" w:hAnsi="Verdana"/>
          <w:iCs/>
          <w:sz w:val="20"/>
          <w:szCs w:val="20"/>
          <w:lang w:val="pt-BR" w:bidi="en-US"/>
        </w:rPr>
        <w:t>e</w:t>
      </w:r>
      <w:r w:rsidR="00DE316A">
        <w:rPr>
          <w:rFonts w:ascii="Verdana" w:hAnsi="Verdana"/>
          <w:iCs/>
          <w:sz w:val="20"/>
          <w:szCs w:val="20"/>
          <w:lang w:val="pt-BR" w:bidi="en-US"/>
        </w:rPr>
        <w:t xml:space="preserve"> </w:t>
      </w:r>
      <w:r w:rsidR="00E50131" w:rsidRPr="00C40BD9">
        <w:rPr>
          <w:rFonts w:ascii="Verdana" w:hAnsi="Verdana"/>
          <w:iCs/>
          <w:sz w:val="20"/>
          <w:szCs w:val="20"/>
          <w:lang w:val="pt-BR" w:bidi="en-US"/>
        </w:rPr>
        <w:t xml:space="preserve">66 </w:t>
      </w:r>
      <w:r w:rsidR="00F633DD" w:rsidRPr="00C40BD9">
        <w:rPr>
          <w:rFonts w:ascii="Verdana" w:hAnsi="Verdana"/>
          <w:iCs/>
          <w:sz w:val="20"/>
          <w:szCs w:val="20"/>
          <w:lang w:val="pt-BR" w:bidi="en-US"/>
        </w:rPr>
        <w:t>da Sentença</w:t>
      </w:r>
      <w:r w:rsidR="00E50131" w:rsidRPr="00C40BD9">
        <w:rPr>
          <w:rFonts w:ascii="Verdana" w:hAnsi="Verdana"/>
          <w:iCs/>
          <w:sz w:val="20"/>
          <w:szCs w:val="20"/>
          <w:lang w:val="pt-BR" w:bidi="en-US"/>
        </w:rPr>
        <w:t>)</w:t>
      </w:r>
      <w:r w:rsidRPr="00C40BD9">
        <w:rPr>
          <w:rFonts w:ascii="Verdana" w:hAnsi="Verdana" w:cs="Verdana"/>
          <w:sz w:val="20"/>
          <w:szCs w:val="20"/>
          <w:lang w:val="pt-BR"/>
        </w:rPr>
        <w:t xml:space="preserve">; </w:t>
      </w:r>
      <w:r w:rsidR="00A9152C" w:rsidRPr="00C40BD9">
        <w:rPr>
          <w:rFonts w:ascii="Verdana" w:hAnsi="Verdana" w:cs="Verdana"/>
          <w:sz w:val="20"/>
          <w:szCs w:val="20"/>
          <w:lang w:val="pt-BR"/>
        </w:rPr>
        <w:t>c)</w:t>
      </w:r>
      <w:r w:rsidRPr="00C40BD9">
        <w:rPr>
          <w:rFonts w:ascii="Verdana" w:hAnsi="Verdana" w:cs="Verdana"/>
          <w:sz w:val="20"/>
          <w:szCs w:val="20"/>
          <w:lang w:val="pt-BR"/>
        </w:rPr>
        <w:t xml:space="preserve"> a modalidad</w:t>
      </w:r>
      <w:r w:rsidR="00635878" w:rsidRPr="00C40BD9">
        <w:rPr>
          <w:rFonts w:ascii="Verdana" w:hAnsi="Verdana" w:cs="Verdana"/>
          <w:sz w:val="20"/>
          <w:szCs w:val="20"/>
          <w:lang w:val="pt-BR"/>
        </w:rPr>
        <w:t>e</w:t>
      </w:r>
      <w:r w:rsidRPr="00C40BD9">
        <w:rPr>
          <w:rFonts w:ascii="Verdana" w:hAnsi="Verdana" w:cs="Verdana"/>
          <w:sz w:val="20"/>
          <w:szCs w:val="20"/>
          <w:lang w:val="pt-BR"/>
        </w:rPr>
        <w:t xml:space="preserve"> de </w:t>
      </w:r>
      <w:r w:rsidR="00C06A9B" w:rsidRPr="00C40BD9">
        <w:rPr>
          <w:rFonts w:ascii="Verdana" w:hAnsi="Verdana" w:cs="Verdana"/>
          <w:sz w:val="20"/>
          <w:szCs w:val="20"/>
          <w:lang w:val="pt-BR"/>
        </w:rPr>
        <w:t>cumprimento</w:t>
      </w:r>
      <w:r w:rsidR="00DE316A">
        <w:rPr>
          <w:rFonts w:ascii="Verdana" w:hAnsi="Verdana" w:cs="Verdana"/>
          <w:sz w:val="20"/>
          <w:szCs w:val="20"/>
          <w:lang w:val="pt-BR"/>
        </w:rPr>
        <w:t xml:space="preserve"> </w:t>
      </w:r>
      <w:r w:rsidR="00C06A9B" w:rsidRPr="00C40BD9">
        <w:rPr>
          <w:rFonts w:ascii="Verdana" w:hAnsi="Verdana" w:cs="Verdana"/>
          <w:sz w:val="20"/>
          <w:szCs w:val="20"/>
          <w:lang w:val="pt-BR"/>
        </w:rPr>
        <w:t xml:space="preserve">dos </w:t>
      </w:r>
      <w:r w:rsidRPr="00C40BD9">
        <w:rPr>
          <w:rFonts w:ascii="Verdana" w:hAnsi="Verdana" w:cs="Verdana"/>
          <w:sz w:val="20"/>
          <w:szCs w:val="20"/>
          <w:lang w:val="pt-BR"/>
        </w:rPr>
        <w:t>pag</w:t>
      </w:r>
      <w:r w:rsidR="00635878" w:rsidRPr="00C40BD9">
        <w:rPr>
          <w:rFonts w:ascii="Verdana" w:hAnsi="Verdana" w:cs="Verdana"/>
          <w:sz w:val="20"/>
          <w:szCs w:val="20"/>
          <w:lang w:val="pt-BR"/>
        </w:rPr>
        <w:t>ament</w:t>
      </w:r>
      <w:r w:rsidRPr="00C40BD9">
        <w:rPr>
          <w:rFonts w:ascii="Verdana" w:hAnsi="Verdana" w:cs="Verdana"/>
          <w:sz w:val="20"/>
          <w:szCs w:val="20"/>
          <w:lang w:val="pt-BR"/>
        </w:rPr>
        <w:t>os ordenados</w:t>
      </w:r>
      <w:r w:rsidR="00E50131" w:rsidRPr="00C40BD9">
        <w:rPr>
          <w:rFonts w:ascii="Verdana" w:hAnsi="Verdana" w:cs="Verdana"/>
          <w:sz w:val="20"/>
          <w:szCs w:val="20"/>
          <w:lang w:val="pt-BR"/>
        </w:rPr>
        <w:t xml:space="preserve"> (</w:t>
      </w:r>
      <w:r w:rsidR="00635878" w:rsidRPr="00C40BD9">
        <w:rPr>
          <w:rFonts w:ascii="Verdana" w:hAnsi="Verdana" w:cs="Verdana"/>
          <w:sz w:val="20"/>
          <w:szCs w:val="20"/>
          <w:lang w:val="pt-BR"/>
        </w:rPr>
        <w:t>parágrafos</w:t>
      </w:r>
      <w:r w:rsidR="00DE316A">
        <w:rPr>
          <w:rFonts w:ascii="Verdana" w:hAnsi="Verdana" w:cs="Verdana"/>
          <w:sz w:val="20"/>
          <w:szCs w:val="20"/>
          <w:lang w:val="pt-BR"/>
        </w:rPr>
        <w:t xml:space="preserve"> </w:t>
      </w:r>
      <w:r w:rsidR="009419AC" w:rsidRPr="00C40BD9">
        <w:rPr>
          <w:rFonts w:ascii="Verdana" w:hAnsi="Verdana" w:cs="Verdana"/>
          <w:sz w:val="20"/>
          <w:szCs w:val="20"/>
          <w:lang w:val="pt-BR"/>
        </w:rPr>
        <w:t xml:space="preserve">363, 364, 366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009419AC" w:rsidRPr="00C40BD9">
        <w:rPr>
          <w:rFonts w:ascii="Verdana" w:hAnsi="Verdana" w:cs="Verdana"/>
          <w:sz w:val="20"/>
          <w:szCs w:val="20"/>
          <w:lang w:val="pt-BR"/>
        </w:rPr>
        <w:t xml:space="preserve">368 </w:t>
      </w:r>
      <w:r w:rsidR="00F633DD" w:rsidRPr="00C40BD9">
        <w:rPr>
          <w:rFonts w:ascii="Verdana" w:hAnsi="Verdana" w:cs="Verdana"/>
          <w:sz w:val="20"/>
          <w:szCs w:val="20"/>
          <w:lang w:val="pt-BR"/>
        </w:rPr>
        <w:t>da Sentença</w:t>
      </w:r>
      <w:r w:rsidR="00E50131" w:rsidRPr="00C40BD9">
        <w:rPr>
          <w:rFonts w:ascii="Verdana" w:hAnsi="Verdana" w:cs="Verdana"/>
          <w:sz w:val="20"/>
          <w:szCs w:val="20"/>
          <w:lang w:val="pt-BR"/>
        </w:rPr>
        <w:t>)</w:t>
      </w:r>
      <w:r w:rsidR="00635878" w:rsidRPr="00C40BD9">
        <w:rPr>
          <w:rFonts w:ascii="Verdana" w:hAnsi="Verdana" w:cs="Verdana"/>
          <w:sz w:val="20"/>
          <w:szCs w:val="20"/>
          <w:lang w:val="pt-BR"/>
        </w:rPr>
        <w:t>;</w:t>
      </w:r>
      <w:r w:rsidRPr="00C40BD9">
        <w:rPr>
          <w:rFonts w:ascii="Verdana" w:hAnsi="Verdana" w:cs="Verdana"/>
          <w:sz w:val="20"/>
          <w:szCs w:val="20"/>
          <w:lang w:val="pt-BR"/>
        </w:rPr>
        <w:t xml:space="preserve">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00A9152C" w:rsidRPr="00C40BD9">
        <w:rPr>
          <w:rFonts w:ascii="Verdana" w:hAnsi="Verdana" w:cs="Verdana"/>
          <w:sz w:val="20"/>
          <w:szCs w:val="20"/>
          <w:lang w:val="pt-BR"/>
        </w:rPr>
        <w:t>d)</w:t>
      </w:r>
      <w:r w:rsidRPr="00C40BD9">
        <w:rPr>
          <w:rFonts w:ascii="Verdana" w:hAnsi="Verdana" w:cs="Verdana"/>
          <w:sz w:val="20"/>
          <w:szCs w:val="20"/>
          <w:lang w:val="pt-BR"/>
        </w:rPr>
        <w:t xml:space="preserve"> </w:t>
      </w:r>
      <w:r w:rsidR="00635878" w:rsidRPr="00C40BD9">
        <w:rPr>
          <w:rFonts w:ascii="Verdana" w:hAnsi="Verdana" w:cs="Verdana"/>
          <w:sz w:val="20"/>
          <w:szCs w:val="20"/>
          <w:lang w:val="pt-BR"/>
        </w:rPr>
        <w:t>o dever</w:t>
      </w:r>
      <w:r w:rsidR="00DE316A">
        <w:rPr>
          <w:rFonts w:ascii="Verdana" w:hAnsi="Verdana" w:cs="Verdana"/>
          <w:sz w:val="20"/>
          <w:szCs w:val="20"/>
          <w:lang w:val="pt-BR"/>
        </w:rPr>
        <w:t xml:space="preserve"> </w:t>
      </w:r>
      <w:r w:rsidR="004A772A">
        <w:rPr>
          <w:rFonts w:ascii="Verdana" w:hAnsi="Verdana" w:cs="Verdana"/>
          <w:sz w:val="20"/>
          <w:szCs w:val="20"/>
          <w:lang w:val="pt-BR"/>
        </w:rPr>
        <w:t xml:space="preserve">do Estado </w:t>
      </w:r>
      <w:r w:rsidRPr="00C40BD9">
        <w:rPr>
          <w:rFonts w:ascii="Verdana" w:hAnsi="Verdana" w:cs="Verdana"/>
          <w:sz w:val="20"/>
          <w:szCs w:val="20"/>
          <w:lang w:val="pt-BR"/>
        </w:rPr>
        <w:t xml:space="preserve">de investigar </w:t>
      </w:r>
      <w:r w:rsidR="00635878" w:rsidRPr="00C40BD9">
        <w:rPr>
          <w:rFonts w:ascii="Verdana" w:hAnsi="Verdana" w:cs="Verdana"/>
          <w:sz w:val="20"/>
          <w:szCs w:val="20"/>
          <w:lang w:val="pt-BR"/>
        </w:rPr>
        <w:t xml:space="preserve">os </w:t>
      </w:r>
      <w:r w:rsidRPr="00C40BD9">
        <w:rPr>
          <w:rFonts w:ascii="Verdana" w:hAnsi="Verdana" w:cs="Verdana"/>
          <w:sz w:val="20"/>
          <w:szCs w:val="20"/>
          <w:lang w:val="pt-BR"/>
        </w:rPr>
        <w:t xml:space="preserve">casos de </w:t>
      </w:r>
      <w:r w:rsidR="00C06A9B" w:rsidRPr="00C40BD9">
        <w:rPr>
          <w:rFonts w:ascii="Verdana" w:hAnsi="Verdana" w:cs="Verdana"/>
          <w:sz w:val="20"/>
          <w:szCs w:val="20"/>
          <w:lang w:val="pt-BR"/>
        </w:rPr>
        <w:t>violência</w:t>
      </w:r>
      <w:r w:rsidR="00DE316A">
        <w:rPr>
          <w:rFonts w:ascii="Verdana" w:hAnsi="Verdana" w:cs="Verdana"/>
          <w:sz w:val="20"/>
          <w:szCs w:val="20"/>
          <w:lang w:val="pt-BR"/>
        </w:rPr>
        <w:t xml:space="preserve"> </w:t>
      </w:r>
      <w:r w:rsidRPr="00C40BD9">
        <w:rPr>
          <w:rFonts w:ascii="Verdana" w:hAnsi="Verdana" w:cs="Verdana"/>
          <w:sz w:val="20"/>
          <w:szCs w:val="20"/>
          <w:lang w:val="pt-BR"/>
        </w:rPr>
        <w:t>sexual (</w:t>
      </w:r>
      <w:r w:rsidR="00635878" w:rsidRPr="00C40BD9">
        <w:rPr>
          <w:rFonts w:ascii="Verdana" w:hAnsi="Verdana" w:cs="Verdana"/>
          <w:sz w:val="20"/>
          <w:szCs w:val="20"/>
          <w:lang w:val="pt-BR"/>
        </w:rPr>
        <w:t>parágrafos</w:t>
      </w:r>
      <w:r w:rsidR="00DE316A">
        <w:rPr>
          <w:rFonts w:ascii="Verdana" w:hAnsi="Verdana" w:cs="Verdana"/>
          <w:sz w:val="20"/>
          <w:szCs w:val="20"/>
          <w:lang w:val="pt-BR"/>
        </w:rPr>
        <w:t xml:space="preserve"> </w:t>
      </w:r>
      <w:r w:rsidR="00E50131" w:rsidRPr="00C40BD9">
        <w:rPr>
          <w:rFonts w:ascii="Verdana" w:hAnsi="Verdana" w:cs="Verdana"/>
          <w:sz w:val="20"/>
          <w:szCs w:val="20"/>
          <w:lang w:val="pt-BR"/>
        </w:rPr>
        <w:t xml:space="preserve">291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Pr="00C40BD9">
        <w:rPr>
          <w:rFonts w:ascii="Verdana" w:hAnsi="Verdana" w:cs="Verdana"/>
          <w:sz w:val="20"/>
          <w:szCs w:val="20"/>
          <w:lang w:val="pt-BR"/>
        </w:rPr>
        <w:t>292.b</w:t>
      </w:r>
      <w:r w:rsidR="009419AC" w:rsidRPr="00C40BD9">
        <w:rPr>
          <w:rFonts w:ascii="Verdana" w:hAnsi="Verdana" w:cs="Verdana"/>
          <w:sz w:val="20"/>
          <w:szCs w:val="20"/>
          <w:lang w:val="pt-BR"/>
        </w:rPr>
        <w:t xml:space="preserve"> </w:t>
      </w:r>
      <w:r w:rsidR="00F633DD" w:rsidRPr="00C40BD9">
        <w:rPr>
          <w:rFonts w:ascii="Verdana" w:hAnsi="Verdana" w:cs="Verdana"/>
          <w:sz w:val="20"/>
          <w:szCs w:val="20"/>
          <w:lang w:val="pt-BR"/>
        </w:rPr>
        <w:t>da Sentença</w:t>
      </w:r>
      <w:r w:rsidRPr="00C40BD9">
        <w:rPr>
          <w:rFonts w:ascii="Verdana" w:hAnsi="Verdana" w:cs="Verdana"/>
          <w:sz w:val="20"/>
          <w:szCs w:val="20"/>
          <w:lang w:val="pt-BR"/>
        </w:rPr>
        <w:t>)</w:t>
      </w:r>
      <w:r w:rsidR="00B5731C">
        <w:rPr>
          <w:rFonts w:ascii="Verdana" w:hAnsi="Verdana" w:cs="Verdana"/>
          <w:sz w:val="20"/>
          <w:szCs w:val="20"/>
          <w:lang w:val="pt-BR"/>
        </w:rPr>
        <w:t>.</w:t>
      </w:r>
      <w:r w:rsidR="001D5CB5" w:rsidRPr="00C40BD9">
        <w:rPr>
          <w:rFonts w:ascii="Verdana" w:hAnsi="Verdana" w:cs="Verdana"/>
          <w:sz w:val="20"/>
          <w:szCs w:val="20"/>
          <w:lang w:val="pt-BR"/>
        </w:rPr>
        <w:t xml:space="preserve"> </w:t>
      </w:r>
    </w:p>
    <w:p w:rsidR="0074017B" w:rsidRPr="00C40BD9" w:rsidRDefault="0074017B" w:rsidP="00A82FB4">
      <w:pPr>
        <w:autoSpaceDE w:val="0"/>
        <w:autoSpaceDN w:val="0"/>
        <w:adjustRightInd w:val="0"/>
        <w:spacing w:after="0" w:line="240" w:lineRule="auto"/>
        <w:jc w:val="both"/>
        <w:rPr>
          <w:rFonts w:ascii="Verdana" w:hAnsi="Verdana" w:cs="Verdana"/>
          <w:sz w:val="20"/>
          <w:szCs w:val="20"/>
          <w:lang w:val="pt-BR"/>
        </w:rPr>
      </w:pPr>
    </w:p>
    <w:p w:rsidR="0074017B" w:rsidRPr="00C40BD9" w:rsidRDefault="0074017B" w:rsidP="00A82FB4">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pt-BR"/>
        </w:rPr>
      </w:pPr>
      <w:r w:rsidRPr="00C40BD9">
        <w:rPr>
          <w:rFonts w:ascii="Verdana" w:hAnsi="Verdana" w:cs="Verdana"/>
          <w:sz w:val="20"/>
          <w:szCs w:val="20"/>
          <w:lang w:val="pt-BR"/>
        </w:rPr>
        <w:t>E</w:t>
      </w:r>
      <w:r w:rsidR="00635878" w:rsidRPr="00C40BD9">
        <w:rPr>
          <w:rFonts w:ascii="Verdana" w:hAnsi="Verdana" w:cs="Verdana"/>
          <w:sz w:val="20"/>
          <w:szCs w:val="20"/>
          <w:lang w:val="pt-BR"/>
        </w:rPr>
        <w:t>m</w:t>
      </w:r>
      <w:r w:rsidRPr="00C40BD9">
        <w:rPr>
          <w:rFonts w:ascii="Verdana" w:hAnsi="Verdana" w:cs="Verdana"/>
          <w:sz w:val="20"/>
          <w:szCs w:val="20"/>
          <w:lang w:val="pt-BR"/>
        </w:rPr>
        <w:t xml:space="preserve"> 16 de agosto de 2017, </w:t>
      </w:r>
      <w:r w:rsidR="00F633DD" w:rsidRPr="00C40BD9">
        <w:rPr>
          <w:rFonts w:ascii="Verdana" w:hAnsi="Verdana" w:cs="Verdana"/>
          <w:sz w:val="20"/>
          <w:szCs w:val="20"/>
          <w:lang w:val="pt-BR"/>
        </w:rPr>
        <w:t xml:space="preserve">em conformidade com </w:t>
      </w:r>
      <w:r w:rsidRPr="00C40BD9">
        <w:rPr>
          <w:rFonts w:ascii="Verdana" w:hAnsi="Verdana" w:cs="Verdana"/>
          <w:sz w:val="20"/>
          <w:szCs w:val="20"/>
          <w:lang w:val="pt-BR"/>
        </w:rPr>
        <w:t xml:space="preserve">o </w:t>
      </w:r>
      <w:r w:rsidR="00635878" w:rsidRPr="00C40BD9">
        <w:rPr>
          <w:rFonts w:ascii="Verdana" w:hAnsi="Verdana" w:cs="Verdana"/>
          <w:sz w:val="20"/>
          <w:szCs w:val="20"/>
          <w:lang w:val="pt-BR"/>
        </w:rPr>
        <w:t>disposto</w:t>
      </w:r>
      <w:r w:rsidR="00DE316A">
        <w:rPr>
          <w:rFonts w:ascii="Verdana" w:hAnsi="Verdana" w:cs="Verdana"/>
          <w:sz w:val="20"/>
          <w:szCs w:val="20"/>
          <w:lang w:val="pt-BR"/>
        </w:rPr>
        <w:t xml:space="preserve"> </w:t>
      </w:r>
      <w:r w:rsidRPr="00C40BD9">
        <w:rPr>
          <w:rFonts w:ascii="Verdana" w:hAnsi="Verdana" w:cs="Verdana"/>
          <w:sz w:val="20"/>
          <w:szCs w:val="20"/>
          <w:lang w:val="pt-BR"/>
        </w:rPr>
        <w:t>n</w:t>
      </w:r>
      <w:r w:rsidR="00F633DD" w:rsidRPr="00C40BD9">
        <w:rPr>
          <w:rFonts w:ascii="Verdana" w:hAnsi="Verdana" w:cs="Verdana"/>
          <w:sz w:val="20"/>
          <w:szCs w:val="20"/>
          <w:lang w:val="pt-BR"/>
        </w:rPr>
        <w:t xml:space="preserve">o artigo </w:t>
      </w:r>
      <w:r w:rsidRPr="00C40BD9">
        <w:rPr>
          <w:rFonts w:ascii="Verdana" w:hAnsi="Verdana" w:cs="Verdana"/>
          <w:sz w:val="20"/>
          <w:szCs w:val="20"/>
          <w:lang w:val="pt-BR"/>
        </w:rPr>
        <w:t>68.2 d</w:t>
      </w:r>
      <w:r w:rsidR="00635878" w:rsidRPr="00C40BD9">
        <w:rPr>
          <w:rFonts w:ascii="Verdana" w:hAnsi="Verdana" w:cs="Verdana"/>
          <w:sz w:val="20"/>
          <w:szCs w:val="20"/>
          <w:lang w:val="pt-BR"/>
        </w:rPr>
        <w:t>o</w:t>
      </w:r>
      <w:r w:rsidRPr="00C40BD9">
        <w:rPr>
          <w:rFonts w:ascii="Verdana" w:hAnsi="Verdana" w:cs="Verdana"/>
          <w:sz w:val="20"/>
          <w:szCs w:val="20"/>
          <w:lang w:val="pt-BR"/>
        </w:rPr>
        <w:t xml:space="preserve"> </w:t>
      </w:r>
      <w:r w:rsidR="00F633DD" w:rsidRPr="00C40BD9">
        <w:rPr>
          <w:rFonts w:ascii="Verdana" w:hAnsi="Verdana" w:cs="Verdana"/>
          <w:sz w:val="20"/>
          <w:szCs w:val="20"/>
          <w:lang w:val="pt-BR"/>
        </w:rPr>
        <w:t>Regulamento</w:t>
      </w:r>
      <w:r w:rsidRPr="00C40BD9">
        <w:rPr>
          <w:rFonts w:ascii="Verdana" w:hAnsi="Verdana" w:cs="Verdana"/>
          <w:sz w:val="20"/>
          <w:szCs w:val="20"/>
          <w:lang w:val="pt-BR"/>
        </w:rPr>
        <w:t xml:space="preserve">, a </w:t>
      </w:r>
      <w:r w:rsidR="00635878" w:rsidRPr="00C40BD9">
        <w:rPr>
          <w:rFonts w:ascii="Verdana" w:hAnsi="Verdana" w:cs="Verdana"/>
          <w:sz w:val="20"/>
          <w:szCs w:val="20"/>
          <w:lang w:val="pt-BR"/>
        </w:rPr>
        <w:t>Secretaria</w:t>
      </w:r>
      <w:r w:rsidR="00DE316A">
        <w:rPr>
          <w:rFonts w:ascii="Verdana" w:hAnsi="Verdana" w:cs="Verdana"/>
          <w:sz w:val="20"/>
          <w:szCs w:val="20"/>
          <w:lang w:val="pt-BR"/>
        </w:rPr>
        <w:t xml:space="preserve"> </w:t>
      </w:r>
      <w:r w:rsidR="00F633DD" w:rsidRPr="00C40BD9">
        <w:rPr>
          <w:rFonts w:ascii="Verdana" w:hAnsi="Verdana" w:cs="Verdana"/>
          <w:sz w:val="20"/>
          <w:szCs w:val="20"/>
          <w:lang w:val="pt-BR"/>
        </w:rPr>
        <w:t xml:space="preserve">da </w:t>
      </w:r>
      <w:r w:rsidRPr="00C40BD9">
        <w:rPr>
          <w:rFonts w:ascii="Verdana" w:hAnsi="Verdana" w:cs="Verdana"/>
          <w:sz w:val="20"/>
          <w:szCs w:val="20"/>
          <w:lang w:val="pt-BR"/>
        </w:rPr>
        <w:t xml:space="preserve">Corte </w:t>
      </w:r>
      <w:r w:rsidR="00635878" w:rsidRPr="00C40BD9">
        <w:rPr>
          <w:rFonts w:ascii="Verdana" w:hAnsi="Verdana" w:cs="Verdana"/>
          <w:sz w:val="20"/>
          <w:szCs w:val="20"/>
          <w:lang w:val="pt-BR"/>
        </w:rPr>
        <w:t>encaminhou as solicitações</w:t>
      </w:r>
      <w:r w:rsidR="00DE316A">
        <w:rPr>
          <w:rFonts w:ascii="Verdana" w:hAnsi="Verdana" w:cs="Verdana"/>
          <w:sz w:val="20"/>
          <w:szCs w:val="20"/>
          <w:lang w:val="pt-BR"/>
        </w:rPr>
        <w:t xml:space="preserve"> </w:t>
      </w:r>
      <w:r w:rsidRPr="00C40BD9">
        <w:rPr>
          <w:rFonts w:ascii="Verdana" w:hAnsi="Verdana" w:cs="Verdana"/>
          <w:sz w:val="20"/>
          <w:szCs w:val="20"/>
          <w:lang w:val="pt-BR"/>
        </w:rPr>
        <w:t>de interpreta</w:t>
      </w:r>
      <w:r w:rsidR="00F633DD" w:rsidRPr="00C40BD9">
        <w:rPr>
          <w:rFonts w:ascii="Verdana" w:hAnsi="Verdana" w:cs="Verdana"/>
          <w:sz w:val="20"/>
          <w:szCs w:val="20"/>
          <w:lang w:val="pt-BR"/>
        </w:rPr>
        <w:t>ção</w:t>
      </w:r>
      <w:r w:rsidRPr="00C40BD9">
        <w:rPr>
          <w:rFonts w:ascii="Verdana" w:hAnsi="Verdana" w:cs="Verdana"/>
          <w:sz w:val="20"/>
          <w:szCs w:val="20"/>
          <w:lang w:val="pt-BR"/>
        </w:rPr>
        <w:t xml:space="preserve"> a</w:t>
      </w:r>
      <w:r w:rsidR="00C06A9B" w:rsidRPr="00C40BD9">
        <w:rPr>
          <w:rFonts w:ascii="Verdana" w:hAnsi="Verdana" w:cs="Verdana"/>
          <w:sz w:val="20"/>
          <w:szCs w:val="20"/>
          <w:lang w:val="pt-BR"/>
        </w:rPr>
        <w:t>os representantes das vítimas</w:t>
      </w:r>
      <w:r w:rsidRPr="00C40BD9">
        <w:rPr>
          <w:rFonts w:ascii="Verdana" w:hAnsi="Verdana" w:cs="Verdana"/>
          <w:sz w:val="20"/>
          <w:szCs w:val="20"/>
          <w:lang w:val="pt-BR"/>
        </w:rPr>
        <w:t xml:space="preserve">, </w:t>
      </w:r>
      <w:r w:rsidR="00635878" w:rsidRPr="00C40BD9">
        <w:rPr>
          <w:rFonts w:ascii="Verdana" w:hAnsi="Verdana" w:cs="Verdana"/>
          <w:sz w:val="20"/>
          <w:szCs w:val="20"/>
          <w:lang w:val="pt-BR"/>
        </w:rPr>
        <w:t xml:space="preserve">à </w:t>
      </w:r>
      <w:r w:rsidR="00C06A9B" w:rsidRPr="00C40BD9">
        <w:rPr>
          <w:rFonts w:ascii="Verdana" w:hAnsi="Verdana" w:cs="Verdana"/>
          <w:sz w:val="20"/>
          <w:szCs w:val="20"/>
          <w:lang w:val="pt-BR"/>
        </w:rPr>
        <w:t>Comissão</w:t>
      </w:r>
      <w:r w:rsidR="00DE316A">
        <w:rPr>
          <w:rFonts w:ascii="Verdana" w:hAnsi="Verdana" w:cs="Verdana"/>
          <w:sz w:val="20"/>
          <w:szCs w:val="20"/>
          <w:lang w:val="pt-BR"/>
        </w:rPr>
        <w:t xml:space="preserve"> </w:t>
      </w:r>
      <w:r w:rsidRPr="00C40BD9">
        <w:rPr>
          <w:rFonts w:ascii="Verdana" w:hAnsi="Verdana" w:cs="Verdana"/>
          <w:sz w:val="20"/>
          <w:szCs w:val="20"/>
          <w:lang w:val="pt-BR"/>
        </w:rPr>
        <w:t xml:space="preserve">Interamericana de </w:t>
      </w:r>
      <w:r w:rsidR="00F633DD" w:rsidRPr="00C40BD9">
        <w:rPr>
          <w:rFonts w:ascii="Verdana" w:hAnsi="Verdana" w:cs="Verdana"/>
          <w:sz w:val="20"/>
          <w:szCs w:val="20"/>
          <w:lang w:val="pt-BR"/>
        </w:rPr>
        <w:t>Direitos</w:t>
      </w:r>
      <w:r w:rsidR="00DE316A">
        <w:rPr>
          <w:rFonts w:ascii="Verdana" w:hAnsi="Verdana" w:cs="Verdana"/>
          <w:sz w:val="20"/>
          <w:szCs w:val="20"/>
          <w:lang w:val="pt-BR"/>
        </w:rPr>
        <w:t xml:space="preserve"> </w:t>
      </w:r>
      <w:r w:rsidRPr="00C40BD9">
        <w:rPr>
          <w:rFonts w:ascii="Verdana" w:hAnsi="Verdana" w:cs="Verdana"/>
          <w:sz w:val="20"/>
          <w:szCs w:val="20"/>
          <w:lang w:val="pt-BR"/>
        </w:rPr>
        <w:t xml:space="preserve">Humanos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Pr="00C40BD9">
        <w:rPr>
          <w:rFonts w:ascii="Verdana" w:hAnsi="Verdana" w:cs="Verdana"/>
          <w:sz w:val="20"/>
          <w:szCs w:val="20"/>
          <w:lang w:val="pt-BR"/>
        </w:rPr>
        <w:t>a</w:t>
      </w:r>
      <w:r w:rsidR="00635878" w:rsidRPr="00C40BD9">
        <w:rPr>
          <w:rFonts w:ascii="Verdana" w:hAnsi="Verdana" w:cs="Verdana"/>
          <w:sz w:val="20"/>
          <w:szCs w:val="20"/>
          <w:lang w:val="pt-BR"/>
        </w:rPr>
        <w:t>o</w:t>
      </w:r>
      <w:r w:rsidRPr="00C40BD9">
        <w:rPr>
          <w:rFonts w:ascii="Verdana" w:hAnsi="Verdana" w:cs="Verdana"/>
          <w:sz w:val="20"/>
          <w:szCs w:val="20"/>
          <w:lang w:val="pt-BR"/>
        </w:rPr>
        <w:t xml:space="preserve"> Estado d</w:t>
      </w:r>
      <w:r w:rsidR="00635878" w:rsidRPr="00C40BD9">
        <w:rPr>
          <w:rFonts w:ascii="Verdana" w:hAnsi="Verdana" w:cs="Verdana"/>
          <w:sz w:val="20"/>
          <w:szCs w:val="20"/>
          <w:lang w:val="pt-BR"/>
        </w:rPr>
        <w:t>o</w:t>
      </w:r>
      <w:r w:rsidRPr="00C40BD9">
        <w:rPr>
          <w:rFonts w:ascii="Verdana" w:hAnsi="Verdana" w:cs="Verdana"/>
          <w:sz w:val="20"/>
          <w:szCs w:val="20"/>
          <w:lang w:val="pt-BR"/>
        </w:rPr>
        <w:t xml:space="preserve"> Brasil</w:t>
      </w:r>
      <w:r w:rsidR="00C6047D" w:rsidRPr="00C40BD9">
        <w:rPr>
          <w:rFonts w:ascii="Verdana" w:hAnsi="Verdana" w:cs="Verdana"/>
          <w:sz w:val="20"/>
          <w:szCs w:val="20"/>
          <w:lang w:val="pt-BR"/>
        </w:rPr>
        <w:t xml:space="preserve"> </w:t>
      </w:r>
      <w:r w:rsidR="00F633DD" w:rsidRPr="00C40BD9">
        <w:rPr>
          <w:rFonts w:ascii="Verdana" w:hAnsi="Verdana" w:cs="Verdana"/>
          <w:sz w:val="20"/>
          <w:szCs w:val="20"/>
          <w:lang w:val="pt-BR"/>
        </w:rPr>
        <w:t>e</w:t>
      </w:r>
      <w:r w:rsidRPr="00C40BD9">
        <w:rPr>
          <w:rFonts w:ascii="Verdana" w:hAnsi="Verdana" w:cs="Verdana"/>
          <w:sz w:val="20"/>
          <w:szCs w:val="20"/>
          <w:lang w:val="pt-BR"/>
        </w:rPr>
        <w:t xml:space="preserve">, </w:t>
      </w:r>
      <w:r w:rsidR="00F633DD" w:rsidRPr="00C40BD9">
        <w:rPr>
          <w:rFonts w:ascii="Verdana" w:hAnsi="Verdana" w:cs="Verdana"/>
          <w:sz w:val="20"/>
          <w:szCs w:val="20"/>
          <w:lang w:val="pt-BR"/>
        </w:rPr>
        <w:t xml:space="preserve">em conformidade com </w:t>
      </w:r>
      <w:r w:rsidR="00635878" w:rsidRPr="00C40BD9">
        <w:rPr>
          <w:rFonts w:ascii="Verdana" w:hAnsi="Verdana" w:cs="Verdana"/>
          <w:sz w:val="20"/>
          <w:szCs w:val="20"/>
          <w:lang w:val="pt-BR"/>
        </w:rPr>
        <w:t xml:space="preserve">o </w:t>
      </w:r>
      <w:r w:rsidRPr="00C40BD9">
        <w:rPr>
          <w:rFonts w:ascii="Verdana" w:hAnsi="Verdana" w:cs="Verdana"/>
          <w:sz w:val="20"/>
          <w:szCs w:val="20"/>
          <w:lang w:val="pt-BR"/>
        </w:rPr>
        <w:t xml:space="preserve">mencionado </w:t>
      </w:r>
      <w:r w:rsidR="00635878" w:rsidRPr="00C40BD9">
        <w:rPr>
          <w:rFonts w:ascii="Verdana" w:hAnsi="Verdana" w:cs="Verdana"/>
          <w:sz w:val="20"/>
          <w:szCs w:val="20"/>
          <w:lang w:val="pt-BR"/>
        </w:rPr>
        <w:t>artigo</w:t>
      </w:r>
      <w:r w:rsidR="00DE316A">
        <w:rPr>
          <w:rFonts w:ascii="Verdana" w:hAnsi="Verdana" w:cs="Verdana"/>
          <w:sz w:val="20"/>
          <w:szCs w:val="20"/>
          <w:lang w:val="pt-BR"/>
        </w:rPr>
        <w:t xml:space="preserve"> </w:t>
      </w:r>
      <w:r w:rsidRPr="00C40BD9">
        <w:rPr>
          <w:rFonts w:ascii="Verdana" w:hAnsi="Verdana" w:cs="Verdana"/>
          <w:sz w:val="20"/>
          <w:szCs w:val="20"/>
          <w:lang w:val="pt-BR"/>
        </w:rPr>
        <w:t>d</w:t>
      </w:r>
      <w:r w:rsidR="00635878" w:rsidRPr="00C40BD9">
        <w:rPr>
          <w:rFonts w:ascii="Verdana" w:hAnsi="Verdana" w:cs="Verdana"/>
          <w:sz w:val="20"/>
          <w:szCs w:val="20"/>
          <w:lang w:val="pt-BR"/>
        </w:rPr>
        <w:t>o</w:t>
      </w:r>
      <w:r w:rsidRPr="00C40BD9">
        <w:rPr>
          <w:rFonts w:ascii="Verdana" w:hAnsi="Verdana" w:cs="Verdana"/>
          <w:sz w:val="20"/>
          <w:szCs w:val="20"/>
          <w:lang w:val="pt-BR"/>
        </w:rPr>
        <w:t xml:space="preserve"> </w:t>
      </w:r>
      <w:r w:rsidR="00F633DD" w:rsidRPr="00C40BD9">
        <w:rPr>
          <w:rFonts w:ascii="Verdana" w:hAnsi="Verdana" w:cs="Verdana"/>
          <w:sz w:val="20"/>
          <w:szCs w:val="20"/>
          <w:lang w:val="pt-BR"/>
        </w:rPr>
        <w:t>Regulamento</w:t>
      </w:r>
      <w:r w:rsidR="00DE316A">
        <w:rPr>
          <w:rFonts w:ascii="Verdana" w:hAnsi="Verdana" w:cs="Verdana"/>
          <w:sz w:val="20"/>
          <w:szCs w:val="20"/>
          <w:lang w:val="pt-BR"/>
        </w:rPr>
        <w:t xml:space="preserve">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Pr="00C40BD9">
        <w:rPr>
          <w:rFonts w:ascii="Verdana" w:hAnsi="Verdana" w:cs="Verdana"/>
          <w:sz w:val="20"/>
          <w:szCs w:val="20"/>
          <w:lang w:val="pt-BR"/>
        </w:rPr>
        <w:t>s</w:t>
      </w:r>
      <w:r w:rsidR="00635878" w:rsidRPr="00C40BD9">
        <w:rPr>
          <w:rFonts w:ascii="Verdana" w:hAnsi="Verdana" w:cs="Verdana"/>
          <w:sz w:val="20"/>
          <w:szCs w:val="20"/>
          <w:lang w:val="pt-BR"/>
        </w:rPr>
        <w:t>e</w:t>
      </w:r>
      <w:r w:rsidRPr="00C40BD9">
        <w:rPr>
          <w:rFonts w:ascii="Verdana" w:hAnsi="Verdana" w:cs="Verdana"/>
          <w:sz w:val="20"/>
          <w:szCs w:val="20"/>
          <w:lang w:val="pt-BR"/>
        </w:rPr>
        <w:t xml:space="preserve">guindo </w:t>
      </w:r>
      <w:r w:rsidR="00B5731C">
        <w:rPr>
          <w:rFonts w:ascii="Verdana" w:hAnsi="Verdana" w:cs="Verdana"/>
          <w:sz w:val="20"/>
          <w:szCs w:val="20"/>
          <w:lang w:val="pt-BR"/>
        </w:rPr>
        <w:t xml:space="preserve">as </w:t>
      </w:r>
      <w:r w:rsidRPr="00C40BD9">
        <w:rPr>
          <w:rFonts w:ascii="Verdana" w:hAnsi="Verdana" w:cs="Verdana"/>
          <w:sz w:val="20"/>
          <w:szCs w:val="20"/>
          <w:lang w:val="pt-BR"/>
        </w:rPr>
        <w:t>instru</w:t>
      </w:r>
      <w:r w:rsidR="00F633DD" w:rsidRPr="00C40BD9">
        <w:rPr>
          <w:rFonts w:ascii="Verdana" w:hAnsi="Verdana" w:cs="Verdana"/>
          <w:sz w:val="20"/>
          <w:szCs w:val="20"/>
          <w:lang w:val="pt-BR"/>
        </w:rPr>
        <w:t>ções</w:t>
      </w:r>
      <w:r w:rsidRPr="00C40BD9">
        <w:rPr>
          <w:rFonts w:ascii="Verdana" w:hAnsi="Verdana" w:cs="Verdana"/>
          <w:sz w:val="20"/>
          <w:szCs w:val="20"/>
          <w:lang w:val="pt-BR"/>
        </w:rPr>
        <w:t xml:space="preserve"> d</w:t>
      </w:r>
      <w:r w:rsidR="00635878" w:rsidRPr="00C40BD9">
        <w:rPr>
          <w:rFonts w:ascii="Verdana" w:hAnsi="Verdana" w:cs="Verdana"/>
          <w:sz w:val="20"/>
          <w:szCs w:val="20"/>
          <w:lang w:val="pt-BR"/>
        </w:rPr>
        <w:t>o</w:t>
      </w:r>
      <w:r w:rsidRPr="00C40BD9">
        <w:rPr>
          <w:rFonts w:ascii="Verdana" w:hAnsi="Verdana" w:cs="Verdana"/>
          <w:sz w:val="20"/>
          <w:szCs w:val="20"/>
          <w:lang w:val="pt-BR"/>
        </w:rPr>
        <w:t xml:space="preserve"> Presidente e</w:t>
      </w:r>
      <w:r w:rsidR="00635878" w:rsidRPr="00C40BD9">
        <w:rPr>
          <w:rFonts w:ascii="Verdana" w:hAnsi="Verdana" w:cs="Verdana"/>
          <w:sz w:val="20"/>
          <w:szCs w:val="20"/>
          <w:lang w:val="pt-BR"/>
        </w:rPr>
        <w:t>m</w:t>
      </w:r>
      <w:r w:rsidRPr="00C40BD9">
        <w:rPr>
          <w:rFonts w:ascii="Verdana" w:hAnsi="Verdana" w:cs="Verdana"/>
          <w:sz w:val="20"/>
          <w:szCs w:val="20"/>
          <w:lang w:val="pt-BR"/>
        </w:rPr>
        <w:t xml:space="preserve"> </w:t>
      </w:r>
      <w:r w:rsidR="00635878" w:rsidRPr="00C40BD9">
        <w:rPr>
          <w:rFonts w:ascii="Verdana" w:hAnsi="Verdana" w:cs="Verdana"/>
          <w:sz w:val="20"/>
          <w:szCs w:val="20"/>
          <w:lang w:val="pt-BR"/>
        </w:rPr>
        <w:t>exercício</w:t>
      </w:r>
      <w:r w:rsidR="00DE316A">
        <w:rPr>
          <w:rFonts w:ascii="Verdana" w:hAnsi="Verdana" w:cs="Verdana"/>
          <w:sz w:val="20"/>
          <w:szCs w:val="20"/>
          <w:lang w:val="pt-BR"/>
        </w:rPr>
        <w:t xml:space="preserve"> </w:t>
      </w:r>
      <w:r w:rsidRPr="00C40BD9">
        <w:rPr>
          <w:rFonts w:ascii="Verdana" w:hAnsi="Verdana" w:cs="Verdana"/>
          <w:sz w:val="20"/>
          <w:szCs w:val="20"/>
          <w:lang w:val="pt-BR"/>
        </w:rPr>
        <w:t xml:space="preserve">para </w:t>
      </w:r>
      <w:r w:rsidR="00635878" w:rsidRPr="00C40BD9">
        <w:rPr>
          <w:rFonts w:ascii="Verdana" w:hAnsi="Verdana" w:cs="Verdana"/>
          <w:sz w:val="20"/>
          <w:szCs w:val="20"/>
          <w:lang w:val="pt-BR"/>
        </w:rPr>
        <w:t>o</w:t>
      </w:r>
      <w:r w:rsidRPr="00C40BD9">
        <w:rPr>
          <w:rFonts w:ascii="Verdana" w:hAnsi="Verdana" w:cs="Verdana"/>
          <w:sz w:val="20"/>
          <w:szCs w:val="20"/>
          <w:lang w:val="pt-BR"/>
        </w:rPr>
        <w:t xml:space="preserve"> presente caso, </w:t>
      </w:r>
      <w:r w:rsidR="00635878" w:rsidRPr="00C40BD9">
        <w:rPr>
          <w:rFonts w:ascii="Verdana" w:hAnsi="Verdana" w:cs="Verdana"/>
          <w:sz w:val="20"/>
          <w:szCs w:val="20"/>
          <w:lang w:val="pt-BR"/>
        </w:rPr>
        <w:t xml:space="preserve">concedeu prazo até </w:t>
      </w:r>
      <w:r w:rsidRPr="00C40BD9">
        <w:rPr>
          <w:rFonts w:ascii="Verdana" w:hAnsi="Verdana" w:cs="Verdana"/>
          <w:sz w:val="20"/>
          <w:szCs w:val="20"/>
          <w:lang w:val="pt-BR"/>
        </w:rPr>
        <w:t>18 de setembr</w:t>
      </w:r>
      <w:r w:rsidR="00635878" w:rsidRPr="00C40BD9">
        <w:rPr>
          <w:rFonts w:ascii="Verdana" w:hAnsi="Verdana" w:cs="Verdana"/>
          <w:sz w:val="20"/>
          <w:szCs w:val="20"/>
          <w:lang w:val="pt-BR"/>
        </w:rPr>
        <w:t>o</w:t>
      </w:r>
      <w:r w:rsidRPr="00C40BD9">
        <w:rPr>
          <w:rFonts w:ascii="Verdana" w:hAnsi="Verdana" w:cs="Verdana"/>
          <w:sz w:val="20"/>
          <w:szCs w:val="20"/>
          <w:lang w:val="pt-BR"/>
        </w:rPr>
        <w:t xml:space="preserve"> d</w:t>
      </w:r>
      <w:r w:rsidR="00635878" w:rsidRPr="00C40BD9">
        <w:rPr>
          <w:rFonts w:ascii="Verdana" w:hAnsi="Verdana" w:cs="Verdana"/>
          <w:sz w:val="20"/>
          <w:szCs w:val="20"/>
          <w:lang w:val="pt-BR"/>
        </w:rPr>
        <w:t>o mesmo ano</w:t>
      </w:r>
      <w:r w:rsidR="00DE316A">
        <w:rPr>
          <w:rFonts w:ascii="Verdana" w:hAnsi="Verdana" w:cs="Verdana"/>
          <w:sz w:val="20"/>
          <w:szCs w:val="20"/>
          <w:lang w:val="pt-BR"/>
        </w:rPr>
        <w:t xml:space="preserve"> </w:t>
      </w:r>
      <w:r w:rsidRPr="00C40BD9">
        <w:rPr>
          <w:rFonts w:ascii="Verdana" w:hAnsi="Verdana" w:cs="Verdana"/>
          <w:sz w:val="20"/>
          <w:szCs w:val="20"/>
          <w:lang w:val="pt-BR"/>
        </w:rPr>
        <w:t xml:space="preserve">para </w:t>
      </w:r>
      <w:r w:rsidR="00B5731C">
        <w:rPr>
          <w:rFonts w:ascii="Verdana" w:hAnsi="Verdana" w:cs="Verdana"/>
          <w:sz w:val="20"/>
          <w:szCs w:val="20"/>
          <w:lang w:val="pt-BR"/>
        </w:rPr>
        <w:t xml:space="preserve">a apresentação das </w:t>
      </w:r>
      <w:r w:rsidRPr="00C40BD9">
        <w:rPr>
          <w:rFonts w:ascii="Verdana" w:hAnsi="Verdana" w:cs="Verdana"/>
          <w:sz w:val="20"/>
          <w:szCs w:val="20"/>
          <w:lang w:val="pt-BR"/>
        </w:rPr>
        <w:t>observa</w:t>
      </w:r>
      <w:r w:rsidR="00F633DD" w:rsidRPr="00C40BD9">
        <w:rPr>
          <w:rFonts w:ascii="Verdana" w:hAnsi="Verdana" w:cs="Verdana"/>
          <w:sz w:val="20"/>
          <w:szCs w:val="20"/>
          <w:lang w:val="pt-BR"/>
        </w:rPr>
        <w:t>ções</w:t>
      </w:r>
      <w:r w:rsidRPr="00C40BD9">
        <w:rPr>
          <w:rFonts w:ascii="Verdana" w:hAnsi="Verdana" w:cs="Verdana"/>
          <w:sz w:val="20"/>
          <w:szCs w:val="20"/>
          <w:lang w:val="pt-BR"/>
        </w:rPr>
        <w:t xml:space="preserve"> escritas que </w:t>
      </w:r>
      <w:r w:rsidR="00635878" w:rsidRPr="00C40BD9">
        <w:rPr>
          <w:rFonts w:ascii="Verdana" w:hAnsi="Verdana" w:cs="Verdana"/>
          <w:sz w:val="20"/>
          <w:szCs w:val="20"/>
          <w:lang w:val="pt-BR"/>
        </w:rPr>
        <w:t xml:space="preserve">julgassem </w:t>
      </w:r>
      <w:r w:rsidRPr="00C40BD9">
        <w:rPr>
          <w:rFonts w:ascii="Verdana" w:hAnsi="Verdana" w:cs="Verdana"/>
          <w:sz w:val="20"/>
          <w:szCs w:val="20"/>
          <w:lang w:val="pt-BR"/>
        </w:rPr>
        <w:t>pertinentes</w:t>
      </w:r>
      <w:r w:rsidR="00B5731C">
        <w:rPr>
          <w:rFonts w:ascii="Verdana" w:hAnsi="Verdana" w:cs="Verdana"/>
          <w:sz w:val="20"/>
          <w:szCs w:val="20"/>
          <w:lang w:val="pt-BR"/>
        </w:rPr>
        <w:t>.</w:t>
      </w:r>
      <w:r w:rsidRPr="00C40BD9">
        <w:rPr>
          <w:rFonts w:ascii="Verdana" w:hAnsi="Verdana" w:cs="Verdana"/>
          <w:sz w:val="20"/>
          <w:szCs w:val="20"/>
          <w:lang w:val="pt-BR"/>
        </w:rPr>
        <w:t xml:space="preserve"> </w:t>
      </w:r>
    </w:p>
    <w:p w:rsidR="00912F31" w:rsidRPr="00C40BD9" w:rsidRDefault="00912F31" w:rsidP="00A82FB4">
      <w:pPr>
        <w:autoSpaceDE w:val="0"/>
        <w:autoSpaceDN w:val="0"/>
        <w:adjustRightInd w:val="0"/>
        <w:spacing w:after="0" w:line="240" w:lineRule="auto"/>
        <w:jc w:val="both"/>
        <w:rPr>
          <w:rFonts w:ascii="Verdana" w:hAnsi="Verdana" w:cs="Verdana"/>
          <w:sz w:val="20"/>
          <w:szCs w:val="20"/>
          <w:lang w:val="pt-BR"/>
        </w:rPr>
      </w:pPr>
    </w:p>
    <w:p w:rsidR="00995B9E" w:rsidRPr="00C40BD9" w:rsidRDefault="00635878" w:rsidP="00A82FB4">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pt-BR"/>
        </w:rPr>
      </w:pPr>
      <w:r w:rsidRPr="00C40BD9">
        <w:rPr>
          <w:rFonts w:ascii="Verdana" w:hAnsi="Verdana" w:cs="Verdana"/>
          <w:sz w:val="20"/>
          <w:szCs w:val="20"/>
          <w:lang w:val="pt-BR"/>
        </w:rPr>
        <w:t>A</w:t>
      </w:r>
      <w:r w:rsidR="00995B9E" w:rsidRPr="00C40BD9">
        <w:rPr>
          <w:rFonts w:ascii="Verdana" w:hAnsi="Verdana" w:cs="Verdana"/>
          <w:sz w:val="20"/>
          <w:szCs w:val="20"/>
          <w:lang w:val="pt-BR"/>
        </w:rPr>
        <w:t xml:space="preserve"> </w:t>
      </w:r>
      <w:r w:rsidR="00C06A9B" w:rsidRPr="00C40BD9">
        <w:rPr>
          <w:rFonts w:ascii="Verdana" w:hAnsi="Verdana" w:cs="Verdana"/>
          <w:sz w:val="20"/>
          <w:szCs w:val="20"/>
          <w:lang w:val="pt-BR"/>
        </w:rPr>
        <w:t xml:space="preserve">Comissão </w:t>
      </w:r>
      <w:r w:rsidRPr="00C40BD9">
        <w:rPr>
          <w:rFonts w:ascii="Verdana" w:hAnsi="Verdana" w:cs="Verdana"/>
          <w:sz w:val="20"/>
          <w:szCs w:val="20"/>
          <w:lang w:val="pt-BR"/>
        </w:rPr>
        <w:t>solicitou prorrogação do prazo por dois dias</w:t>
      </w:r>
      <w:r w:rsidR="00B5731C">
        <w:rPr>
          <w:rFonts w:ascii="Verdana" w:hAnsi="Verdana" w:cs="Verdana"/>
          <w:sz w:val="20"/>
          <w:szCs w:val="20"/>
          <w:lang w:val="pt-BR"/>
        </w:rPr>
        <w:t>,</w:t>
      </w:r>
      <w:r w:rsidRPr="00C40BD9">
        <w:rPr>
          <w:rFonts w:ascii="Verdana" w:hAnsi="Verdana" w:cs="Verdana"/>
          <w:sz w:val="20"/>
          <w:szCs w:val="20"/>
          <w:lang w:val="pt-BR"/>
        </w:rPr>
        <w:t xml:space="preserve"> </w:t>
      </w:r>
      <w:r w:rsidR="00995B9E" w:rsidRPr="00C40BD9">
        <w:rPr>
          <w:rFonts w:ascii="Verdana" w:hAnsi="Verdana" w:cs="Verdana"/>
          <w:sz w:val="20"/>
          <w:szCs w:val="20"/>
          <w:lang w:val="pt-BR"/>
        </w:rPr>
        <w:t xml:space="preserve">a </w:t>
      </w:r>
      <w:r w:rsidRPr="00C40BD9">
        <w:rPr>
          <w:rFonts w:ascii="Verdana" w:hAnsi="Verdana" w:cs="Verdana"/>
          <w:sz w:val="20"/>
          <w:szCs w:val="20"/>
          <w:lang w:val="pt-BR"/>
        </w:rPr>
        <w:t>q</w:t>
      </w:r>
      <w:r w:rsidR="00995B9E" w:rsidRPr="00C40BD9">
        <w:rPr>
          <w:rFonts w:ascii="Verdana" w:hAnsi="Verdana" w:cs="Verdana"/>
          <w:sz w:val="20"/>
          <w:szCs w:val="20"/>
          <w:lang w:val="pt-BR"/>
        </w:rPr>
        <w:t>ual f</w:t>
      </w:r>
      <w:r w:rsidRPr="00C40BD9">
        <w:rPr>
          <w:rFonts w:ascii="Verdana" w:hAnsi="Verdana" w:cs="Verdana"/>
          <w:sz w:val="20"/>
          <w:szCs w:val="20"/>
          <w:lang w:val="pt-BR"/>
        </w:rPr>
        <w:t>oi</w:t>
      </w:r>
      <w:r w:rsidR="00995B9E" w:rsidRPr="00C40BD9">
        <w:rPr>
          <w:rFonts w:ascii="Verdana" w:hAnsi="Verdana" w:cs="Verdana"/>
          <w:sz w:val="20"/>
          <w:szCs w:val="20"/>
          <w:lang w:val="pt-BR"/>
        </w:rPr>
        <w:t xml:space="preserve"> concedida p</w:t>
      </w:r>
      <w:r w:rsidRPr="00C40BD9">
        <w:rPr>
          <w:rFonts w:ascii="Verdana" w:hAnsi="Verdana" w:cs="Verdana"/>
          <w:sz w:val="20"/>
          <w:szCs w:val="20"/>
          <w:lang w:val="pt-BR"/>
        </w:rPr>
        <w:t>e</w:t>
      </w:r>
      <w:r w:rsidR="00B5731C">
        <w:rPr>
          <w:rFonts w:ascii="Verdana" w:hAnsi="Verdana" w:cs="Verdana"/>
          <w:sz w:val="20"/>
          <w:szCs w:val="20"/>
          <w:lang w:val="pt-BR"/>
        </w:rPr>
        <w:t>l</w:t>
      </w:r>
      <w:r w:rsidR="00036A1B" w:rsidRPr="00C40BD9">
        <w:rPr>
          <w:rFonts w:ascii="Verdana" w:hAnsi="Verdana" w:cs="Verdana"/>
          <w:sz w:val="20"/>
          <w:szCs w:val="20"/>
          <w:lang w:val="pt-BR"/>
        </w:rPr>
        <w:t>a Corte</w:t>
      </w:r>
      <w:r w:rsidR="00B5731C">
        <w:rPr>
          <w:rFonts w:ascii="Verdana" w:hAnsi="Verdana" w:cs="Verdana"/>
          <w:sz w:val="20"/>
          <w:szCs w:val="20"/>
          <w:lang w:val="pt-BR"/>
        </w:rPr>
        <w:t>.</w:t>
      </w:r>
      <w:r w:rsidR="00036A1B" w:rsidRPr="00C40BD9">
        <w:rPr>
          <w:rFonts w:ascii="Verdana" w:hAnsi="Verdana" w:cs="Verdana"/>
          <w:sz w:val="20"/>
          <w:szCs w:val="20"/>
          <w:lang w:val="pt-BR"/>
        </w:rPr>
        <w:t xml:space="preserve"> </w:t>
      </w:r>
    </w:p>
    <w:p w:rsidR="0074017B" w:rsidRPr="00C40BD9" w:rsidRDefault="0074017B" w:rsidP="00A82FB4">
      <w:pPr>
        <w:autoSpaceDE w:val="0"/>
        <w:autoSpaceDN w:val="0"/>
        <w:adjustRightInd w:val="0"/>
        <w:spacing w:after="0" w:line="240" w:lineRule="auto"/>
        <w:jc w:val="both"/>
        <w:rPr>
          <w:rFonts w:ascii="Verdana" w:hAnsi="Verdana" w:cs="Verdana"/>
          <w:sz w:val="20"/>
          <w:szCs w:val="20"/>
          <w:lang w:val="pt-BR"/>
        </w:rPr>
      </w:pPr>
    </w:p>
    <w:p w:rsidR="0074017B" w:rsidRPr="00C40BD9" w:rsidRDefault="0074017B" w:rsidP="00A82FB4">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pt-BR"/>
        </w:rPr>
      </w:pPr>
      <w:r w:rsidRPr="00C40BD9">
        <w:rPr>
          <w:rFonts w:ascii="Verdana" w:hAnsi="Verdana" w:cs="Verdana"/>
          <w:sz w:val="20"/>
          <w:szCs w:val="20"/>
          <w:lang w:val="pt-BR"/>
        </w:rPr>
        <w:t>E</w:t>
      </w:r>
      <w:r w:rsidR="00635878" w:rsidRPr="00C40BD9">
        <w:rPr>
          <w:rFonts w:ascii="Verdana" w:hAnsi="Verdana" w:cs="Verdana"/>
          <w:sz w:val="20"/>
          <w:szCs w:val="20"/>
          <w:lang w:val="pt-BR"/>
        </w:rPr>
        <w:t>m</w:t>
      </w:r>
      <w:r w:rsidRPr="00C40BD9">
        <w:rPr>
          <w:rFonts w:ascii="Verdana" w:hAnsi="Verdana" w:cs="Verdana"/>
          <w:sz w:val="20"/>
          <w:szCs w:val="20"/>
          <w:lang w:val="pt-BR"/>
        </w:rPr>
        <w:t xml:space="preserve"> 15, 18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Pr="00C40BD9">
        <w:rPr>
          <w:rFonts w:ascii="Verdana" w:hAnsi="Verdana" w:cs="Verdana"/>
          <w:sz w:val="20"/>
          <w:szCs w:val="20"/>
          <w:lang w:val="pt-BR"/>
        </w:rPr>
        <w:t xml:space="preserve">20 de </w:t>
      </w:r>
      <w:r w:rsidR="00635878" w:rsidRPr="00C40BD9">
        <w:rPr>
          <w:rFonts w:ascii="Verdana" w:hAnsi="Verdana" w:cs="Verdana"/>
          <w:sz w:val="20"/>
          <w:szCs w:val="20"/>
          <w:lang w:val="pt-BR"/>
        </w:rPr>
        <w:t>setembro</w:t>
      </w:r>
      <w:r w:rsidR="00DE316A">
        <w:rPr>
          <w:rFonts w:ascii="Verdana" w:hAnsi="Verdana" w:cs="Verdana"/>
          <w:sz w:val="20"/>
          <w:szCs w:val="20"/>
          <w:lang w:val="pt-BR"/>
        </w:rPr>
        <w:t xml:space="preserve"> </w:t>
      </w:r>
      <w:r w:rsidRPr="00C40BD9">
        <w:rPr>
          <w:rFonts w:ascii="Verdana" w:hAnsi="Verdana" w:cs="Verdana"/>
          <w:sz w:val="20"/>
          <w:szCs w:val="20"/>
          <w:lang w:val="pt-BR"/>
        </w:rPr>
        <w:t>de 2017</w:t>
      </w:r>
      <w:r w:rsidR="00635878" w:rsidRPr="00C40BD9">
        <w:rPr>
          <w:rFonts w:ascii="Verdana" w:hAnsi="Verdana" w:cs="Verdana"/>
          <w:sz w:val="20"/>
          <w:szCs w:val="20"/>
          <w:lang w:val="pt-BR"/>
        </w:rPr>
        <w:t>,</w:t>
      </w:r>
      <w:r w:rsidRPr="00C40BD9">
        <w:rPr>
          <w:rFonts w:ascii="Verdana" w:hAnsi="Verdana" w:cs="Verdana"/>
          <w:sz w:val="20"/>
          <w:szCs w:val="20"/>
          <w:lang w:val="pt-BR"/>
        </w:rPr>
        <w:t xml:space="preserve"> os representantes, </w:t>
      </w:r>
      <w:r w:rsidR="00635878" w:rsidRPr="00C40BD9">
        <w:rPr>
          <w:rFonts w:ascii="Verdana" w:hAnsi="Verdana" w:cs="Verdana"/>
          <w:sz w:val="20"/>
          <w:szCs w:val="20"/>
          <w:lang w:val="pt-BR"/>
        </w:rPr>
        <w:t>o</w:t>
      </w:r>
      <w:r w:rsidRPr="00C40BD9">
        <w:rPr>
          <w:rFonts w:ascii="Verdana" w:hAnsi="Verdana" w:cs="Verdana"/>
          <w:sz w:val="20"/>
          <w:szCs w:val="20"/>
          <w:lang w:val="pt-BR"/>
        </w:rPr>
        <w:t xml:space="preserve"> Estado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Pr="00C40BD9">
        <w:rPr>
          <w:rFonts w:ascii="Verdana" w:hAnsi="Verdana" w:cs="Verdana"/>
          <w:sz w:val="20"/>
          <w:szCs w:val="20"/>
          <w:lang w:val="pt-BR"/>
        </w:rPr>
        <w:t xml:space="preserve">a </w:t>
      </w:r>
      <w:r w:rsidR="00C06A9B" w:rsidRPr="00C40BD9">
        <w:rPr>
          <w:rFonts w:ascii="Verdana" w:hAnsi="Verdana" w:cs="Verdana"/>
          <w:sz w:val="20"/>
          <w:szCs w:val="20"/>
          <w:lang w:val="pt-BR"/>
        </w:rPr>
        <w:t>Comissão</w:t>
      </w:r>
      <w:r w:rsidRPr="00C40BD9">
        <w:rPr>
          <w:rFonts w:ascii="Verdana" w:hAnsi="Verdana" w:cs="Verdana"/>
          <w:sz w:val="20"/>
          <w:szCs w:val="20"/>
          <w:lang w:val="pt-BR"/>
        </w:rPr>
        <w:t xml:space="preserve">, respectivamente, </w:t>
      </w:r>
      <w:r w:rsidR="00635878" w:rsidRPr="00C40BD9">
        <w:rPr>
          <w:rFonts w:ascii="Verdana" w:hAnsi="Verdana" w:cs="Verdana"/>
          <w:sz w:val="20"/>
          <w:szCs w:val="20"/>
          <w:lang w:val="pt-BR"/>
        </w:rPr>
        <w:t xml:space="preserve">apresentaram suas </w:t>
      </w:r>
      <w:r w:rsidRPr="00C40BD9">
        <w:rPr>
          <w:rFonts w:ascii="Verdana" w:hAnsi="Verdana" w:cs="Verdana"/>
          <w:sz w:val="20"/>
          <w:szCs w:val="20"/>
          <w:lang w:val="pt-BR"/>
        </w:rPr>
        <w:t>observa</w:t>
      </w:r>
      <w:r w:rsidR="00F633DD" w:rsidRPr="00C40BD9">
        <w:rPr>
          <w:rFonts w:ascii="Verdana" w:hAnsi="Verdana" w:cs="Verdana"/>
          <w:sz w:val="20"/>
          <w:szCs w:val="20"/>
          <w:lang w:val="pt-BR"/>
        </w:rPr>
        <w:t>ções</w:t>
      </w:r>
      <w:r w:rsidRPr="00C40BD9">
        <w:rPr>
          <w:rFonts w:ascii="Verdana" w:hAnsi="Verdana" w:cs="Verdana"/>
          <w:sz w:val="20"/>
          <w:szCs w:val="20"/>
          <w:lang w:val="pt-BR"/>
        </w:rPr>
        <w:t xml:space="preserve"> escritas</w:t>
      </w:r>
      <w:r w:rsidR="00B5731C">
        <w:rPr>
          <w:rFonts w:ascii="Verdana" w:hAnsi="Verdana" w:cs="Verdana"/>
          <w:sz w:val="20"/>
          <w:szCs w:val="20"/>
          <w:lang w:val="pt-BR"/>
        </w:rPr>
        <w:t>.</w:t>
      </w:r>
      <w:r w:rsidR="001D5CB5" w:rsidRPr="00C40BD9">
        <w:rPr>
          <w:rFonts w:ascii="Verdana" w:hAnsi="Verdana" w:cs="Verdana"/>
          <w:sz w:val="20"/>
          <w:szCs w:val="20"/>
          <w:lang w:val="pt-BR"/>
        </w:rPr>
        <w:t xml:space="preserve"> </w:t>
      </w:r>
    </w:p>
    <w:p w:rsidR="0074017B" w:rsidRPr="00C40BD9" w:rsidRDefault="0074017B" w:rsidP="00A82FB4">
      <w:pPr>
        <w:autoSpaceDE w:val="0"/>
        <w:autoSpaceDN w:val="0"/>
        <w:adjustRightInd w:val="0"/>
        <w:spacing w:after="0" w:line="240" w:lineRule="auto"/>
        <w:jc w:val="both"/>
        <w:rPr>
          <w:rFonts w:ascii="Verdana" w:hAnsi="Verdana" w:cs="Verdana"/>
          <w:sz w:val="20"/>
          <w:szCs w:val="20"/>
          <w:lang w:val="pt-BR"/>
        </w:rPr>
      </w:pPr>
    </w:p>
    <w:p w:rsidR="0074017B" w:rsidRPr="00C40BD9" w:rsidRDefault="0074017B" w:rsidP="00A82FB4">
      <w:pPr>
        <w:spacing w:after="0" w:line="240" w:lineRule="auto"/>
        <w:jc w:val="center"/>
        <w:rPr>
          <w:rFonts w:ascii="Verdana" w:eastAsia="Times" w:hAnsi="Verdana"/>
          <w:b/>
          <w:bCs/>
          <w:sz w:val="20"/>
          <w:szCs w:val="20"/>
          <w:lang w:val="pt-BR"/>
        </w:rPr>
      </w:pPr>
      <w:r w:rsidRPr="00C40BD9">
        <w:rPr>
          <w:rFonts w:ascii="Verdana" w:eastAsia="Times" w:hAnsi="Verdana"/>
          <w:b/>
          <w:bCs/>
          <w:sz w:val="20"/>
          <w:szCs w:val="20"/>
          <w:lang w:val="pt-BR"/>
        </w:rPr>
        <w:t>II</w:t>
      </w:r>
    </w:p>
    <w:p w:rsidR="0074017B" w:rsidRPr="00C40BD9" w:rsidRDefault="0074017B" w:rsidP="00A82FB4">
      <w:pPr>
        <w:spacing w:after="0" w:line="240" w:lineRule="auto"/>
        <w:jc w:val="center"/>
        <w:rPr>
          <w:rFonts w:ascii="Verdana" w:eastAsia="Times" w:hAnsi="Verdana"/>
          <w:b/>
          <w:bCs/>
          <w:sz w:val="20"/>
          <w:szCs w:val="20"/>
          <w:lang w:val="pt-BR"/>
        </w:rPr>
      </w:pPr>
      <w:r w:rsidRPr="00C40BD9">
        <w:rPr>
          <w:rFonts w:ascii="Verdana" w:eastAsia="Times" w:hAnsi="Verdana"/>
          <w:b/>
          <w:bCs/>
          <w:sz w:val="20"/>
          <w:szCs w:val="20"/>
          <w:lang w:val="pt-BR"/>
        </w:rPr>
        <w:t>COMPET</w:t>
      </w:r>
      <w:r w:rsidR="00635878" w:rsidRPr="00C40BD9">
        <w:rPr>
          <w:rFonts w:ascii="Verdana" w:eastAsia="Times" w:hAnsi="Verdana"/>
          <w:b/>
          <w:bCs/>
          <w:sz w:val="20"/>
          <w:szCs w:val="20"/>
          <w:lang w:val="pt-BR"/>
        </w:rPr>
        <w:t>Ê</w:t>
      </w:r>
      <w:r w:rsidRPr="00C40BD9">
        <w:rPr>
          <w:rFonts w:ascii="Verdana" w:eastAsia="Times" w:hAnsi="Verdana"/>
          <w:b/>
          <w:bCs/>
          <w:sz w:val="20"/>
          <w:szCs w:val="20"/>
          <w:lang w:val="pt-BR"/>
        </w:rPr>
        <w:t xml:space="preserve">NCIA </w:t>
      </w:r>
    </w:p>
    <w:p w:rsidR="0074017B" w:rsidRPr="00C40BD9" w:rsidRDefault="0074017B" w:rsidP="00A82FB4">
      <w:pPr>
        <w:spacing w:after="0" w:line="240" w:lineRule="auto"/>
        <w:jc w:val="center"/>
        <w:rPr>
          <w:rFonts w:ascii="Verdana" w:eastAsia="Times" w:hAnsi="Verdana"/>
          <w:b/>
          <w:bCs/>
          <w:sz w:val="20"/>
          <w:szCs w:val="20"/>
          <w:lang w:val="pt-BR"/>
        </w:rPr>
      </w:pPr>
    </w:p>
    <w:p w:rsidR="0074017B" w:rsidRPr="00C40BD9" w:rsidRDefault="00E91099" w:rsidP="00A82FB4">
      <w:pPr>
        <w:pStyle w:val="ListParagraph"/>
        <w:numPr>
          <w:ilvl w:val="0"/>
          <w:numId w:val="2"/>
        </w:numPr>
        <w:tabs>
          <w:tab w:val="clear" w:pos="1247"/>
        </w:tabs>
        <w:autoSpaceDE w:val="0"/>
        <w:autoSpaceDN w:val="0"/>
        <w:adjustRightInd w:val="0"/>
        <w:spacing w:after="0" w:line="240" w:lineRule="auto"/>
        <w:contextualSpacing w:val="0"/>
        <w:jc w:val="both"/>
        <w:rPr>
          <w:rFonts w:ascii="Verdana" w:hAnsi="Verdana" w:cs="Verdana"/>
          <w:sz w:val="20"/>
          <w:szCs w:val="20"/>
          <w:lang w:val="pt-BR"/>
        </w:rPr>
      </w:pPr>
      <w:r w:rsidRPr="00C40BD9">
        <w:rPr>
          <w:rFonts w:ascii="Verdana" w:hAnsi="Verdana" w:cs="Verdana"/>
          <w:sz w:val="20"/>
          <w:szCs w:val="20"/>
          <w:lang w:val="pt-BR"/>
        </w:rPr>
        <w:t>O</w:t>
      </w:r>
      <w:r w:rsidR="0074017B" w:rsidRPr="00C40BD9">
        <w:rPr>
          <w:rFonts w:ascii="Verdana" w:hAnsi="Verdana" w:cs="Verdana"/>
          <w:sz w:val="20"/>
          <w:szCs w:val="20"/>
          <w:lang w:val="pt-BR"/>
        </w:rPr>
        <w:t xml:space="preserve"> </w:t>
      </w:r>
      <w:r w:rsidR="00635878" w:rsidRPr="00C40BD9">
        <w:rPr>
          <w:rFonts w:ascii="Verdana" w:hAnsi="Verdana" w:cs="Verdana"/>
          <w:sz w:val="20"/>
          <w:szCs w:val="20"/>
          <w:lang w:val="pt-BR"/>
        </w:rPr>
        <w:t>artigo</w:t>
      </w:r>
      <w:r w:rsidR="00DE316A">
        <w:rPr>
          <w:rFonts w:ascii="Verdana" w:hAnsi="Verdana" w:cs="Verdana"/>
          <w:sz w:val="20"/>
          <w:szCs w:val="20"/>
          <w:lang w:val="pt-BR"/>
        </w:rPr>
        <w:t xml:space="preserve"> </w:t>
      </w:r>
      <w:r w:rsidR="0074017B" w:rsidRPr="00C40BD9">
        <w:rPr>
          <w:rFonts w:ascii="Verdana" w:hAnsi="Verdana" w:cs="Verdana"/>
          <w:sz w:val="20"/>
          <w:szCs w:val="20"/>
          <w:lang w:val="pt-BR"/>
        </w:rPr>
        <w:t xml:space="preserve">67 </w:t>
      </w:r>
      <w:r w:rsidR="00F633DD" w:rsidRPr="00C40BD9">
        <w:rPr>
          <w:rFonts w:ascii="Verdana" w:hAnsi="Verdana" w:cs="Verdana"/>
          <w:sz w:val="20"/>
          <w:szCs w:val="20"/>
          <w:lang w:val="pt-BR"/>
        </w:rPr>
        <w:t xml:space="preserve">da </w:t>
      </w:r>
      <w:r w:rsidR="0074017B" w:rsidRPr="00C40BD9">
        <w:rPr>
          <w:rFonts w:ascii="Verdana" w:hAnsi="Verdana" w:cs="Verdana"/>
          <w:sz w:val="20"/>
          <w:szCs w:val="20"/>
          <w:lang w:val="pt-BR"/>
        </w:rPr>
        <w:t>Conven</w:t>
      </w:r>
      <w:r w:rsidR="00F633DD" w:rsidRPr="00C40BD9">
        <w:rPr>
          <w:rFonts w:ascii="Verdana" w:hAnsi="Verdana" w:cs="Verdana"/>
          <w:sz w:val="20"/>
          <w:szCs w:val="20"/>
          <w:lang w:val="pt-BR"/>
        </w:rPr>
        <w:t>ção</w:t>
      </w:r>
      <w:r w:rsidR="0074017B" w:rsidRPr="00C40BD9">
        <w:rPr>
          <w:rFonts w:ascii="Verdana" w:hAnsi="Verdana" w:cs="Verdana"/>
          <w:sz w:val="20"/>
          <w:szCs w:val="20"/>
          <w:lang w:val="pt-BR"/>
        </w:rPr>
        <w:t xml:space="preserve"> </w:t>
      </w:r>
      <w:r w:rsidRPr="00C40BD9">
        <w:rPr>
          <w:rFonts w:ascii="Verdana" w:hAnsi="Verdana" w:cs="Verdana"/>
          <w:sz w:val="20"/>
          <w:szCs w:val="20"/>
          <w:lang w:val="pt-BR"/>
        </w:rPr>
        <w:t xml:space="preserve">dispõe </w:t>
      </w:r>
      <w:r w:rsidR="0074017B" w:rsidRPr="00C40BD9">
        <w:rPr>
          <w:rFonts w:ascii="Verdana" w:hAnsi="Verdana" w:cs="Verdana"/>
          <w:sz w:val="20"/>
          <w:szCs w:val="20"/>
          <w:lang w:val="pt-BR"/>
        </w:rPr>
        <w:t>que:</w:t>
      </w:r>
    </w:p>
    <w:p w:rsidR="0074017B" w:rsidRPr="00C40BD9" w:rsidRDefault="0074017B" w:rsidP="00A82FB4">
      <w:pPr>
        <w:autoSpaceDE w:val="0"/>
        <w:autoSpaceDN w:val="0"/>
        <w:adjustRightInd w:val="0"/>
        <w:spacing w:after="0" w:line="240" w:lineRule="auto"/>
        <w:jc w:val="both"/>
        <w:rPr>
          <w:rFonts w:ascii="Verdana" w:hAnsi="Verdana" w:cs="Verdana"/>
          <w:sz w:val="20"/>
          <w:szCs w:val="20"/>
          <w:lang w:val="pt-BR"/>
        </w:rPr>
      </w:pPr>
    </w:p>
    <w:p w:rsidR="0074017B" w:rsidRPr="00C40BD9" w:rsidRDefault="00E91099" w:rsidP="00A82FB4">
      <w:pPr>
        <w:pStyle w:val="BlockText"/>
      </w:pPr>
      <w:r w:rsidRPr="00C40BD9">
        <w:rPr>
          <w:spacing w:val="-3"/>
          <w:sz w:val="20"/>
          <w:szCs w:val="20"/>
        </w:rPr>
        <w:t>A sentença da Corte será definitiva e inapelável.</w:t>
      </w:r>
      <w:r w:rsidR="00DE316A">
        <w:rPr>
          <w:spacing w:val="-3"/>
          <w:sz w:val="20"/>
          <w:szCs w:val="20"/>
        </w:rPr>
        <w:t xml:space="preserve"> </w:t>
      </w:r>
      <w:r w:rsidRPr="00C40BD9">
        <w:rPr>
          <w:spacing w:val="-3"/>
          <w:sz w:val="20"/>
          <w:szCs w:val="20"/>
        </w:rPr>
        <w:t>Em caso de divergência sobre o sentido ou alcance da sentença, a Corte interpretá-la-á, a pedido de qualquer das partes, desde que o pedido seja apresentado dentro de noventa dias a partir da data da notificação da sentença</w:t>
      </w:r>
      <w:r w:rsidR="0074017B" w:rsidRPr="00C40BD9">
        <w:t>.</w:t>
      </w:r>
      <w:r w:rsidRPr="00C40BD9">
        <w:t xml:space="preserve"> </w:t>
      </w:r>
    </w:p>
    <w:p w:rsidR="0074017B" w:rsidRPr="00C40BD9" w:rsidRDefault="0074017B" w:rsidP="00A82FB4">
      <w:pPr>
        <w:autoSpaceDE w:val="0"/>
        <w:autoSpaceDN w:val="0"/>
        <w:adjustRightInd w:val="0"/>
        <w:spacing w:after="0" w:line="240" w:lineRule="auto"/>
        <w:jc w:val="both"/>
        <w:rPr>
          <w:rFonts w:ascii="Verdana" w:hAnsi="Verdana" w:cs="Verdana"/>
          <w:sz w:val="20"/>
          <w:szCs w:val="20"/>
          <w:lang w:val="pt-BR"/>
        </w:rPr>
      </w:pPr>
    </w:p>
    <w:p w:rsidR="0074017B" w:rsidRPr="00C40BD9" w:rsidRDefault="00E91099" w:rsidP="00A82FB4">
      <w:pPr>
        <w:pStyle w:val="ListParagraph"/>
        <w:numPr>
          <w:ilvl w:val="0"/>
          <w:numId w:val="2"/>
        </w:numPr>
        <w:tabs>
          <w:tab w:val="clear" w:pos="1247"/>
        </w:tabs>
        <w:autoSpaceDE w:val="0"/>
        <w:autoSpaceDN w:val="0"/>
        <w:adjustRightInd w:val="0"/>
        <w:spacing w:after="0" w:line="240" w:lineRule="auto"/>
        <w:contextualSpacing w:val="0"/>
        <w:jc w:val="both"/>
        <w:rPr>
          <w:rFonts w:ascii="Verdana" w:hAnsi="Verdana" w:cs="Verdana"/>
          <w:sz w:val="20"/>
          <w:szCs w:val="20"/>
          <w:lang w:val="pt-BR"/>
        </w:rPr>
      </w:pPr>
      <w:r w:rsidRPr="00C40BD9">
        <w:rPr>
          <w:rFonts w:ascii="Verdana" w:hAnsi="Verdana" w:cs="Verdana"/>
          <w:sz w:val="20"/>
          <w:szCs w:val="20"/>
          <w:lang w:val="pt-BR"/>
        </w:rPr>
        <w:t xml:space="preserve">Em </w:t>
      </w:r>
      <w:r w:rsidR="0074017B" w:rsidRPr="00C40BD9">
        <w:rPr>
          <w:rFonts w:ascii="Verdana" w:hAnsi="Verdana" w:cs="Verdana"/>
          <w:sz w:val="20"/>
          <w:szCs w:val="20"/>
          <w:lang w:val="pt-BR"/>
        </w:rPr>
        <w:t>conformidad</w:t>
      </w:r>
      <w:r w:rsidRPr="00C40BD9">
        <w:rPr>
          <w:rFonts w:ascii="Verdana" w:hAnsi="Verdana" w:cs="Verdana"/>
          <w:sz w:val="20"/>
          <w:szCs w:val="20"/>
          <w:lang w:val="pt-BR"/>
        </w:rPr>
        <w:t>e</w:t>
      </w:r>
      <w:r w:rsidR="0074017B" w:rsidRPr="00C40BD9">
        <w:rPr>
          <w:rFonts w:ascii="Verdana" w:hAnsi="Verdana" w:cs="Verdana"/>
          <w:sz w:val="20"/>
          <w:szCs w:val="20"/>
          <w:lang w:val="pt-BR"/>
        </w:rPr>
        <w:t xml:space="preserve"> </w:t>
      </w:r>
      <w:r w:rsidRPr="00C40BD9">
        <w:rPr>
          <w:rFonts w:ascii="Verdana" w:hAnsi="Verdana" w:cs="Verdana"/>
          <w:sz w:val="20"/>
          <w:szCs w:val="20"/>
          <w:lang w:val="pt-BR"/>
        </w:rPr>
        <w:t xml:space="preserve">com o </w:t>
      </w:r>
      <w:r w:rsidR="00F633DD" w:rsidRPr="00C40BD9">
        <w:rPr>
          <w:rFonts w:ascii="Verdana" w:hAnsi="Verdana" w:cs="Verdana"/>
          <w:sz w:val="20"/>
          <w:szCs w:val="20"/>
          <w:lang w:val="pt-BR"/>
        </w:rPr>
        <w:t xml:space="preserve">artigo </w:t>
      </w:r>
      <w:r w:rsidR="0074017B" w:rsidRPr="00C40BD9">
        <w:rPr>
          <w:rFonts w:ascii="Verdana" w:hAnsi="Verdana" w:cs="Verdana"/>
          <w:sz w:val="20"/>
          <w:szCs w:val="20"/>
          <w:lang w:val="pt-BR"/>
        </w:rPr>
        <w:t xml:space="preserve">citado, a Corte </w:t>
      </w:r>
      <w:r w:rsidRPr="00C40BD9">
        <w:rPr>
          <w:rFonts w:ascii="Verdana" w:hAnsi="Verdana" w:cs="Verdana"/>
          <w:sz w:val="20"/>
          <w:szCs w:val="20"/>
          <w:lang w:val="pt-BR"/>
        </w:rPr>
        <w:t xml:space="preserve">é </w:t>
      </w:r>
      <w:r w:rsidR="0074017B" w:rsidRPr="00C40BD9">
        <w:rPr>
          <w:rFonts w:ascii="Verdana" w:hAnsi="Verdana" w:cs="Verdana"/>
          <w:sz w:val="20"/>
          <w:szCs w:val="20"/>
          <w:lang w:val="pt-BR"/>
        </w:rPr>
        <w:t>competente para interpretar su</w:t>
      </w:r>
      <w:r w:rsidRPr="00C40BD9">
        <w:rPr>
          <w:rFonts w:ascii="Verdana" w:hAnsi="Verdana" w:cs="Verdana"/>
          <w:sz w:val="20"/>
          <w:szCs w:val="20"/>
          <w:lang w:val="pt-BR"/>
        </w:rPr>
        <w:t>a</w:t>
      </w:r>
      <w:r w:rsidR="0074017B" w:rsidRPr="00C40BD9">
        <w:rPr>
          <w:rFonts w:ascii="Verdana" w:hAnsi="Verdana" w:cs="Verdana"/>
          <w:sz w:val="20"/>
          <w:szCs w:val="20"/>
          <w:lang w:val="pt-BR"/>
        </w:rPr>
        <w:t xml:space="preserve">s </w:t>
      </w:r>
      <w:r w:rsidRPr="00C40BD9">
        <w:rPr>
          <w:rFonts w:ascii="Verdana" w:hAnsi="Verdana" w:cs="Verdana"/>
          <w:sz w:val="20"/>
          <w:szCs w:val="20"/>
          <w:lang w:val="pt-BR"/>
        </w:rPr>
        <w:t>sentenças</w:t>
      </w:r>
      <w:r w:rsidR="0074017B" w:rsidRPr="00C40BD9">
        <w:rPr>
          <w:rFonts w:ascii="Verdana" w:hAnsi="Verdana" w:cs="Verdana"/>
          <w:sz w:val="20"/>
          <w:szCs w:val="20"/>
          <w:lang w:val="pt-BR"/>
        </w:rPr>
        <w:t xml:space="preserve">. Para realizar </w:t>
      </w:r>
      <w:r w:rsidRPr="00C40BD9">
        <w:rPr>
          <w:rFonts w:ascii="Verdana" w:hAnsi="Verdana" w:cs="Verdana"/>
          <w:sz w:val="20"/>
          <w:szCs w:val="20"/>
          <w:lang w:val="pt-BR"/>
        </w:rPr>
        <w:t xml:space="preserve">o </w:t>
      </w:r>
      <w:r w:rsidR="0074017B" w:rsidRPr="00C40BD9">
        <w:rPr>
          <w:rFonts w:ascii="Verdana" w:hAnsi="Verdana" w:cs="Verdana"/>
          <w:sz w:val="20"/>
          <w:szCs w:val="20"/>
          <w:lang w:val="pt-BR"/>
        </w:rPr>
        <w:t xml:space="preserve">exame </w:t>
      </w:r>
      <w:r w:rsidR="00C06A9B" w:rsidRPr="00C40BD9">
        <w:rPr>
          <w:rFonts w:ascii="Verdana" w:hAnsi="Verdana" w:cs="Verdana"/>
          <w:sz w:val="20"/>
          <w:szCs w:val="20"/>
          <w:lang w:val="pt-BR"/>
        </w:rPr>
        <w:t xml:space="preserve">das </w:t>
      </w:r>
      <w:r w:rsidR="00635878" w:rsidRPr="00C40BD9">
        <w:rPr>
          <w:rFonts w:ascii="Verdana" w:hAnsi="Verdana" w:cs="Verdana"/>
          <w:sz w:val="20"/>
          <w:szCs w:val="20"/>
          <w:lang w:val="pt-BR"/>
        </w:rPr>
        <w:t>solicitações</w:t>
      </w:r>
      <w:r w:rsidR="00DE316A">
        <w:rPr>
          <w:rFonts w:ascii="Verdana" w:hAnsi="Verdana" w:cs="Verdana"/>
          <w:sz w:val="20"/>
          <w:szCs w:val="20"/>
          <w:lang w:val="pt-BR"/>
        </w:rPr>
        <w:t xml:space="preserve"> </w:t>
      </w:r>
      <w:r w:rsidR="0074017B" w:rsidRPr="00C40BD9">
        <w:rPr>
          <w:rFonts w:ascii="Verdana" w:hAnsi="Verdana" w:cs="Verdana"/>
          <w:sz w:val="20"/>
          <w:szCs w:val="20"/>
          <w:lang w:val="pt-BR"/>
        </w:rPr>
        <w:t>de interpreta</w:t>
      </w:r>
      <w:r w:rsidR="00F633DD" w:rsidRPr="00C40BD9">
        <w:rPr>
          <w:rFonts w:ascii="Verdana" w:hAnsi="Verdana" w:cs="Verdana"/>
          <w:sz w:val="20"/>
          <w:szCs w:val="20"/>
          <w:lang w:val="pt-BR"/>
        </w:rPr>
        <w:t>ção</w:t>
      </w:r>
      <w:r w:rsidR="0074017B" w:rsidRPr="00C40BD9">
        <w:rPr>
          <w:rFonts w:ascii="Verdana" w:hAnsi="Verdana" w:cs="Verdana"/>
          <w:sz w:val="20"/>
          <w:szCs w:val="20"/>
          <w:lang w:val="pt-BR"/>
        </w:rPr>
        <w:t xml:space="preserve">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0074017B" w:rsidRPr="00C40BD9">
        <w:rPr>
          <w:rFonts w:ascii="Verdana" w:hAnsi="Verdana" w:cs="Verdana"/>
          <w:sz w:val="20"/>
          <w:szCs w:val="20"/>
          <w:lang w:val="pt-BR"/>
        </w:rPr>
        <w:t xml:space="preserve">resolver o que </w:t>
      </w:r>
      <w:r w:rsidRPr="00C40BD9">
        <w:rPr>
          <w:rFonts w:ascii="Verdana" w:hAnsi="Verdana" w:cs="Verdana"/>
          <w:sz w:val="20"/>
          <w:szCs w:val="20"/>
          <w:lang w:val="pt-BR"/>
        </w:rPr>
        <w:t xml:space="preserve">seja cabível, o </w:t>
      </w:r>
      <w:r w:rsidR="0074017B" w:rsidRPr="00C40BD9">
        <w:rPr>
          <w:rFonts w:ascii="Verdana" w:hAnsi="Verdana" w:cs="Verdana"/>
          <w:sz w:val="20"/>
          <w:szCs w:val="20"/>
          <w:lang w:val="pt-BR"/>
        </w:rPr>
        <w:t>Tribunal de</w:t>
      </w:r>
      <w:r w:rsidRPr="00C40BD9">
        <w:rPr>
          <w:rFonts w:ascii="Verdana" w:hAnsi="Verdana" w:cs="Verdana"/>
          <w:sz w:val="20"/>
          <w:szCs w:val="20"/>
          <w:lang w:val="pt-BR"/>
        </w:rPr>
        <w:t>v</w:t>
      </w:r>
      <w:r w:rsidR="0074017B" w:rsidRPr="00C40BD9">
        <w:rPr>
          <w:rFonts w:ascii="Verdana" w:hAnsi="Verdana" w:cs="Verdana"/>
          <w:sz w:val="20"/>
          <w:szCs w:val="20"/>
          <w:lang w:val="pt-BR"/>
        </w:rPr>
        <w:t xml:space="preserve">e </w:t>
      </w:r>
      <w:r w:rsidRPr="00C40BD9">
        <w:rPr>
          <w:rFonts w:ascii="Verdana" w:hAnsi="Verdana" w:cs="Verdana"/>
          <w:sz w:val="20"/>
          <w:szCs w:val="20"/>
          <w:lang w:val="pt-BR"/>
        </w:rPr>
        <w:t>manter</w:t>
      </w:r>
      <w:r w:rsidR="0074017B" w:rsidRPr="00C40BD9">
        <w:rPr>
          <w:rFonts w:ascii="Verdana" w:hAnsi="Verdana" w:cs="Verdana"/>
          <w:sz w:val="20"/>
          <w:szCs w:val="20"/>
          <w:lang w:val="pt-BR"/>
        </w:rPr>
        <w:t xml:space="preserve">, </w:t>
      </w:r>
      <w:r w:rsidRPr="00C40BD9">
        <w:rPr>
          <w:rFonts w:ascii="Verdana" w:hAnsi="Verdana" w:cs="Verdana"/>
          <w:sz w:val="20"/>
          <w:szCs w:val="20"/>
          <w:lang w:val="pt-BR"/>
        </w:rPr>
        <w:t xml:space="preserve">caso seja possível, a mesma </w:t>
      </w:r>
      <w:r w:rsidR="0074017B" w:rsidRPr="00C40BD9">
        <w:rPr>
          <w:rFonts w:ascii="Verdana" w:hAnsi="Verdana" w:cs="Verdana"/>
          <w:sz w:val="20"/>
          <w:szCs w:val="20"/>
          <w:lang w:val="pt-BR"/>
        </w:rPr>
        <w:t>composi</w:t>
      </w:r>
      <w:r w:rsidR="00F633DD" w:rsidRPr="00C40BD9">
        <w:rPr>
          <w:rFonts w:ascii="Verdana" w:hAnsi="Verdana" w:cs="Verdana"/>
          <w:sz w:val="20"/>
          <w:szCs w:val="20"/>
          <w:lang w:val="pt-BR"/>
        </w:rPr>
        <w:t>ção</w:t>
      </w:r>
      <w:r w:rsidR="0074017B" w:rsidRPr="00C40BD9">
        <w:rPr>
          <w:rFonts w:ascii="Verdana" w:hAnsi="Verdana" w:cs="Verdana"/>
          <w:sz w:val="20"/>
          <w:szCs w:val="20"/>
          <w:lang w:val="pt-BR"/>
        </w:rPr>
        <w:t xml:space="preserve"> que </w:t>
      </w:r>
      <w:r w:rsidRPr="00C40BD9">
        <w:rPr>
          <w:rFonts w:ascii="Verdana" w:hAnsi="Verdana" w:cs="Verdana"/>
          <w:sz w:val="20"/>
          <w:szCs w:val="20"/>
          <w:lang w:val="pt-BR"/>
        </w:rPr>
        <w:t xml:space="preserve">apresentava ao proferir a </w:t>
      </w:r>
      <w:r w:rsidR="00F633DD" w:rsidRPr="00C40BD9">
        <w:rPr>
          <w:rFonts w:ascii="Verdana" w:hAnsi="Verdana" w:cs="Verdana"/>
          <w:sz w:val="20"/>
          <w:szCs w:val="20"/>
          <w:lang w:val="pt-BR"/>
        </w:rPr>
        <w:t>Sentença</w:t>
      </w:r>
      <w:r w:rsidR="00DE316A">
        <w:rPr>
          <w:rFonts w:ascii="Verdana" w:hAnsi="Verdana" w:cs="Verdana"/>
          <w:sz w:val="20"/>
          <w:szCs w:val="20"/>
          <w:lang w:val="pt-BR"/>
        </w:rPr>
        <w:t xml:space="preserve"> </w:t>
      </w:r>
      <w:r w:rsidR="0074017B" w:rsidRPr="00C40BD9">
        <w:rPr>
          <w:rFonts w:ascii="Verdana" w:hAnsi="Verdana" w:cs="Verdana"/>
          <w:sz w:val="20"/>
          <w:szCs w:val="20"/>
          <w:lang w:val="pt-BR"/>
        </w:rPr>
        <w:t xml:space="preserve">respectiva, de </w:t>
      </w:r>
      <w:r w:rsidRPr="00C40BD9">
        <w:rPr>
          <w:rFonts w:ascii="Verdana" w:hAnsi="Verdana" w:cs="Verdana"/>
          <w:sz w:val="20"/>
          <w:szCs w:val="20"/>
          <w:lang w:val="pt-BR"/>
        </w:rPr>
        <w:t xml:space="preserve">acordo com </w:t>
      </w:r>
      <w:r w:rsidR="00F633DD" w:rsidRPr="00C40BD9">
        <w:rPr>
          <w:rFonts w:ascii="Verdana" w:hAnsi="Verdana" w:cs="Verdana"/>
          <w:sz w:val="20"/>
          <w:szCs w:val="20"/>
          <w:lang w:val="pt-BR"/>
        </w:rPr>
        <w:t xml:space="preserve">artigo </w:t>
      </w:r>
      <w:r w:rsidR="0074017B" w:rsidRPr="00C40BD9">
        <w:rPr>
          <w:rFonts w:ascii="Verdana" w:hAnsi="Verdana" w:cs="Verdana"/>
          <w:sz w:val="20"/>
          <w:szCs w:val="20"/>
          <w:lang w:val="pt-BR"/>
        </w:rPr>
        <w:t>68.3 d</w:t>
      </w:r>
      <w:r w:rsidRPr="00C40BD9">
        <w:rPr>
          <w:rFonts w:ascii="Verdana" w:hAnsi="Verdana" w:cs="Verdana"/>
          <w:sz w:val="20"/>
          <w:szCs w:val="20"/>
          <w:lang w:val="pt-BR"/>
        </w:rPr>
        <w:t>o</w:t>
      </w:r>
      <w:r w:rsidR="0074017B" w:rsidRPr="00C40BD9">
        <w:rPr>
          <w:rFonts w:ascii="Verdana" w:hAnsi="Verdana" w:cs="Verdana"/>
          <w:sz w:val="20"/>
          <w:szCs w:val="20"/>
          <w:lang w:val="pt-BR"/>
        </w:rPr>
        <w:t xml:space="preserve"> </w:t>
      </w:r>
      <w:r w:rsidR="00F633DD" w:rsidRPr="00C40BD9">
        <w:rPr>
          <w:rFonts w:ascii="Verdana" w:hAnsi="Verdana" w:cs="Verdana"/>
          <w:sz w:val="20"/>
          <w:szCs w:val="20"/>
          <w:lang w:val="pt-BR"/>
        </w:rPr>
        <w:t>Regulamento</w:t>
      </w:r>
      <w:r w:rsidR="0074017B" w:rsidRPr="00C40BD9">
        <w:rPr>
          <w:rFonts w:ascii="Verdana" w:hAnsi="Verdana" w:cs="Verdana"/>
          <w:sz w:val="20"/>
          <w:szCs w:val="20"/>
          <w:lang w:val="pt-BR"/>
        </w:rPr>
        <w:t xml:space="preserve">. </w:t>
      </w:r>
      <w:r w:rsidRPr="00C40BD9">
        <w:rPr>
          <w:rFonts w:ascii="Verdana" w:hAnsi="Verdana" w:cs="Verdana"/>
          <w:sz w:val="20"/>
          <w:szCs w:val="20"/>
          <w:lang w:val="pt-BR"/>
        </w:rPr>
        <w:t>Nes</w:t>
      </w:r>
      <w:r w:rsidR="00B5731C">
        <w:rPr>
          <w:rFonts w:ascii="Verdana" w:hAnsi="Verdana" w:cs="Verdana"/>
          <w:sz w:val="20"/>
          <w:szCs w:val="20"/>
          <w:lang w:val="pt-BR"/>
        </w:rPr>
        <w:t>t</w:t>
      </w:r>
      <w:r w:rsidRPr="00C40BD9">
        <w:rPr>
          <w:rFonts w:ascii="Verdana" w:hAnsi="Verdana" w:cs="Verdana"/>
          <w:sz w:val="20"/>
          <w:szCs w:val="20"/>
          <w:lang w:val="pt-BR"/>
        </w:rPr>
        <w:t xml:space="preserve">a ocasião, a </w:t>
      </w:r>
      <w:r w:rsidR="0074017B" w:rsidRPr="00C40BD9">
        <w:rPr>
          <w:rFonts w:ascii="Verdana" w:hAnsi="Verdana" w:cs="Verdana"/>
          <w:sz w:val="20"/>
          <w:szCs w:val="20"/>
          <w:lang w:val="pt-BR"/>
        </w:rPr>
        <w:lastRenderedPageBreak/>
        <w:t xml:space="preserve">Corte está </w:t>
      </w:r>
      <w:r w:rsidRPr="00C40BD9">
        <w:rPr>
          <w:rFonts w:ascii="Verdana" w:hAnsi="Verdana" w:cs="Verdana"/>
          <w:sz w:val="20"/>
          <w:szCs w:val="20"/>
          <w:lang w:val="pt-BR"/>
        </w:rPr>
        <w:t xml:space="preserve">constituída pelos mesmos juízes que proferiram a </w:t>
      </w:r>
      <w:r w:rsidR="00F633DD" w:rsidRPr="00C40BD9">
        <w:rPr>
          <w:rFonts w:ascii="Verdana" w:hAnsi="Verdana" w:cs="Verdana"/>
          <w:sz w:val="20"/>
          <w:szCs w:val="20"/>
          <w:lang w:val="pt-BR"/>
        </w:rPr>
        <w:t>Sentença</w:t>
      </w:r>
      <w:r w:rsidR="00DE316A">
        <w:rPr>
          <w:rFonts w:ascii="Verdana" w:hAnsi="Verdana" w:cs="Verdana"/>
          <w:sz w:val="20"/>
          <w:szCs w:val="20"/>
          <w:lang w:val="pt-BR"/>
        </w:rPr>
        <w:t xml:space="preserve"> </w:t>
      </w:r>
      <w:r w:rsidR="0074017B" w:rsidRPr="00C40BD9">
        <w:rPr>
          <w:rFonts w:ascii="Verdana" w:hAnsi="Verdana" w:cs="Verdana"/>
          <w:sz w:val="20"/>
          <w:szCs w:val="20"/>
          <w:lang w:val="pt-BR"/>
        </w:rPr>
        <w:t>cu</w:t>
      </w:r>
      <w:r w:rsidRPr="00C40BD9">
        <w:rPr>
          <w:rFonts w:ascii="Verdana" w:hAnsi="Verdana" w:cs="Verdana"/>
          <w:sz w:val="20"/>
          <w:szCs w:val="20"/>
          <w:lang w:val="pt-BR"/>
        </w:rPr>
        <w:t>j</w:t>
      </w:r>
      <w:r w:rsidR="0074017B" w:rsidRPr="00C40BD9">
        <w:rPr>
          <w:rFonts w:ascii="Verdana" w:hAnsi="Verdana" w:cs="Verdana"/>
          <w:sz w:val="20"/>
          <w:szCs w:val="20"/>
          <w:lang w:val="pt-BR"/>
        </w:rPr>
        <w:t>a interpreta</w:t>
      </w:r>
      <w:r w:rsidR="00F633DD" w:rsidRPr="00C40BD9">
        <w:rPr>
          <w:rFonts w:ascii="Verdana" w:hAnsi="Verdana" w:cs="Verdana"/>
          <w:sz w:val="20"/>
          <w:szCs w:val="20"/>
          <w:lang w:val="pt-BR"/>
        </w:rPr>
        <w:t>ção</w:t>
      </w:r>
      <w:r w:rsidR="0074017B" w:rsidRPr="00C40BD9">
        <w:rPr>
          <w:rFonts w:ascii="Verdana" w:hAnsi="Verdana" w:cs="Verdana"/>
          <w:sz w:val="20"/>
          <w:szCs w:val="20"/>
          <w:lang w:val="pt-BR"/>
        </w:rPr>
        <w:t xml:space="preserve"> </w:t>
      </w:r>
      <w:r w:rsidRPr="00C40BD9">
        <w:rPr>
          <w:rFonts w:ascii="Verdana" w:hAnsi="Verdana" w:cs="Verdana"/>
          <w:sz w:val="20"/>
          <w:szCs w:val="20"/>
          <w:lang w:val="pt-BR"/>
        </w:rPr>
        <w:t xml:space="preserve">foi </w:t>
      </w:r>
      <w:r w:rsidR="0074017B" w:rsidRPr="00C40BD9">
        <w:rPr>
          <w:rFonts w:ascii="Verdana" w:hAnsi="Verdana" w:cs="Verdana"/>
          <w:sz w:val="20"/>
          <w:szCs w:val="20"/>
          <w:lang w:val="pt-BR"/>
        </w:rPr>
        <w:t>solicitada p</w:t>
      </w:r>
      <w:r w:rsidRPr="00C40BD9">
        <w:rPr>
          <w:rFonts w:ascii="Verdana" w:hAnsi="Verdana" w:cs="Verdana"/>
          <w:sz w:val="20"/>
          <w:szCs w:val="20"/>
          <w:lang w:val="pt-BR"/>
        </w:rPr>
        <w:t xml:space="preserve">elo </w:t>
      </w:r>
      <w:r w:rsidR="0074017B" w:rsidRPr="00C40BD9">
        <w:rPr>
          <w:rFonts w:ascii="Verdana" w:hAnsi="Verdana" w:cs="Verdana"/>
          <w:sz w:val="20"/>
          <w:szCs w:val="20"/>
          <w:lang w:val="pt-BR"/>
        </w:rPr>
        <w:t>Estado</w:t>
      </w:r>
      <w:r w:rsidR="0022574E" w:rsidRPr="00C40BD9">
        <w:rPr>
          <w:rFonts w:ascii="Verdana" w:hAnsi="Verdana" w:cs="Verdana"/>
          <w:sz w:val="20"/>
          <w:szCs w:val="20"/>
          <w:lang w:val="pt-BR"/>
        </w:rPr>
        <w:t xml:space="preserve">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Pr="00C40BD9">
        <w:rPr>
          <w:rFonts w:ascii="Verdana" w:hAnsi="Verdana" w:cs="Verdana"/>
          <w:sz w:val="20"/>
          <w:szCs w:val="20"/>
          <w:lang w:val="pt-BR"/>
        </w:rPr>
        <w:t>pe</w:t>
      </w:r>
      <w:r w:rsidR="0022574E" w:rsidRPr="00C40BD9">
        <w:rPr>
          <w:rFonts w:ascii="Verdana" w:hAnsi="Verdana" w:cs="Verdana"/>
          <w:sz w:val="20"/>
          <w:szCs w:val="20"/>
          <w:lang w:val="pt-BR"/>
        </w:rPr>
        <w:t>los representantes</w:t>
      </w:r>
      <w:r w:rsidR="0074017B" w:rsidRPr="00C40BD9">
        <w:rPr>
          <w:rFonts w:ascii="Verdana" w:hAnsi="Verdana" w:cs="Verdana"/>
          <w:sz w:val="20"/>
          <w:szCs w:val="20"/>
          <w:lang w:val="pt-BR"/>
        </w:rPr>
        <w:t>.</w:t>
      </w:r>
    </w:p>
    <w:p w:rsidR="0074017B" w:rsidRPr="00C40BD9" w:rsidRDefault="0074017B" w:rsidP="00A82FB4">
      <w:pPr>
        <w:autoSpaceDE w:val="0"/>
        <w:autoSpaceDN w:val="0"/>
        <w:adjustRightInd w:val="0"/>
        <w:spacing w:after="0" w:line="240" w:lineRule="auto"/>
        <w:jc w:val="both"/>
        <w:rPr>
          <w:rFonts w:ascii="Verdana" w:hAnsi="Verdana" w:cs="Verdana"/>
          <w:sz w:val="20"/>
          <w:szCs w:val="20"/>
          <w:lang w:val="pt-BR"/>
        </w:rPr>
      </w:pPr>
    </w:p>
    <w:p w:rsidR="0074017B" w:rsidRPr="00C40BD9" w:rsidRDefault="0074017B" w:rsidP="00A82FB4">
      <w:pPr>
        <w:autoSpaceDE w:val="0"/>
        <w:autoSpaceDN w:val="0"/>
        <w:adjustRightInd w:val="0"/>
        <w:spacing w:after="0" w:line="240" w:lineRule="auto"/>
        <w:jc w:val="center"/>
        <w:rPr>
          <w:rFonts w:ascii="Verdana" w:hAnsi="Verdana" w:cs="Verdana"/>
          <w:b/>
          <w:sz w:val="20"/>
          <w:szCs w:val="20"/>
          <w:lang w:val="pt-BR"/>
        </w:rPr>
      </w:pPr>
      <w:r w:rsidRPr="00C40BD9">
        <w:rPr>
          <w:rFonts w:ascii="Verdana" w:hAnsi="Verdana" w:cs="Verdana"/>
          <w:b/>
          <w:sz w:val="20"/>
          <w:szCs w:val="20"/>
          <w:lang w:val="pt-BR"/>
        </w:rPr>
        <w:t>III</w:t>
      </w:r>
    </w:p>
    <w:p w:rsidR="0074017B" w:rsidRPr="00C40BD9" w:rsidRDefault="0074017B" w:rsidP="00A82FB4">
      <w:pPr>
        <w:autoSpaceDE w:val="0"/>
        <w:autoSpaceDN w:val="0"/>
        <w:adjustRightInd w:val="0"/>
        <w:spacing w:after="0" w:line="240" w:lineRule="auto"/>
        <w:jc w:val="center"/>
        <w:rPr>
          <w:rFonts w:ascii="Verdana" w:hAnsi="Verdana" w:cs="Verdana"/>
          <w:b/>
          <w:sz w:val="20"/>
          <w:szCs w:val="20"/>
          <w:lang w:val="pt-BR"/>
        </w:rPr>
      </w:pPr>
      <w:r w:rsidRPr="00C40BD9">
        <w:rPr>
          <w:rFonts w:ascii="Verdana" w:hAnsi="Verdana" w:cs="Verdana"/>
          <w:b/>
          <w:sz w:val="20"/>
          <w:szCs w:val="20"/>
          <w:lang w:val="pt-BR"/>
        </w:rPr>
        <w:t>ADMIS</w:t>
      </w:r>
      <w:r w:rsidR="00E91099" w:rsidRPr="00C40BD9">
        <w:rPr>
          <w:rFonts w:ascii="Verdana" w:hAnsi="Verdana" w:cs="Verdana"/>
          <w:b/>
          <w:sz w:val="20"/>
          <w:szCs w:val="20"/>
          <w:lang w:val="pt-BR"/>
        </w:rPr>
        <w:t>S</w:t>
      </w:r>
      <w:r w:rsidRPr="00C40BD9">
        <w:rPr>
          <w:rFonts w:ascii="Verdana" w:hAnsi="Verdana" w:cs="Verdana"/>
          <w:b/>
          <w:sz w:val="20"/>
          <w:szCs w:val="20"/>
          <w:lang w:val="pt-BR"/>
        </w:rPr>
        <w:t>IBILIDAD</w:t>
      </w:r>
      <w:r w:rsidR="00E91099" w:rsidRPr="00C40BD9">
        <w:rPr>
          <w:rFonts w:ascii="Verdana" w:hAnsi="Verdana" w:cs="Verdana"/>
          <w:b/>
          <w:sz w:val="20"/>
          <w:szCs w:val="20"/>
          <w:lang w:val="pt-BR"/>
        </w:rPr>
        <w:t>E</w:t>
      </w:r>
    </w:p>
    <w:p w:rsidR="0074017B" w:rsidRPr="00C40BD9" w:rsidRDefault="0074017B" w:rsidP="00A82FB4">
      <w:pPr>
        <w:autoSpaceDE w:val="0"/>
        <w:autoSpaceDN w:val="0"/>
        <w:adjustRightInd w:val="0"/>
        <w:spacing w:after="0" w:line="240" w:lineRule="auto"/>
        <w:jc w:val="both"/>
        <w:rPr>
          <w:rFonts w:ascii="Verdana" w:hAnsi="Verdana" w:cs="Verdana"/>
          <w:sz w:val="20"/>
          <w:szCs w:val="20"/>
          <w:lang w:val="pt-BR"/>
        </w:rPr>
      </w:pPr>
    </w:p>
    <w:p w:rsidR="009E59CB" w:rsidRPr="00C40BD9" w:rsidRDefault="009E59CB" w:rsidP="009E59CB">
      <w:pPr>
        <w:numPr>
          <w:ilvl w:val="0"/>
          <w:numId w:val="2"/>
        </w:numPr>
        <w:tabs>
          <w:tab w:val="clear" w:pos="1247"/>
          <w:tab w:val="num" w:pos="720"/>
          <w:tab w:val="num" w:pos="1427"/>
        </w:tabs>
        <w:autoSpaceDE w:val="0"/>
        <w:autoSpaceDN w:val="0"/>
        <w:adjustRightInd w:val="0"/>
        <w:spacing w:after="0" w:line="240" w:lineRule="auto"/>
        <w:jc w:val="both"/>
        <w:rPr>
          <w:rFonts w:ascii="Verdana" w:hAnsi="Verdana" w:cs="Verdana"/>
          <w:strike/>
          <w:sz w:val="20"/>
          <w:szCs w:val="20"/>
          <w:lang w:val="pt-BR"/>
        </w:rPr>
      </w:pPr>
      <w:r w:rsidRPr="00C40BD9">
        <w:rPr>
          <w:rFonts w:ascii="Verdana" w:hAnsi="Verdana"/>
          <w:sz w:val="20"/>
          <w:szCs w:val="20"/>
          <w:lang w:val="pt-BR"/>
        </w:rPr>
        <w:t>C</w:t>
      </w:r>
      <w:r w:rsidR="00E91099" w:rsidRPr="00C40BD9">
        <w:rPr>
          <w:rFonts w:ascii="Verdana" w:hAnsi="Verdana"/>
          <w:sz w:val="20"/>
          <w:szCs w:val="20"/>
          <w:lang w:val="pt-BR"/>
        </w:rPr>
        <w:t xml:space="preserve">abe à </w:t>
      </w:r>
      <w:r w:rsidRPr="00C40BD9">
        <w:rPr>
          <w:rFonts w:ascii="Verdana" w:hAnsi="Verdana"/>
          <w:sz w:val="20"/>
          <w:szCs w:val="20"/>
          <w:lang w:val="pt-BR"/>
        </w:rPr>
        <w:t>Corte verificar s</w:t>
      </w:r>
      <w:r w:rsidR="00E91099" w:rsidRPr="00C40BD9">
        <w:rPr>
          <w:rFonts w:ascii="Verdana" w:hAnsi="Verdana"/>
          <w:sz w:val="20"/>
          <w:szCs w:val="20"/>
          <w:lang w:val="pt-BR"/>
        </w:rPr>
        <w:t>e</w:t>
      </w:r>
      <w:r w:rsidRPr="00C40BD9">
        <w:rPr>
          <w:rFonts w:ascii="Verdana" w:hAnsi="Verdana"/>
          <w:sz w:val="20"/>
          <w:szCs w:val="20"/>
          <w:lang w:val="pt-BR"/>
        </w:rPr>
        <w:t xml:space="preserve"> a </w:t>
      </w:r>
      <w:r w:rsidR="00C06A9B" w:rsidRPr="00C40BD9">
        <w:rPr>
          <w:rFonts w:ascii="Verdana" w:hAnsi="Verdana"/>
          <w:sz w:val="20"/>
          <w:szCs w:val="20"/>
          <w:lang w:val="pt-BR"/>
        </w:rPr>
        <w:t>solicitação</w:t>
      </w:r>
      <w:r w:rsidR="00DE316A">
        <w:rPr>
          <w:rFonts w:ascii="Verdana" w:hAnsi="Verdana"/>
          <w:sz w:val="20"/>
          <w:szCs w:val="20"/>
          <w:lang w:val="pt-BR"/>
        </w:rPr>
        <w:t xml:space="preserve"> </w:t>
      </w:r>
      <w:r w:rsidR="00E91099" w:rsidRPr="00C40BD9">
        <w:rPr>
          <w:rFonts w:ascii="Verdana" w:hAnsi="Verdana"/>
          <w:sz w:val="20"/>
          <w:szCs w:val="20"/>
          <w:lang w:val="pt-BR"/>
        </w:rPr>
        <w:t>a</w:t>
      </w:r>
      <w:r w:rsidRPr="00C40BD9">
        <w:rPr>
          <w:rFonts w:ascii="Verdana" w:hAnsi="Verdana"/>
          <w:sz w:val="20"/>
          <w:szCs w:val="20"/>
          <w:lang w:val="pt-BR"/>
        </w:rPr>
        <w:t>presentada p</w:t>
      </w:r>
      <w:r w:rsidR="00E91099" w:rsidRPr="00C40BD9">
        <w:rPr>
          <w:rFonts w:ascii="Verdana" w:hAnsi="Verdana"/>
          <w:sz w:val="20"/>
          <w:szCs w:val="20"/>
          <w:lang w:val="pt-BR"/>
        </w:rPr>
        <w:t xml:space="preserve">elo </w:t>
      </w:r>
      <w:r w:rsidRPr="00C40BD9">
        <w:rPr>
          <w:rFonts w:ascii="Verdana" w:hAnsi="Verdana"/>
          <w:sz w:val="20"/>
          <w:szCs w:val="20"/>
          <w:lang w:val="pt-BR"/>
        </w:rPr>
        <w:t>Estado cump</w:t>
      </w:r>
      <w:r w:rsidR="00E91099" w:rsidRPr="00C40BD9">
        <w:rPr>
          <w:rFonts w:ascii="Verdana" w:hAnsi="Verdana"/>
          <w:sz w:val="20"/>
          <w:szCs w:val="20"/>
          <w:lang w:val="pt-BR"/>
        </w:rPr>
        <w:t>r</w:t>
      </w:r>
      <w:r w:rsidRPr="00C40BD9">
        <w:rPr>
          <w:rFonts w:ascii="Verdana" w:hAnsi="Verdana"/>
          <w:sz w:val="20"/>
          <w:szCs w:val="20"/>
          <w:lang w:val="pt-BR"/>
        </w:rPr>
        <w:t>e os requisitos estab</w:t>
      </w:r>
      <w:r w:rsidR="00E91099" w:rsidRPr="00C40BD9">
        <w:rPr>
          <w:rFonts w:ascii="Verdana" w:hAnsi="Verdana"/>
          <w:sz w:val="20"/>
          <w:szCs w:val="20"/>
          <w:lang w:val="pt-BR"/>
        </w:rPr>
        <w:t>e</w:t>
      </w:r>
      <w:r w:rsidRPr="00C40BD9">
        <w:rPr>
          <w:rFonts w:ascii="Verdana" w:hAnsi="Verdana"/>
          <w:sz w:val="20"/>
          <w:szCs w:val="20"/>
          <w:lang w:val="pt-BR"/>
        </w:rPr>
        <w:t>lecidos nas normas aplic</w:t>
      </w:r>
      <w:r w:rsidR="00E91099" w:rsidRPr="00C40BD9">
        <w:rPr>
          <w:rFonts w:ascii="Verdana" w:hAnsi="Verdana"/>
          <w:sz w:val="20"/>
          <w:szCs w:val="20"/>
          <w:lang w:val="pt-BR"/>
        </w:rPr>
        <w:t xml:space="preserve">áveis a uma </w:t>
      </w:r>
      <w:r w:rsidR="00C06A9B" w:rsidRPr="00C40BD9">
        <w:rPr>
          <w:rFonts w:ascii="Verdana" w:hAnsi="Verdana"/>
          <w:sz w:val="20"/>
          <w:szCs w:val="20"/>
          <w:lang w:val="pt-BR"/>
        </w:rPr>
        <w:t>solicitação</w:t>
      </w:r>
      <w:r w:rsidR="00DE316A">
        <w:rPr>
          <w:rFonts w:ascii="Verdana" w:hAnsi="Verdana"/>
          <w:sz w:val="20"/>
          <w:szCs w:val="20"/>
          <w:lang w:val="pt-BR"/>
        </w:rPr>
        <w:t xml:space="preserve"> </w:t>
      </w:r>
      <w:r w:rsidRPr="00C40BD9">
        <w:rPr>
          <w:rFonts w:ascii="Verdana" w:hAnsi="Verdana"/>
          <w:sz w:val="20"/>
          <w:szCs w:val="20"/>
          <w:lang w:val="pt-BR"/>
        </w:rPr>
        <w:t>de interpreta</w:t>
      </w:r>
      <w:r w:rsidR="00F633DD" w:rsidRPr="00C40BD9">
        <w:rPr>
          <w:rFonts w:ascii="Verdana" w:hAnsi="Verdana"/>
          <w:sz w:val="20"/>
          <w:szCs w:val="20"/>
          <w:lang w:val="pt-BR"/>
        </w:rPr>
        <w:t>ção</w:t>
      </w:r>
      <w:r w:rsidRPr="00C40BD9">
        <w:rPr>
          <w:rFonts w:ascii="Verdana" w:hAnsi="Verdana"/>
          <w:sz w:val="20"/>
          <w:szCs w:val="20"/>
          <w:lang w:val="pt-BR"/>
        </w:rPr>
        <w:t xml:space="preserve"> de </w:t>
      </w:r>
      <w:r w:rsidR="00F633DD" w:rsidRPr="00C40BD9">
        <w:rPr>
          <w:rFonts w:ascii="Verdana" w:hAnsi="Verdana"/>
          <w:sz w:val="20"/>
          <w:szCs w:val="20"/>
          <w:lang w:val="pt-BR"/>
        </w:rPr>
        <w:t>Sentença</w:t>
      </w:r>
      <w:r w:rsidRPr="00C40BD9">
        <w:rPr>
          <w:rFonts w:ascii="Verdana" w:hAnsi="Verdana"/>
          <w:sz w:val="20"/>
          <w:szCs w:val="20"/>
          <w:lang w:val="pt-BR"/>
        </w:rPr>
        <w:t xml:space="preserve">, a saber, </w:t>
      </w:r>
      <w:r w:rsidR="00F633DD" w:rsidRPr="00C40BD9">
        <w:rPr>
          <w:rFonts w:ascii="Verdana" w:hAnsi="Verdana"/>
          <w:sz w:val="20"/>
          <w:szCs w:val="20"/>
          <w:lang w:val="pt-BR"/>
        </w:rPr>
        <w:t xml:space="preserve">o artigo </w:t>
      </w:r>
      <w:r w:rsidRPr="00C40BD9">
        <w:rPr>
          <w:rFonts w:ascii="Verdana" w:hAnsi="Verdana"/>
          <w:sz w:val="20"/>
          <w:szCs w:val="20"/>
          <w:lang w:val="pt-BR"/>
        </w:rPr>
        <w:t xml:space="preserve">67 </w:t>
      </w:r>
      <w:r w:rsidR="00F633DD" w:rsidRPr="00C40BD9">
        <w:rPr>
          <w:rFonts w:ascii="Verdana" w:hAnsi="Verdana"/>
          <w:sz w:val="20"/>
          <w:szCs w:val="20"/>
          <w:lang w:val="pt-BR"/>
        </w:rPr>
        <w:t xml:space="preserve">da </w:t>
      </w:r>
      <w:r w:rsidRPr="00C40BD9">
        <w:rPr>
          <w:rFonts w:ascii="Verdana" w:hAnsi="Verdana"/>
          <w:sz w:val="20"/>
          <w:szCs w:val="20"/>
          <w:lang w:val="pt-BR"/>
        </w:rPr>
        <w:t>Conven</w:t>
      </w:r>
      <w:r w:rsidR="00F633DD" w:rsidRPr="00C40BD9">
        <w:rPr>
          <w:rFonts w:ascii="Verdana" w:hAnsi="Verdana"/>
          <w:sz w:val="20"/>
          <w:szCs w:val="20"/>
          <w:lang w:val="pt-BR"/>
        </w:rPr>
        <w:t>ção</w:t>
      </w:r>
      <w:r w:rsidRPr="00C40BD9">
        <w:rPr>
          <w:rFonts w:ascii="Verdana" w:hAnsi="Verdana"/>
          <w:sz w:val="20"/>
          <w:szCs w:val="20"/>
          <w:lang w:val="pt-BR"/>
        </w:rPr>
        <w:t xml:space="preserve"> </w:t>
      </w:r>
      <w:r w:rsidR="00F633DD" w:rsidRPr="00C40BD9">
        <w:rPr>
          <w:rFonts w:ascii="Verdana" w:hAnsi="Verdana"/>
          <w:sz w:val="20"/>
          <w:szCs w:val="20"/>
          <w:lang w:val="pt-BR"/>
        </w:rPr>
        <w:t>e</w:t>
      </w:r>
      <w:r w:rsidR="00DE316A">
        <w:rPr>
          <w:rFonts w:ascii="Verdana" w:hAnsi="Verdana"/>
          <w:sz w:val="20"/>
          <w:szCs w:val="20"/>
          <w:lang w:val="pt-BR"/>
        </w:rPr>
        <w:t xml:space="preserve"> </w:t>
      </w:r>
      <w:r w:rsidR="00F633DD" w:rsidRPr="00C40BD9">
        <w:rPr>
          <w:rFonts w:ascii="Verdana" w:hAnsi="Verdana"/>
          <w:sz w:val="20"/>
          <w:szCs w:val="20"/>
          <w:lang w:val="pt-BR"/>
        </w:rPr>
        <w:t xml:space="preserve">o artigo </w:t>
      </w:r>
      <w:r w:rsidRPr="00C40BD9">
        <w:rPr>
          <w:rFonts w:ascii="Verdana" w:hAnsi="Verdana"/>
          <w:sz w:val="20"/>
          <w:szCs w:val="20"/>
          <w:lang w:val="pt-BR"/>
        </w:rPr>
        <w:t>68 d</w:t>
      </w:r>
      <w:r w:rsidR="00E91099" w:rsidRPr="00C40BD9">
        <w:rPr>
          <w:rFonts w:ascii="Verdana" w:hAnsi="Verdana"/>
          <w:sz w:val="20"/>
          <w:szCs w:val="20"/>
          <w:lang w:val="pt-BR"/>
        </w:rPr>
        <w:t>o</w:t>
      </w:r>
      <w:r w:rsidRPr="00C40BD9">
        <w:rPr>
          <w:rFonts w:ascii="Verdana" w:hAnsi="Verdana"/>
          <w:sz w:val="20"/>
          <w:szCs w:val="20"/>
          <w:lang w:val="pt-BR"/>
        </w:rPr>
        <w:t xml:space="preserve"> </w:t>
      </w:r>
      <w:r w:rsidR="00F633DD" w:rsidRPr="00C40BD9">
        <w:rPr>
          <w:rFonts w:ascii="Verdana" w:hAnsi="Verdana"/>
          <w:sz w:val="20"/>
          <w:szCs w:val="20"/>
          <w:lang w:val="pt-BR"/>
        </w:rPr>
        <w:t>Regulamento</w:t>
      </w:r>
      <w:r w:rsidR="00E91099" w:rsidRPr="00C40BD9">
        <w:rPr>
          <w:rFonts w:ascii="Verdana" w:hAnsi="Verdana"/>
          <w:sz w:val="20"/>
          <w:szCs w:val="20"/>
          <w:lang w:val="pt-BR"/>
        </w:rPr>
        <w:t>.</w:t>
      </w:r>
      <w:r w:rsidRPr="00C40BD9">
        <w:rPr>
          <w:rStyle w:val="FootnoteReference"/>
          <w:sz w:val="20"/>
          <w:szCs w:val="20"/>
          <w:lang w:val="pt-BR"/>
        </w:rPr>
        <w:footnoteReference w:id="2"/>
      </w:r>
    </w:p>
    <w:p w:rsidR="009E59CB" w:rsidRPr="00C40BD9" w:rsidRDefault="009E59CB" w:rsidP="00A82FB4">
      <w:pPr>
        <w:autoSpaceDE w:val="0"/>
        <w:autoSpaceDN w:val="0"/>
        <w:adjustRightInd w:val="0"/>
        <w:spacing w:after="0" w:line="240" w:lineRule="auto"/>
        <w:jc w:val="both"/>
        <w:rPr>
          <w:rFonts w:ascii="Verdana" w:hAnsi="Verdana" w:cs="Verdana"/>
          <w:sz w:val="20"/>
          <w:szCs w:val="20"/>
          <w:lang w:val="pt-BR"/>
        </w:rPr>
      </w:pPr>
    </w:p>
    <w:p w:rsidR="0074017B" w:rsidRPr="00C40BD9" w:rsidRDefault="00E91099" w:rsidP="00A82FB4">
      <w:pPr>
        <w:pStyle w:val="ListParagraph"/>
        <w:numPr>
          <w:ilvl w:val="0"/>
          <w:numId w:val="2"/>
        </w:numPr>
        <w:tabs>
          <w:tab w:val="clear" w:pos="1247"/>
        </w:tabs>
        <w:autoSpaceDE w:val="0"/>
        <w:autoSpaceDN w:val="0"/>
        <w:adjustRightInd w:val="0"/>
        <w:spacing w:after="0" w:line="240" w:lineRule="auto"/>
        <w:contextualSpacing w:val="0"/>
        <w:jc w:val="both"/>
        <w:rPr>
          <w:rFonts w:ascii="Verdana" w:hAnsi="Verdana" w:cs="Verdana"/>
          <w:sz w:val="20"/>
          <w:szCs w:val="20"/>
          <w:lang w:val="pt-BR"/>
        </w:rPr>
      </w:pPr>
      <w:r w:rsidRPr="00C40BD9">
        <w:rPr>
          <w:rFonts w:ascii="Verdana" w:hAnsi="Verdana" w:cs="Verdana"/>
          <w:sz w:val="20"/>
          <w:szCs w:val="20"/>
          <w:lang w:val="pt-BR"/>
        </w:rPr>
        <w:t>A</w:t>
      </w:r>
      <w:r w:rsidR="0074017B" w:rsidRPr="00C40BD9">
        <w:rPr>
          <w:rFonts w:ascii="Verdana" w:hAnsi="Verdana" w:cs="Verdana"/>
          <w:sz w:val="20"/>
          <w:szCs w:val="20"/>
          <w:lang w:val="pt-BR"/>
        </w:rPr>
        <w:t xml:space="preserve"> Corte </w:t>
      </w:r>
      <w:r w:rsidRPr="00C40BD9">
        <w:rPr>
          <w:rFonts w:ascii="Verdana" w:hAnsi="Verdana" w:cs="Verdana"/>
          <w:sz w:val="20"/>
          <w:szCs w:val="20"/>
          <w:lang w:val="pt-BR"/>
        </w:rPr>
        <w:t xml:space="preserve">observa </w:t>
      </w:r>
      <w:r w:rsidR="0074017B" w:rsidRPr="00C40BD9">
        <w:rPr>
          <w:rFonts w:ascii="Verdana" w:hAnsi="Verdana" w:cs="Verdana"/>
          <w:sz w:val="20"/>
          <w:szCs w:val="20"/>
          <w:lang w:val="pt-BR"/>
        </w:rPr>
        <w:t xml:space="preserve">que tanto </w:t>
      </w:r>
      <w:r w:rsidR="00C06A9B" w:rsidRPr="00C40BD9">
        <w:rPr>
          <w:rFonts w:ascii="Verdana" w:hAnsi="Verdana" w:cs="Verdana"/>
          <w:sz w:val="20"/>
          <w:szCs w:val="20"/>
          <w:lang w:val="pt-BR"/>
        </w:rPr>
        <w:t>os representantes das vítimas</w:t>
      </w:r>
      <w:r w:rsidR="00DE316A">
        <w:rPr>
          <w:rFonts w:ascii="Verdana" w:hAnsi="Verdana" w:cs="Verdana"/>
          <w:sz w:val="20"/>
          <w:szCs w:val="20"/>
          <w:lang w:val="pt-BR"/>
        </w:rPr>
        <w:t xml:space="preserve"> </w:t>
      </w:r>
      <w:r w:rsidR="006E1792" w:rsidRPr="00C40BD9">
        <w:rPr>
          <w:rFonts w:ascii="Verdana" w:hAnsi="Verdana" w:cs="Verdana"/>
          <w:sz w:val="20"/>
          <w:szCs w:val="20"/>
          <w:lang w:val="pt-BR"/>
        </w:rPr>
        <w:t xml:space="preserve">como </w:t>
      </w:r>
      <w:r w:rsidRPr="00C40BD9">
        <w:rPr>
          <w:rFonts w:ascii="Verdana" w:hAnsi="Verdana" w:cs="Verdana"/>
          <w:sz w:val="20"/>
          <w:szCs w:val="20"/>
          <w:lang w:val="pt-BR"/>
        </w:rPr>
        <w:t>o</w:t>
      </w:r>
      <w:r w:rsidR="006E1792" w:rsidRPr="00C40BD9">
        <w:rPr>
          <w:rFonts w:ascii="Verdana" w:hAnsi="Verdana" w:cs="Verdana"/>
          <w:sz w:val="20"/>
          <w:szCs w:val="20"/>
          <w:lang w:val="pt-BR"/>
        </w:rPr>
        <w:t xml:space="preserve"> Estado </w:t>
      </w:r>
      <w:r w:rsidRPr="00C40BD9">
        <w:rPr>
          <w:rFonts w:ascii="Verdana" w:hAnsi="Verdana" w:cs="Verdana"/>
          <w:sz w:val="20"/>
          <w:szCs w:val="20"/>
          <w:lang w:val="pt-BR"/>
        </w:rPr>
        <w:t xml:space="preserve">apresentaram suas </w:t>
      </w:r>
      <w:r w:rsidR="00635878" w:rsidRPr="00C40BD9">
        <w:rPr>
          <w:rFonts w:ascii="Verdana" w:hAnsi="Verdana" w:cs="Verdana"/>
          <w:sz w:val="20"/>
          <w:szCs w:val="20"/>
          <w:lang w:val="pt-BR"/>
        </w:rPr>
        <w:t>solicitações</w:t>
      </w:r>
      <w:r w:rsidR="00DE316A">
        <w:rPr>
          <w:rFonts w:ascii="Verdana" w:hAnsi="Verdana" w:cs="Verdana"/>
          <w:sz w:val="20"/>
          <w:szCs w:val="20"/>
          <w:lang w:val="pt-BR"/>
        </w:rPr>
        <w:t xml:space="preserve"> </w:t>
      </w:r>
      <w:r w:rsidR="0074017B" w:rsidRPr="00C40BD9">
        <w:rPr>
          <w:rFonts w:ascii="Verdana" w:hAnsi="Verdana" w:cs="Verdana"/>
          <w:sz w:val="20"/>
          <w:szCs w:val="20"/>
          <w:lang w:val="pt-BR"/>
        </w:rPr>
        <w:t>de interpreta</w:t>
      </w:r>
      <w:r w:rsidR="00F633DD" w:rsidRPr="00C40BD9">
        <w:rPr>
          <w:rFonts w:ascii="Verdana" w:hAnsi="Verdana" w:cs="Verdana"/>
          <w:sz w:val="20"/>
          <w:szCs w:val="20"/>
          <w:lang w:val="pt-BR"/>
        </w:rPr>
        <w:t>ção</w:t>
      </w:r>
      <w:r w:rsidR="0074017B" w:rsidRPr="00C40BD9">
        <w:rPr>
          <w:rFonts w:ascii="Verdana" w:hAnsi="Verdana" w:cs="Verdana"/>
          <w:sz w:val="20"/>
          <w:szCs w:val="20"/>
          <w:lang w:val="pt-BR"/>
        </w:rPr>
        <w:t xml:space="preserve"> </w:t>
      </w:r>
      <w:r w:rsidRPr="00C40BD9">
        <w:rPr>
          <w:rFonts w:ascii="Verdana" w:hAnsi="Verdana" w:cs="Verdana"/>
          <w:sz w:val="20"/>
          <w:szCs w:val="20"/>
          <w:lang w:val="pt-BR"/>
        </w:rPr>
        <w:t xml:space="preserve">no </w:t>
      </w:r>
      <w:r w:rsidR="0074017B" w:rsidRPr="00C40BD9">
        <w:rPr>
          <w:rFonts w:ascii="Verdana" w:hAnsi="Verdana" w:cs="Verdana"/>
          <w:sz w:val="20"/>
          <w:szCs w:val="20"/>
          <w:lang w:val="pt-BR"/>
        </w:rPr>
        <w:t>p</w:t>
      </w:r>
      <w:r w:rsidRPr="00C40BD9">
        <w:rPr>
          <w:rFonts w:ascii="Verdana" w:hAnsi="Verdana" w:cs="Verdana"/>
          <w:sz w:val="20"/>
          <w:szCs w:val="20"/>
          <w:lang w:val="pt-BR"/>
        </w:rPr>
        <w:t>r</w:t>
      </w:r>
      <w:r w:rsidR="0074017B" w:rsidRPr="00C40BD9">
        <w:rPr>
          <w:rFonts w:ascii="Verdana" w:hAnsi="Verdana" w:cs="Verdana"/>
          <w:sz w:val="20"/>
          <w:szCs w:val="20"/>
          <w:lang w:val="pt-BR"/>
        </w:rPr>
        <w:t>azo estab</w:t>
      </w:r>
      <w:r w:rsidRPr="00C40BD9">
        <w:rPr>
          <w:rFonts w:ascii="Verdana" w:hAnsi="Verdana" w:cs="Verdana"/>
          <w:sz w:val="20"/>
          <w:szCs w:val="20"/>
          <w:lang w:val="pt-BR"/>
        </w:rPr>
        <w:t>e</w:t>
      </w:r>
      <w:r w:rsidR="0074017B" w:rsidRPr="00C40BD9">
        <w:rPr>
          <w:rFonts w:ascii="Verdana" w:hAnsi="Verdana" w:cs="Verdana"/>
          <w:sz w:val="20"/>
          <w:szCs w:val="20"/>
          <w:lang w:val="pt-BR"/>
        </w:rPr>
        <w:t>lecido n</w:t>
      </w:r>
      <w:r w:rsidR="00F633DD" w:rsidRPr="00C40BD9">
        <w:rPr>
          <w:rFonts w:ascii="Verdana" w:hAnsi="Verdana" w:cs="Verdana"/>
          <w:sz w:val="20"/>
          <w:szCs w:val="20"/>
          <w:lang w:val="pt-BR"/>
        </w:rPr>
        <w:t xml:space="preserve">o artigo </w:t>
      </w:r>
      <w:r w:rsidR="0074017B" w:rsidRPr="00C40BD9">
        <w:rPr>
          <w:rFonts w:ascii="Verdana" w:hAnsi="Verdana" w:cs="Verdana"/>
          <w:sz w:val="20"/>
          <w:szCs w:val="20"/>
          <w:lang w:val="pt-BR"/>
        </w:rPr>
        <w:t xml:space="preserve">67 </w:t>
      </w:r>
      <w:r w:rsidR="00F633DD" w:rsidRPr="00C40BD9">
        <w:rPr>
          <w:rFonts w:ascii="Verdana" w:hAnsi="Verdana" w:cs="Verdana"/>
          <w:sz w:val="20"/>
          <w:szCs w:val="20"/>
          <w:lang w:val="pt-BR"/>
        </w:rPr>
        <w:t xml:space="preserve">da </w:t>
      </w:r>
      <w:r w:rsidR="0074017B" w:rsidRPr="00C40BD9">
        <w:rPr>
          <w:rFonts w:ascii="Verdana" w:hAnsi="Verdana" w:cs="Verdana"/>
          <w:sz w:val="20"/>
          <w:szCs w:val="20"/>
          <w:lang w:val="pt-BR"/>
        </w:rPr>
        <w:t>Conven</w:t>
      </w:r>
      <w:r w:rsidR="00F633DD" w:rsidRPr="00C40BD9">
        <w:rPr>
          <w:rFonts w:ascii="Verdana" w:hAnsi="Verdana" w:cs="Verdana"/>
          <w:sz w:val="20"/>
          <w:szCs w:val="20"/>
          <w:lang w:val="pt-BR"/>
        </w:rPr>
        <w:t>ção</w:t>
      </w:r>
      <w:r w:rsidR="0074017B" w:rsidRPr="00C40BD9">
        <w:rPr>
          <w:rFonts w:ascii="Verdana" w:hAnsi="Verdana" w:cs="Verdana"/>
          <w:sz w:val="20"/>
          <w:szCs w:val="20"/>
          <w:lang w:val="pt-BR"/>
        </w:rPr>
        <w:t xml:space="preserve">, </w:t>
      </w:r>
      <w:r w:rsidR="00340D1C" w:rsidRPr="00C40BD9">
        <w:rPr>
          <w:rFonts w:ascii="Verdana" w:hAnsi="Verdana" w:cs="Verdana"/>
          <w:sz w:val="20"/>
          <w:szCs w:val="20"/>
          <w:lang w:val="pt-BR"/>
        </w:rPr>
        <w:t xml:space="preserve">uma vez que </w:t>
      </w:r>
      <w:r w:rsidR="001A73F7">
        <w:rPr>
          <w:rFonts w:ascii="Verdana" w:hAnsi="Verdana" w:cs="Verdana"/>
          <w:sz w:val="20"/>
          <w:szCs w:val="20"/>
          <w:lang w:val="pt-BR"/>
        </w:rPr>
        <w:t xml:space="preserve">o fizeram </w:t>
      </w:r>
      <w:r w:rsidR="00340D1C" w:rsidRPr="00C40BD9">
        <w:rPr>
          <w:rFonts w:ascii="Verdana" w:hAnsi="Verdana" w:cs="Verdana"/>
          <w:sz w:val="20"/>
          <w:szCs w:val="20"/>
          <w:lang w:val="pt-BR"/>
        </w:rPr>
        <w:t xml:space="preserve">em </w:t>
      </w:r>
      <w:r w:rsidR="0074017B" w:rsidRPr="00C40BD9">
        <w:rPr>
          <w:rFonts w:ascii="Verdana" w:hAnsi="Verdana" w:cs="Verdana"/>
          <w:sz w:val="20"/>
          <w:szCs w:val="20"/>
          <w:lang w:val="pt-BR"/>
        </w:rPr>
        <w:t xml:space="preserve">9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0074017B" w:rsidRPr="00C40BD9">
        <w:rPr>
          <w:rFonts w:ascii="Verdana" w:hAnsi="Verdana" w:cs="Verdana"/>
          <w:sz w:val="20"/>
          <w:szCs w:val="20"/>
          <w:lang w:val="pt-BR"/>
        </w:rPr>
        <w:t xml:space="preserve">14 de agosto de 2017, respectivamente,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0074017B" w:rsidRPr="00C40BD9">
        <w:rPr>
          <w:rFonts w:ascii="Verdana" w:hAnsi="Verdana" w:cs="Verdana"/>
          <w:sz w:val="20"/>
          <w:szCs w:val="20"/>
          <w:lang w:val="pt-BR"/>
        </w:rPr>
        <w:t>as partes f</w:t>
      </w:r>
      <w:r w:rsidR="00340D1C" w:rsidRPr="00C40BD9">
        <w:rPr>
          <w:rFonts w:ascii="Verdana" w:hAnsi="Verdana" w:cs="Verdana"/>
          <w:sz w:val="20"/>
          <w:szCs w:val="20"/>
          <w:lang w:val="pt-BR"/>
        </w:rPr>
        <w:t xml:space="preserve">oram </w:t>
      </w:r>
      <w:r w:rsidR="0074017B" w:rsidRPr="00C40BD9">
        <w:rPr>
          <w:rFonts w:ascii="Verdana" w:hAnsi="Verdana" w:cs="Verdana"/>
          <w:sz w:val="20"/>
          <w:szCs w:val="20"/>
          <w:lang w:val="pt-BR"/>
        </w:rPr>
        <w:t xml:space="preserve">notificadas </w:t>
      </w:r>
      <w:r w:rsidR="00F633DD" w:rsidRPr="00C40BD9">
        <w:rPr>
          <w:rFonts w:ascii="Verdana" w:hAnsi="Verdana" w:cs="Verdana"/>
          <w:sz w:val="20"/>
          <w:szCs w:val="20"/>
          <w:lang w:val="pt-BR"/>
        </w:rPr>
        <w:t>da Sentença</w:t>
      </w:r>
      <w:r w:rsidR="00DE316A">
        <w:rPr>
          <w:rFonts w:ascii="Verdana" w:hAnsi="Verdana" w:cs="Verdana"/>
          <w:sz w:val="20"/>
          <w:szCs w:val="20"/>
          <w:lang w:val="pt-BR"/>
        </w:rPr>
        <w:t xml:space="preserve"> </w:t>
      </w:r>
      <w:r w:rsidR="0074017B" w:rsidRPr="00C40BD9">
        <w:rPr>
          <w:rFonts w:ascii="Verdana" w:hAnsi="Verdana" w:cs="Verdana"/>
          <w:sz w:val="20"/>
          <w:szCs w:val="20"/>
          <w:lang w:val="pt-BR"/>
        </w:rPr>
        <w:t>e</w:t>
      </w:r>
      <w:r w:rsidR="00340D1C" w:rsidRPr="00C40BD9">
        <w:rPr>
          <w:rFonts w:ascii="Verdana" w:hAnsi="Verdana" w:cs="Verdana"/>
          <w:sz w:val="20"/>
          <w:szCs w:val="20"/>
          <w:lang w:val="pt-BR"/>
        </w:rPr>
        <w:t>m</w:t>
      </w:r>
      <w:r w:rsidR="0074017B" w:rsidRPr="00C40BD9">
        <w:rPr>
          <w:rFonts w:ascii="Verdana" w:hAnsi="Verdana" w:cs="Verdana"/>
          <w:sz w:val="20"/>
          <w:szCs w:val="20"/>
          <w:lang w:val="pt-BR"/>
        </w:rPr>
        <w:t xml:space="preserve"> </w:t>
      </w:r>
      <w:r w:rsidR="0003025F" w:rsidRPr="00C40BD9">
        <w:rPr>
          <w:rFonts w:ascii="Verdana" w:hAnsi="Verdana" w:cs="Verdana"/>
          <w:sz w:val="20"/>
          <w:szCs w:val="20"/>
          <w:lang w:val="pt-BR"/>
        </w:rPr>
        <w:t>12</w:t>
      </w:r>
      <w:r w:rsidR="006E1792" w:rsidRPr="00C40BD9">
        <w:rPr>
          <w:rFonts w:ascii="Verdana" w:hAnsi="Verdana" w:cs="Verdana"/>
          <w:sz w:val="20"/>
          <w:szCs w:val="20"/>
          <w:lang w:val="pt-BR"/>
        </w:rPr>
        <w:t xml:space="preserve"> </w:t>
      </w:r>
      <w:r w:rsidR="0003025F" w:rsidRPr="00C40BD9">
        <w:rPr>
          <w:rFonts w:ascii="Verdana" w:hAnsi="Verdana" w:cs="Verdana"/>
          <w:sz w:val="20"/>
          <w:szCs w:val="20"/>
          <w:lang w:val="pt-BR"/>
        </w:rPr>
        <w:t xml:space="preserve">de </w:t>
      </w:r>
      <w:r w:rsidR="00340D1C" w:rsidRPr="00C40BD9">
        <w:rPr>
          <w:rFonts w:ascii="Verdana" w:hAnsi="Verdana" w:cs="Verdana"/>
          <w:sz w:val="20"/>
          <w:szCs w:val="20"/>
          <w:lang w:val="pt-BR"/>
        </w:rPr>
        <w:t>maio</w:t>
      </w:r>
      <w:r w:rsidR="00DE316A">
        <w:rPr>
          <w:rFonts w:ascii="Verdana" w:hAnsi="Verdana" w:cs="Verdana"/>
          <w:sz w:val="20"/>
          <w:szCs w:val="20"/>
          <w:lang w:val="pt-BR"/>
        </w:rPr>
        <w:t xml:space="preserve"> </w:t>
      </w:r>
      <w:r w:rsidR="00296A89" w:rsidRPr="00C40BD9">
        <w:rPr>
          <w:rFonts w:ascii="Verdana" w:hAnsi="Verdana" w:cs="Verdana"/>
          <w:sz w:val="20"/>
          <w:szCs w:val="20"/>
          <w:lang w:val="pt-BR"/>
        </w:rPr>
        <w:t xml:space="preserve">de </w:t>
      </w:r>
      <w:r w:rsidR="0074017B" w:rsidRPr="00C40BD9">
        <w:rPr>
          <w:rFonts w:ascii="Verdana" w:hAnsi="Verdana" w:cs="Verdana"/>
          <w:sz w:val="20"/>
          <w:szCs w:val="20"/>
          <w:lang w:val="pt-BR"/>
        </w:rPr>
        <w:t>2017. Portanto, a</w:t>
      </w:r>
      <w:r w:rsidR="0022574E" w:rsidRPr="00C40BD9">
        <w:rPr>
          <w:rFonts w:ascii="Verdana" w:hAnsi="Verdana" w:cs="Verdana"/>
          <w:sz w:val="20"/>
          <w:szCs w:val="20"/>
          <w:lang w:val="pt-BR"/>
        </w:rPr>
        <w:t>s</w:t>
      </w:r>
      <w:r w:rsidR="0074017B" w:rsidRPr="00C40BD9">
        <w:rPr>
          <w:rFonts w:ascii="Verdana" w:hAnsi="Verdana" w:cs="Verdana"/>
          <w:sz w:val="20"/>
          <w:szCs w:val="20"/>
          <w:lang w:val="pt-BR"/>
        </w:rPr>
        <w:t xml:space="preserve"> </w:t>
      </w:r>
      <w:r w:rsidR="00635878" w:rsidRPr="00C40BD9">
        <w:rPr>
          <w:rFonts w:ascii="Verdana" w:hAnsi="Verdana" w:cs="Verdana"/>
          <w:sz w:val="20"/>
          <w:szCs w:val="20"/>
          <w:lang w:val="pt-BR"/>
        </w:rPr>
        <w:t>solicitações</w:t>
      </w:r>
      <w:r w:rsidR="00DE316A">
        <w:rPr>
          <w:rFonts w:ascii="Verdana" w:hAnsi="Verdana" w:cs="Verdana"/>
          <w:sz w:val="20"/>
          <w:szCs w:val="20"/>
          <w:lang w:val="pt-BR"/>
        </w:rPr>
        <w:t xml:space="preserve"> </w:t>
      </w:r>
      <w:r w:rsidR="0022574E" w:rsidRPr="00C40BD9">
        <w:rPr>
          <w:rFonts w:ascii="Verdana" w:hAnsi="Verdana" w:cs="Verdana"/>
          <w:sz w:val="20"/>
          <w:szCs w:val="20"/>
          <w:lang w:val="pt-BR"/>
        </w:rPr>
        <w:t>s</w:t>
      </w:r>
      <w:r w:rsidR="00340D1C" w:rsidRPr="00C40BD9">
        <w:rPr>
          <w:rFonts w:ascii="Verdana" w:hAnsi="Verdana" w:cs="Verdana"/>
          <w:sz w:val="20"/>
          <w:szCs w:val="20"/>
          <w:lang w:val="pt-BR"/>
        </w:rPr>
        <w:t>ão admissíveis no que se refere ao prazo em que foram a</w:t>
      </w:r>
      <w:r w:rsidR="0074017B" w:rsidRPr="00C40BD9">
        <w:rPr>
          <w:rFonts w:ascii="Verdana" w:hAnsi="Verdana" w:cs="Verdana"/>
          <w:sz w:val="20"/>
          <w:szCs w:val="20"/>
          <w:lang w:val="pt-BR"/>
        </w:rPr>
        <w:t>presentada</w:t>
      </w:r>
      <w:r w:rsidR="0022574E" w:rsidRPr="00C40BD9">
        <w:rPr>
          <w:rFonts w:ascii="Verdana" w:hAnsi="Verdana" w:cs="Verdana"/>
          <w:sz w:val="20"/>
          <w:szCs w:val="20"/>
          <w:lang w:val="pt-BR"/>
        </w:rPr>
        <w:t>s</w:t>
      </w:r>
      <w:r w:rsidR="0074017B" w:rsidRPr="00C40BD9">
        <w:rPr>
          <w:rFonts w:ascii="Verdana" w:hAnsi="Verdana" w:cs="Verdana"/>
          <w:sz w:val="20"/>
          <w:szCs w:val="20"/>
          <w:lang w:val="pt-BR"/>
        </w:rPr>
        <w:t xml:space="preserve">. </w:t>
      </w:r>
      <w:r w:rsidR="00340D1C" w:rsidRPr="00C40BD9">
        <w:rPr>
          <w:rFonts w:ascii="Verdana" w:hAnsi="Verdana" w:cs="Verdana"/>
          <w:sz w:val="20"/>
          <w:szCs w:val="20"/>
          <w:lang w:val="pt-BR"/>
        </w:rPr>
        <w:t xml:space="preserve">Quanto aos demais </w:t>
      </w:r>
      <w:r w:rsidR="0074017B" w:rsidRPr="00C40BD9">
        <w:rPr>
          <w:rFonts w:ascii="Verdana" w:hAnsi="Verdana" w:cs="Verdana"/>
          <w:sz w:val="20"/>
          <w:szCs w:val="20"/>
          <w:lang w:val="pt-BR"/>
        </w:rPr>
        <w:t xml:space="preserve">requisitos, a Corte </w:t>
      </w:r>
      <w:r w:rsidR="00340D1C" w:rsidRPr="00C40BD9">
        <w:rPr>
          <w:rFonts w:ascii="Verdana" w:hAnsi="Verdana" w:cs="Verdana"/>
          <w:sz w:val="20"/>
          <w:szCs w:val="20"/>
          <w:lang w:val="pt-BR"/>
        </w:rPr>
        <w:t>procederá à análise respectiv</w:t>
      </w:r>
      <w:r w:rsidR="001A73F7">
        <w:rPr>
          <w:rFonts w:ascii="Verdana" w:hAnsi="Verdana" w:cs="Verdana"/>
          <w:sz w:val="20"/>
          <w:szCs w:val="20"/>
          <w:lang w:val="pt-BR"/>
        </w:rPr>
        <w:t>a</w:t>
      </w:r>
      <w:r w:rsidR="00340D1C" w:rsidRPr="00C40BD9">
        <w:rPr>
          <w:rFonts w:ascii="Verdana" w:hAnsi="Verdana" w:cs="Verdana"/>
          <w:sz w:val="20"/>
          <w:szCs w:val="20"/>
          <w:lang w:val="pt-BR"/>
        </w:rPr>
        <w:t xml:space="preserve"> sobre o </w:t>
      </w:r>
      <w:r w:rsidR="0074017B" w:rsidRPr="00C40BD9">
        <w:rPr>
          <w:rFonts w:ascii="Verdana" w:hAnsi="Verdana" w:cs="Verdana"/>
          <w:sz w:val="20"/>
          <w:szCs w:val="20"/>
          <w:lang w:val="pt-BR"/>
        </w:rPr>
        <w:t>mérito de</w:t>
      </w:r>
      <w:r w:rsidR="00340D1C" w:rsidRPr="00C40BD9">
        <w:rPr>
          <w:rFonts w:ascii="Verdana" w:hAnsi="Verdana" w:cs="Verdana"/>
          <w:sz w:val="20"/>
          <w:szCs w:val="20"/>
          <w:lang w:val="pt-BR"/>
        </w:rPr>
        <w:t xml:space="preserve">ssas </w:t>
      </w:r>
      <w:r w:rsidR="00635878" w:rsidRPr="00C40BD9">
        <w:rPr>
          <w:rFonts w:ascii="Verdana" w:hAnsi="Verdana" w:cs="Verdana"/>
          <w:sz w:val="20"/>
          <w:szCs w:val="20"/>
          <w:lang w:val="pt-BR"/>
        </w:rPr>
        <w:t>solicitações</w:t>
      </w:r>
      <w:r w:rsidR="00DE316A">
        <w:rPr>
          <w:rFonts w:ascii="Verdana" w:hAnsi="Verdana" w:cs="Verdana"/>
          <w:sz w:val="20"/>
          <w:szCs w:val="20"/>
          <w:lang w:val="pt-BR"/>
        </w:rPr>
        <w:t xml:space="preserve"> </w:t>
      </w:r>
      <w:r w:rsidR="00340D1C" w:rsidRPr="00C40BD9">
        <w:rPr>
          <w:rFonts w:ascii="Verdana" w:hAnsi="Verdana" w:cs="Verdana"/>
          <w:sz w:val="20"/>
          <w:szCs w:val="20"/>
          <w:lang w:val="pt-BR"/>
        </w:rPr>
        <w:t xml:space="preserve">no </w:t>
      </w:r>
      <w:r w:rsidR="0074017B" w:rsidRPr="00C40BD9">
        <w:rPr>
          <w:rFonts w:ascii="Verdana" w:hAnsi="Verdana" w:cs="Verdana"/>
          <w:sz w:val="20"/>
          <w:szCs w:val="20"/>
          <w:lang w:val="pt-BR"/>
        </w:rPr>
        <w:t>capítulo</w:t>
      </w:r>
      <w:r w:rsidR="001A73F7">
        <w:rPr>
          <w:rFonts w:ascii="Verdana" w:hAnsi="Verdana" w:cs="Verdana"/>
          <w:sz w:val="20"/>
          <w:szCs w:val="20"/>
          <w:lang w:val="pt-BR"/>
        </w:rPr>
        <w:t xml:space="preserve"> seguinte</w:t>
      </w:r>
      <w:r w:rsidR="0074017B" w:rsidRPr="00C40BD9">
        <w:rPr>
          <w:rFonts w:ascii="Verdana" w:hAnsi="Verdana" w:cs="Verdana"/>
          <w:sz w:val="20"/>
          <w:szCs w:val="20"/>
          <w:lang w:val="pt-BR"/>
        </w:rPr>
        <w:t>.</w:t>
      </w:r>
    </w:p>
    <w:p w:rsidR="0074017B" w:rsidRPr="00C40BD9" w:rsidRDefault="0074017B" w:rsidP="00A82FB4">
      <w:pPr>
        <w:spacing w:after="0" w:line="240" w:lineRule="auto"/>
        <w:jc w:val="both"/>
        <w:rPr>
          <w:rFonts w:ascii="Verdana" w:eastAsia="Times" w:hAnsi="Verdana"/>
          <w:sz w:val="20"/>
          <w:szCs w:val="20"/>
          <w:u w:val="single"/>
          <w:lang w:val="pt-BR"/>
        </w:rPr>
      </w:pPr>
    </w:p>
    <w:p w:rsidR="0074017B" w:rsidRPr="00C40BD9" w:rsidRDefault="0074017B" w:rsidP="00A82FB4">
      <w:pPr>
        <w:spacing w:after="0" w:line="240" w:lineRule="auto"/>
        <w:jc w:val="center"/>
        <w:rPr>
          <w:rFonts w:ascii="Verdana" w:eastAsia="Times" w:hAnsi="Verdana"/>
          <w:b/>
          <w:sz w:val="20"/>
          <w:szCs w:val="20"/>
          <w:lang w:val="pt-BR"/>
        </w:rPr>
      </w:pPr>
      <w:r w:rsidRPr="00C40BD9">
        <w:rPr>
          <w:rFonts w:ascii="Verdana" w:eastAsia="Times" w:hAnsi="Verdana"/>
          <w:b/>
          <w:sz w:val="20"/>
          <w:szCs w:val="20"/>
          <w:lang w:val="pt-BR"/>
        </w:rPr>
        <w:t>IV</w:t>
      </w:r>
    </w:p>
    <w:p w:rsidR="0074017B" w:rsidRPr="00C40BD9" w:rsidRDefault="0074017B" w:rsidP="00A82FB4">
      <w:pPr>
        <w:autoSpaceDE w:val="0"/>
        <w:autoSpaceDN w:val="0"/>
        <w:adjustRightInd w:val="0"/>
        <w:spacing w:after="0" w:line="240" w:lineRule="auto"/>
        <w:jc w:val="center"/>
        <w:rPr>
          <w:rFonts w:ascii="Verdana" w:hAnsi="Verdana" w:cs="Verdana"/>
          <w:b/>
          <w:caps/>
          <w:sz w:val="20"/>
          <w:szCs w:val="20"/>
          <w:lang w:val="pt-BR"/>
        </w:rPr>
      </w:pPr>
      <w:r w:rsidRPr="00C40BD9">
        <w:rPr>
          <w:rFonts w:ascii="Verdana" w:hAnsi="Verdana" w:cs="Verdana"/>
          <w:b/>
          <w:caps/>
          <w:sz w:val="20"/>
          <w:szCs w:val="20"/>
          <w:lang w:val="pt-BR"/>
        </w:rPr>
        <w:t>ANÁLIS</w:t>
      </w:r>
      <w:r w:rsidR="00340D1C" w:rsidRPr="00C40BD9">
        <w:rPr>
          <w:rFonts w:ascii="Verdana" w:hAnsi="Verdana" w:cs="Verdana"/>
          <w:b/>
          <w:caps/>
          <w:sz w:val="20"/>
          <w:szCs w:val="20"/>
          <w:lang w:val="pt-BR"/>
        </w:rPr>
        <w:t>E</w:t>
      </w:r>
      <w:r w:rsidRPr="00C40BD9">
        <w:rPr>
          <w:rFonts w:ascii="Verdana" w:hAnsi="Verdana" w:cs="Verdana"/>
          <w:b/>
          <w:caps/>
          <w:sz w:val="20"/>
          <w:szCs w:val="20"/>
          <w:lang w:val="pt-BR"/>
        </w:rPr>
        <w:t xml:space="preserve"> dA proced</w:t>
      </w:r>
      <w:r w:rsidR="00340D1C" w:rsidRPr="00C40BD9">
        <w:rPr>
          <w:rFonts w:ascii="Verdana" w:hAnsi="Verdana" w:cs="Verdana"/>
          <w:b/>
          <w:caps/>
          <w:sz w:val="20"/>
          <w:szCs w:val="20"/>
          <w:lang w:val="pt-BR"/>
        </w:rPr>
        <w:t>Ê</w:t>
      </w:r>
      <w:r w:rsidRPr="00C40BD9">
        <w:rPr>
          <w:rFonts w:ascii="Verdana" w:hAnsi="Verdana" w:cs="Verdana"/>
          <w:b/>
          <w:caps/>
          <w:sz w:val="20"/>
          <w:szCs w:val="20"/>
          <w:lang w:val="pt-BR"/>
        </w:rPr>
        <w:t>ncia DAS SOLICIT</w:t>
      </w:r>
      <w:r w:rsidR="00340D1C" w:rsidRPr="00C40BD9">
        <w:rPr>
          <w:rFonts w:ascii="Verdana" w:hAnsi="Verdana" w:cs="Verdana"/>
          <w:b/>
          <w:caps/>
          <w:sz w:val="20"/>
          <w:szCs w:val="20"/>
          <w:lang w:val="pt-BR"/>
        </w:rPr>
        <w:t xml:space="preserve">AÇÕES </w:t>
      </w:r>
      <w:r w:rsidRPr="00C40BD9">
        <w:rPr>
          <w:rFonts w:ascii="Verdana" w:hAnsi="Verdana" w:cs="Verdana"/>
          <w:b/>
          <w:caps/>
          <w:sz w:val="20"/>
          <w:szCs w:val="20"/>
          <w:lang w:val="pt-BR"/>
        </w:rPr>
        <w:t>de interpreta</w:t>
      </w:r>
      <w:r w:rsidR="00F633DD" w:rsidRPr="00C40BD9">
        <w:rPr>
          <w:rFonts w:ascii="Verdana" w:hAnsi="Verdana" w:cs="Verdana"/>
          <w:b/>
          <w:caps/>
          <w:sz w:val="20"/>
          <w:szCs w:val="20"/>
          <w:lang w:val="pt-BR"/>
        </w:rPr>
        <w:t>ção</w:t>
      </w:r>
    </w:p>
    <w:p w:rsidR="0074017B" w:rsidRPr="00C40BD9" w:rsidRDefault="0074017B" w:rsidP="00A82FB4">
      <w:pPr>
        <w:autoSpaceDE w:val="0"/>
        <w:autoSpaceDN w:val="0"/>
        <w:adjustRightInd w:val="0"/>
        <w:spacing w:after="0" w:line="240" w:lineRule="auto"/>
        <w:jc w:val="center"/>
        <w:rPr>
          <w:rFonts w:ascii="Verdana" w:hAnsi="Verdana" w:cs="Verdana"/>
          <w:b/>
          <w:caps/>
          <w:sz w:val="20"/>
          <w:szCs w:val="20"/>
          <w:lang w:val="pt-BR"/>
        </w:rPr>
      </w:pPr>
    </w:p>
    <w:p w:rsidR="0074017B" w:rsidRPr="00C40BD9" w:rsidRDefault="0074017B" w:rsidP="00A82FB4">
      <w:pPr>
        <w:pStyle w:val="ListParagraph"/>
        <w:numPr>
          <w:ilvl w:val="0"/>
          <w:numId w:val="2"/>
        </w:numPr>
        <w:tabs>
          <w:tab w:val="clear" w:pos="1247"/>
        </w:tabs>
        <w:autoSpaceDE w:val="0"/>
        <w:autoSpaceDN w:val="0"/>
        <w:adjustRightInd w:val="0"/>
        <w:spacing w:after="0" w:line="240" w:lineRule="auto"/>
        <w:contextualSpacing w:val="0"/>
        <w:jc w:val="both"/>
        <w:rPr>
          <w:rFonts w:ascii="Verdana" w:hAnsi="Verdana" w:cs="Verdana"/>
          <w:sz w:val="20"/>
          <w:szCs w:val="20"/>
          <w:lang w:val="pt-BR"/>
        </w:rPr>
      </w:pPr>
      <w:r w:rsidRPr="00C40BD9">
        <w:rPr>
          <w:rFonts w:ascii="Verdana" w:hAnsi="Verdana" w:cs="Verdana"/>
          <w:sz w:val="20"/>
          <w:szCs w:val="20"/>
          <w:lang w:val="pt-BR"/>
        </w:rPr>
        <w:t xml:space="preserve">A </w:t>
      </w:r>
      <w:r w:rsidR="00340D1C" w:rsidRPr="00C40BD9">
        <w:rPr>
          <w:rFonts w:ascii="Verdana" w:hAnsi="Verdana" w:cs="Verdana"/>
          <w:sz w:val="20"/>
          <w:szCs w:val="20"/>
          <w:lang w:val="pt-BR"/>
        </w:rPr>
        <w:t xml:space="preserve">seguir, a </w:t>
      </w:r>
      <w:r w:rsidRPr="00C40BD9">
        <w:rPr>
          <w:rFonts w:ascii="Verdana" w:hAnsi="Verdana" w:cs="Verdana"/>
          <w:sz w:val="20"/>
          <w:szCs w:val="20"/>
          <w:lang w:val="pt-BR"/>
        </w:rPr>
        <w:t>Corte anali</w:t>
      </w:r>
      <w:r w:rsidR="00340D1C" w:rsidRPr="00C40BD9">
        <w:rPr>
          <w:rFonts w:ascii="Verdana" w:hAnsi="Verdana" w:cs="Verdana"/>
          <w:sz w:val="20"/>
          <w:szCs w:val="20"/>
          <w:lang w:val="pt-BR"/>
        </w:rPr>
        <w:t>s</w:t>
      </w:r>
      <w:r w:rsidRPr="00C40BD9">
        <w:rPr>
          <w:rFonts w:ascii="Verdana" w:hAnsi="Verdana" w:cs="Verdana"/>
          <w:sz w:val="20"/>
          <w:szCs w:val="20"/>
          <w:lang w:val="pt-BR"/>
        </w:rPr>
        <w:t xml:space="preserve">ará as </w:t>
      </w:r>
      <w:r w:rsidR="00635878" w:rsidRPr="00C40BD9">
        <w:rPr>
          <w:rFonts w:ascii="Verdana" w:hAnsi="Verdana" w:cs="Verdana"/>
          <w:sz w:val="20"/>
          <w:szCs w:val="20"/>
          <w:lang w:val="pt-BR"/>
        </w:rPr>
        <w:t>solicitações</w:t>
      </w:r>
      <w:r w:rsidR="00DE316A">
        <w:rPr>
          <w:rFonts w:ascii="Verdana" w:hAnsi="Verdana" w:cs="Verdana"/>
          <w:sz w:val="20"/>
          <w:szCs w:val="20"/>
          <w:lang w:val="pt-BR"/>
        </w:rPr>
        <w:t xml:space="preserve"> </w:t>
      </w:r>
      <w:r w:rsidRPr="00C40BD9">
        <w:rPr>
          <w:rFonts w:ascii="Verdana" w:hAnsi="Verdana" w:cs="Verdana"/>
          <w:sz w:val="20"/>
          <w:szCs w:val="20"/>
          <w:lang w:val="pt-BR"/>
        </w:rPr>
        <w:t>d</w:t>
      </w:r>
      <w:r w:rsidR="00340D1C" w:rsidRPr="00C40BD9">
        <w:rPr>
          <w:rFonts w:ascii="Verdana" w:hAnsi="Verdana" w:cs="Verdana"/>
          <w:sz w:val="20"/>
          <w:szCs w:val="20"/>
          <w:lang w:val="pt-BR"/>
        </w:rPr>
        <w:t>o</w:t>
      </w:r>
      <w:r w:rsidRPr="00C40BD9">
        <w:rPr>
          <w:rFonts w:ascii="Verdana" w:hAnsi="Verdana" w:cs="Verdana"/>
          <w:sz w:val="20"/>
          <w:szCs w:val="20"/>
          <w:lang w:val="pt-BR"/>
        </w:rPr>
        <w:t xml:space="preserve"> Estado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001A16FA" w:rsidRPr="00C40BD9">
        <w:rPr>
          <w:rFonts w:ascii="Verdana" w:hAnsi="Verdana" w:cs="Verdana"/>
          <w:sz w:val="20"/>
          <w:szCs w:val="20"/>
          <w:lang w:val="pt-BR"/>
        </w:rPr>
        <w:t>d</w:t>
      </w:r>
      <w:r w:rsidR="00C06A9B" w:rsidRPr="00C40BD9">
        <w:rPr>
          <w:rFonts w:ascii="Verdana" w:hAnsi="Verdana" w:cs="Verdana"/>
          <w:sz w:val="20"/>
          <w:szCs w:val="20"/>
          <w:lang w:val="pt-BR"/>
        </w:rPr>
        <w:t xml:space="preserve">os representantes </w:t>
      </w:r>
      <w:r w:rsidRPr="00C40BD9">
        <w:rPr>
          <w:rFonts w:ascii="Verdana" w:hAnsi="Verdana" w:cs="Verdana"/>
          <w:sz w:val="20"/>
          <w:szCs w:val="20"/>
          <w:lang w:val="pt-BR"/>
        </w:rPr>
        <w:t>para determinar s</w:t>
      </w:r>
      <w:r w:rsidR="00340D1C" w:rsidRPr="00C40BD9">
        <w:rPr>
          <w:rFonts w:ascii="Verdana" w:hAnsi="Verdana" w:cs="Verdana"/>
          <w:sz w:val="20"/>
          <w:szCs w:val="20"/>
          <w:lang w:val="pt-BR"/>
        </w:rPr>
        <w:t>e</w:t>
      </w:r>
      <w:r w:rsidRPr="00C40BD9">
        <w:rPr>
          <w:rFonts w:ascii="Verdana" w:hAnsi="Verdana" w:cs="Verdana"/>
          <w:sz w:val="20"/>
          <w:szCs w:val="20"/>
          <w:lang w:val="pt-BR"/>
        </w:rPr>
        <w:t xml:space="preserve">, de </w:t>
      </w:r>
      <w:r w:rsidR="00340D1C" w:rsidRPr="00C40BD9">
        <w:rPr>
          <w:rFonts w:ascii="Verdana" w:hAnsi="Verdana" w:cs="Verdana"/>
          <w:sz w:val="20"/>
          <w:szCs w:val="20"/>
          <w:lang w:val="pt-BR"/>
        </w:rPr>
        <w:t>acordo</w:t>
      </w:r>
      <w:r w:rsidR="00DE316A">
        <w:rPr>
          <w:rFonts w:ascii="Verdana" w:hAnsi="Verdana" w:cs="Verdana"/>
          <w:sz w:val="20"/>
          <w:szCs w:val="20"/>
          <w:lang w:val="pt-BR"/>
        </w:rPr>
        <w:t xml:space="preserve"> </w:t>
      </w:r>
      <w:r w:rsidR="00340D1C" w:rsidRPr="00C40BD9">
        <w:rPr>
          <w:rFonts w:ascii="Verdana" w:hAnsi="Verdana" w:cs="Verdana"/>
          <w:sz w:val="20"/>
          <w:szCs w:val="20"/>
          <w:lang w:val="pt-BR"/>
        </w:rPr>
        <w:t xml:space="preserve">com as normas e os critérios desenvolvidos em sua </w:t>
      </w:r>
      <w:r w:rsidRPr="00C40BD9">
        <w:rPr>
          <w:rFonts w:ascii="Verdana" w:hAnsi="Verdana" w:cs="Verdana"/>
          <w:sz w:val="20"/>
          <w:szCs w:val="20"/>
          <w:lang w:val="pt-BR"/>
        </w:rPr>
        <w:t>jurisprud</w:t>
      </w:r>
      <w:r w:rsidR="00340D1C" w:rsidRPr="00C40BD9">
        <w:rPr>
          <w:rFonts w:ascii="Verdana" w:hAnsi="Verdana" w:cs="Verdana"/>
          <w:sz w:val="20"/>
          <w:szCs w:val="20"/>
          <w:lang w:val="pt-BR"/>
        </w:rPr>
        <w:t>ê</w:t>
      </w:r>
      <w:r w:rsidRPr="00C40BD9">
        <w:rPr>
          <w:rFonts w:ascii="Verdana" w:hAnsi="Verdana" w:cs="Verdana"/>
          <w:sz w:val="20"/>
          <w:szCs w:val="20"/>
          <w:lang w:val="pt-BR"/>
        </w:rPr>
        <w:t xml:space="preserve">ncia, </w:t>
      </w:r>
      <w:r w:rsidR="001A73F7">
        <w:rPr>
          <w:rFonts w:ascii="Verdana" w:hAnsi="Verdana" w:cs="Verdana"/>
          <w:sz w:val="20"/>
          <w:szCs w:val="20"/>
          <w:lang w:val="pt-BR"/>
        </w:rPr>
        <w:t>cabe</w:t>
      </w:r>
      <w:r w:rsidRPr="00C40BD9">
        <w:rPr>
          <w:rFonts w:ascii="Verdana" w:hAnsi="Verdana" w:cs="Verdana"/>
          <w:sz w:val="20"/>
          <w:szCs w:val="20"/>
          <w:lang w:val="pt-BR"/>
        </w:rPr>
        <w:t xml:space="preserve"> </w:t>
      </w:r>
      <w:r w:rsidR="00340D1C" w:rsidRPr="00C40BD9">
        <w:rPr>
          <w:rFonts w:ascii="Verdana" w:hAnsi="Verdana" w:cs="Verdana"/>
          <w:sz w:val="20"/>
          <w:szCs w:val="20"/>
          <w:lang w:val="pt-BR"/>
        </w:rPr>
        <w:t xml:space="preserve">esclarecer o </w:t>
      </w:r>
      <w:r w:rsidRPr="00C40BD9">
        <w:rPr>
          <w:rFonts w:ascii="Verdana" w:hAnsi="Verdana" w:cs="Verdana"/>
          <w:sz w:val="20"/>
          <w:szCs w:val="20"/>
          <w:lang w:val="pt-BR"/>
        </w:rPr>
        <w:t>sentido de determinados p</w:t>
      </w:r>
      <w:r w:rsidR="00340D1C" w:rsidRPr="00C40BD9">
        <w:rPr>
          <w:rFonts w:ascii="Verdana" w:hAnsi="Verdana" w:cs="Verdana"/>
          <w:sz w:val="20"/>
          <w:szCs w:val="20"/>
          <w:lang w:val="pt-BR"/>
        </w:rPr>
        <w:t>o</w:t>
      </w:r>
      <w:r w:rsidRPr="00C40BD9">
        <w:rPr>
          <w:rFonts w:ascii="Verdana" w:hAnsi="Verdana" w:cs="Verdana"/>
          <w:sz w:val="20"/>
          <w:szCs w:val="20"/>
          <w:lang w:val="pt-BR"/>
        </w:rPr>
        <w:t xml:space="preserve">ntos </w:t>
      </w:r>
      <w:r w:rsidR="00F633DD" w:rsidRPr="00C40BD9">
        <w:rPr>
          <w:rFonts w:ascii="Verdana" w:hAnsi="Verdana" w:cs="Verdana"/>
          <w:sz w:val="20"/>
          <w:szCs w:val="20"/>
          <w:lang w:val="pt-BR"/>
        </w:rPr>
        <w:t>da Sentença</w:t>
      </w:r>
      <w:r w:rsidRPr="00C40BD9">
        <w:rPr>
          <w:rFonts w:ascii="Verdana" w:hAnsi="Verdana" w:cs="Verdana"/>
          <w:sz w:val="20"/>
          <w:szCs w:val="20"/>
          <w:lang w:val="pt-BR"/>
        </w:rPr>
        <w:t>.</w:t>
      </w:r>
    </w:p>
    <w:p w:rsidR="0074017B" w:rsidRPr="00C40BD9" w:rsidRDefault="0074017B" w:rsidP="00A82FB4">
      <w:pPr>
        <w:autoSpaceDE w:val="0"/>
        <w:autoSpaceDN w:val="0"/>
        <w:adjustRightInd w:val="0"/>
        <w:spacing w:after="0" w:line="240" w:lineRule="auto"/>
        <w:jc w:val="both"/>
        <w:rPr>
          <w:rFonts w:ascii="Verdana" w:hAnsi="Verdana" w:cs="Verdana"/>
          <w:sz w:val="20"/>
          <w:szCs w:val="20"/>
          <w:lang w:val="pt-BR"/>
        </w:rPr>
      </w:pPr>
    </w:p>
    <w:p w:rsidR="0074017B" w:rsidRPr="00C40BD9" w:rsidRDefault="0074017B" w:rsidP="00C81D57">
      <w:pPr>
        <w:pStyle w:val="ListParagraph"/>
        <w:numPr>
          <w:ilvl w:val="0"/>
          <w:numId w:val="2"/>
        </w:numPr>
        <w:tabs>
          <w:tab w:val="clear" w:pos="1247"/>
          <w:tab w:val="num" w:pos="0"/>
        </w:tabs>
        <w:autoSpaceDE w:val="0"/>
        <w:autoSpaceDN w:val="0"/>
        <w:adjustRightInd w:val="0"/>
        <w:spacing w:after="0" w:line="240" w:lineRule="auto"/>
        <w:contextualSpacing w:val="0"/>
        <w:jc w:val="both"/>
        <w:rPr>
          <w:rFonts w:ascii="Verdana" w:hAnsi="Verdana" w:cs="Verdana"/>
          <w:sz w:val="20"/>
          <w:szCs w:val="20"/>
          <w:lang w:val="pt-BR"/>
        </w:rPr>
      </w:pPr>
      <w:r w:rsidRPr="00C40BD9">
        <w:rPr>
          <w:rFonts w:ascii="Verdana" w:hAnsi="Verdana" w:cs="Verdana"/>
          <w:sz w:val="20"/>
          <w:szCs w:val="20"/>
          <w:lang w:val="pt-BR"/>
        </w:rPr>
        <w:t>Para anali</w:t>
      </w:r>
      <w:r w:rsidR="00970B13" w:rsidRPr="00C40BD9">
        <w:rPr>
          <w:rFonts w:ascii="Verdana" w:hAnsi="Verdana" w:cs="Verdana"/>
          <w:sz w:val="20"/>
          <w:szCs w:val="20"/>
          <w:lang w:val="pt-BR"/>
        </w:rPr>
        <w:t>s</w:t>
      </w:r>
      <w:r w:rsidRPr="00C40BD9">
        <w:rPr>
          <w:rFonts w:ascii="Verdana" w:hAnsi="Verdana" w:cs="Verdana"/>
          <w:sz w:val="20"/>
          <w:szCs w:val="20"/>
          <w:lang w:val="pt-BR"/>
        </w:rPr>
        <w:t xml:space="preserve">ar a </w:t>
      </w:r>
      <w:r w:rsidR="00970B13" w:rsidRPr="00C40BD9">
        <w:rPr>
          <w:rFonts w:ascii="Verdana" w:hAnsi="Verdana" w:cs="Verdana"/>
          <w:sz w:val="20"/>
          <w:szCs w:val="20"/>
          <w:lang w:val="pt-BR"/>
        </w:rPr>
        <w:t xml:space="preserve">procedência </w:t>
      </w:r>
      <w:r w:rsidR="00C06A9B" w:rsidRPr="00C40BD9">
        <w:rPr>
          <w:rFonts w:ascii="Verdana" w:hAnsi="Verdana" w:cs="Verdana"/>
          <w:sz w:val="20"/>
          <w:szCs w:val="20"/>
          <w:lang w:val="pt-BR"/>
        </w:rPr>
        <w:t xml:space="preserve">das </w:t>
      </w:r>
      <w:r w:rsidR="00635878" w:rsidRPr="00C40BD9">
        <w:rPr>
          <w:rFonts w:ascii="Verdana" w:hAnsi="Verdana" w:cs="Verdana"/>
          <w:sz w:val="20"/>
          <w:szCs w:val="20"/>
          <w:lang w:val="pt-BR"/>
        </w:rPr>
        <w:t xml:space="preserve">solicitações </w:t>
      </w:r>
      <w:r w:rsidR="00970B13" w:rsidRPr="00C40BD9">
        <w:rPr>
          <w:rFonts w:ascii="Verdana" w:hAnsi="Verdana" w:cs="Verdana"/>
          <w:sz w:val="20"/>
          <w:szCs w:val="20"/>
          <w:lang w:val="pt-BR"/>
        </w:rPr>
        <w:t xml:space="preserve">do Estado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00C06A9B" w:rsidRPr="00C40BD9">
        <w:rPr>
          <w:rFonts w:ascii="Verdana" w:hAnsi="Verdana" w:cs="Verdana"/>
          <w:sz w:val="20"/>
          <w:szCs w:val="20"/>
          <w:lang w:val="pt-BR"/>
        </w:rPr>
        <w:t xml:space="preserve">dos </w:t>
      </w:r>
      <w:r w:rsidR="001A16FA" w:rsidRPr="00C40BD9">
        <w:rPr>
          <w:rFonts w:ascii="Verdana" w:hAnsi="Verdana" w:cs="Verdana"/>
          <w:sz w:val="20"/>
          <w:szCs w:val="20"/>
          <w:lang w:val="pt-BR"/>
        </w:rPr>
        <w:t>representantes</w:t>
      </w:r>
      <w:r w:rsidRPr="00C40BD9">
        <w:rPr>
          <w:rFonts w:ascii="Verdana" w:hAnsi="Verdana" w:cs="Verdana"/>
          <w:sz w:val="20"/>
          <w:szCs w:val="20"/>
          <w:lang w:val="pt-BR"/>
        </w:rPr>
        <w:t xml:space="preserve">, a Corte </w:t>
      </w:r>
      <w:r w:rsidR="00970B13" w:rsidRPr="00C40BD9">
        <w:rPr>
          <w:rFonts w:ascii="Verdana" w:hAnsi="Verdana" w:cs="Verdana"/>
          <w:sz w:val="20"/>
          <w:szCs w:val="20"/>
          <w:lang w:val="pt-BR"/>
        </w:rPr>
        <w:t xml:space="preserve">leva em </w:t>
      </w:r>
      <w:r w:rsidRPr="00C40BD9">
        <w:rPr>
          <w:rFonts w:ascii="Verdana" w:hAnsi="Verdana" w:cs="Verdana"/>
          <w:sz w:val="20"/>
          <w:szCs w:val="20"/>
          <w:lang w:val="pt-BR"/>
        </w:rPr>
        <w:t>considera</w:t>
      </w:r>
      <w:r w:rsidR="00F633DD" w:rsidRPr="00C40BD9">
        <w:rPr>
          <w:rFonts w:ascii="Verdana" w:hAnsi="Verdana" w:cs="Verdana"/>
          <w:sz w:val="20"/>
          <w:szCs w:val="20"/>
          <w:lang w:val="pt-BR"/>
        </w:rPr>
        <w:t>ção</w:t>
      </w:r>
      <w:r w:rsidRPr="00C40BD9">
        <w:rPr>
          <w:rFonts w:ascii="Verdana" w:hAnsi="Verdana" w:cs="Verdana"/>
          <w:sz w:val="20"/>
          <w:szCs w:val="20"/>
          <w:lang w:val="pt-BR"/>
        </w:rPr>
        <w:t xml:space="preserve"> su</w:t>
      </w:r>
      <w:r w:rsidR="00970B13" w:rsidRPr="00C40BD9">
        <w:rPr>
          <w:rFonts w:ascii="Verdana" w:hAnsi="Verdana" w:cs="Verdana"/>
          <w:sz w:val="20"/>
          <w:szCs w:val="20"/>
          <w:lang w:val="pt-BR"/>
        </w:rPr>
        <w:t>a</w:t>
      </w:r>
      <w:r w:rsidRPr="00C40BD9">
        <w:rPr>
          <w:rFonts w:ascii="Verdana" w:hAnsi="Verdana" w:cs="Verdana"/>
          <w:sz w:val="20"/>
          <w:szCs w:val="20"/>
          <w:lang w:val="pt-BR"/>
        </w:rPr>
        <w:t xml:space="preserve"> </w:t>
      </w:r>
      <w:r w:rsidR="00970B13" w:rsidRPr="00C40BD9">
        <w:rPr>
          <w:rFonts w:ascii="Verdana" w:hAnsi="Verdana" w:cs="Verdana"/>
          <w:sz w:val="20"/>
          <w:szCs w:val="20"/>
          <w:lang w:val="pt-BR"/>
        </w:rPr>
        <w:t>jurisprudência</w:t>
      </w:r>
      <w:r w:rsidR="00DE316A">
        <w:rPr>
          <w:rFonts w:ascii="Verdana" w:hAnsi="Verdana" w:cs="Verdana"/>
          <w:sz w:val="20"/>
          <w:szCs w:val="20"/>
          <w:lang w:val="pt-BR"/>
        </w:rPr>
        <w:t xml:space="preserve"> </w:t>
      </w:r>
      <w:r w:rsidRPr="00C40BD9">
        <w:rPr>
          <w:rFonts w:ascii="Verdana" w:hAnsi="Verdana" w:cs="Verdana"/>
          <w:sz w:val="20"/>
          <w:szCs w:val="20"/>
          <w:lang w:val="pt-BR"/>
        </w:rPr>
        <w:t xml:space="preserve">constante, </w:t>
      </w:r>
      <w:r w:rsidR="00DB4E96">
        <w:rPr>
          <w:rFonts w:ascii="Verdana" w:hAnsi="Verdana" w:cs="Verdana"/>
          <w:sz w:val="20"/>
          <w:szCs w:val="20"/>
          <w:lang w:val="pt-BR"/>
        </w:rPr>
        <w:t xml:space="preserve">no que se refere à impossibilidade de utilização de </w:t>
      </w:r>
      <w:r w:rsidR="006770ED" w:rsidRPr="00C40BD9">
        <w:rPr>
          <w:rFonts w:ascii="Verdana" w:hAnsi="Verdana" w:cs="Verdana"/>
          <w:sz w:val="20"/>
          <w:szCs w:val="20"/>
          <w:lang w:val="pt-BR"/>
        </w:rPr>
        <w:t xml:space="preserve">uma </w:t>
      </w:r>
      <w:r w:rsidR="00C06A9B" w:rsidRPr="00C40BD9">
        <w:rPr>
          <w:rFonts w:ascii="Verdana" w:hAnsi="Verdana" w:cs="Verdana"/>
          <w:sz w:val="20"/>
          <w:szCs w:val="20"/>
          <w:lang w:val="pt-BR"/>
        </w:rPr>
        <w:t xml:space="preserve">solicitação </w:t>
      </w:r>
      <w:r w:rsidRPr="00C40BD9">
        <w:rPr>
          <w:rFonts w:ascii="Verdana" w:hAnsi="Verdana" w:cs="Verdana"/>
          <w:sz w:val="20"/>
          <w:szCs w:val="20"/>
          <w:lang w:val="pt-BR"/>
        </w:rPr>
        <w:t>de interpreta</w:t>
      </w:r>
      <w:r w:rsidR="00F633DD" w:rsidRPr="00C40BD9">
        <w:rPr>
          <w:rFonts w:ascii="Verdana" w:hAnsi="Verdana" w:cs="Verdana"/>
          <w:sz w:val="20"/>
          <w:szCs w:val="20"/>
          <w:lang w:val="pt-BR"/>
        </w:rPr>
        <w:t>ção</w:t>
      </w:r>
      <w:r w:rsidRPr="00C40BD9">
        <w:rPr>
          <w:rFonts w:ascii="Verdana" w:hAnsi="Verdana" w:cs="Verdana"/>
          <w:sz w:val="20"/>
          <w:szCs w:val="20"/>
          <w:lang w:val="pt-BR"/>
        </w:rPr>
        <w:t xml:space="preserve"> de </w:t>
      </w:r>
      <w:r w:rsidR="00C06A9B" w:rsidRPr="00C40BD9">
        <w:rPr>
          <w:rFonts w:ascii="Verdana" w:hAnsi="Verdana" w:cs="Verdana"/>
          <w:sz w:val="20"/>
          <w:szCs w:val="20"/>
          <w:lang w:val="pt-BR"/>
        </w:rPr>
        <w:t>sentença</w:t>
      </w:r>
      <w:r w:rsidR="00DE316A">
        <w:rPr>
          <w:rFonts w:ascii="Verdana" w:hAnsi="Verdana" w:cs="Verdana"/>
          <w:sz w:val="20"/>
          <w:szCs w:val="20"/>
          <w:lang w:val="pt-BR"/>
        </w:rPr>
        <w:t xml:space="preserve"> </w:t>
      </w:r>
      <w:r w:rsidRPr="00C40BD9">
        <w:rPr>
          <w:rFonts w:ascii="Verdana" w:hAnsi="Verdana" w:cs="Verdana"/>
          <w:sz w:val="20"/>
          <w:szCs w:val="20"/>
          <w:lang w:val="pt-BR"/>
        </w:rPr>
        <w:t>como meio de impugna</w:t>
      </w:r>
      <w:r w:rsidR="00F633DD" w:rsidRPr="00C40BD9">
        <w:rPr>
          <w:rFonts w:ascii="Verdana" w:hAnsi="Verdana" w:cs="Verdana"/>
          <w:sz w:val="20"/>
          <w:szCs w:val="20"/>
          <w:lang w:val="pt-BR"/>
        </w:rPr>
        <w:t>ção</w:t>
      </w:r>
      <w:r w:rsidRPr="00C40BD9">
        <w:rPr>
          <w:rFonts w:ascii="Verdana" w:hAnsi="Verdana" w:cs="Verdana"/>
          <w:sz w:val="20"/>
          <w:szCs w:val="20"/>
          <w:lang w:val="pt-BR"/>
        </w:rPr>
        <w:t xml:space="preserve"> </w:t>
      </w:r>
      <w:r w:rsidR="00F633DD" w:rsidRPr="00C40BD9">
        <w:rPr>
          <w:rFonts w:ascii="Verdana" w:hAnsi="Verdana" w:cs="Verdana"/>
          <w:sz w:val="20"/>
          <w:szCs w:val="20"/>
          <w:lang w:val="pt-BR"/>
        </w:rPr>
        <w:t xml:space="preserve">da </w:t>
      </w:r>
      <w:r w:rsidR="006770ED" w:rsidRPr="00C40BD9">
        <w:rPr>
          <w:rFonts w:ascii="Verdana" w:hAnsi="Verdana" w:cs="Verdana"/>
          <w:sz w:val="20"/>
          <w:szCs w:val="20"/>
          <w:lang w:val="pt-BR"/>
        </w:rPr>
        <w:t xml:space="preserve">decisão cuja </w:t>
      </w:r>
      <w:r w:rsidRPr="00C40BD9">
        <w:rPr>
          <w:rFonts w:ascii="Verdana" w:hAnsi="Verdana" w:cs="Verdana"/>
          <w:sz w:val="20"/>
          <w:szCs w:val="20"/>
          <w:lang w:val="pt-BR"/>
        </w:rPr>
        <w:t>interpreta</w:t>
      </w:r>
      <w:r w:rsidR="00F633DD" w:rsidRPr="00C40BD9">
        <w:rPr>
          <w:rFonts w:ascii="Verdana" w:hAnsi="Verdana" w:cs="Verdana"/>
          <w:sz w:val="20"/>
          <w:szCs w:val="20"/>
          <w:lang w:val="pt-BR"/>
        </w:rPr>
        <w:t>ção</w:t>
      </w:r>
      <w:r w:rsidRPr="00C40BD9">
        <w:rPr>
          <w:rFonts w:ascii="Verdana" w:hAnsi="Verdana" w:cs="Verdana"/>
          <w:sz w:val="20"/>
          <w:szCs w:val="20"/>
          <w:lang w:val="pt-BR"/>
        </w:rPr>
        <w:t xml:space="preserve"> se </w:t>
      </w:r>
      <w:r w:rsidR="006770ED" w:rsidRPr="00C40BD9">
        <w:rPr>
          <w:rFonts w:ascii="Verdana" w:hAnsi="Verdana" w:cs="Verdana"/>
          <w:sz w:val="20"/>
          <w:szCs w:val="20"/>
          <w:lang w:val="pt-BR"/>
        </w:rPr>
        <w:t>solicita</w:t>
      </w:r>
      <w:r w:rsidRPr="00C40BD9">
        <w:rPr>
          <w:rFonts w:ascii="Verdana" w:hAnsi="Verdana" w:cs="Verdana"/>
          <w:sz w:val="20"/>
          <w:szCs w:val="20"/>
          <w:lang w:val="pt-BR"/>
        </w:rPr>
        <w:t xml:space="preserve">. </w:t>
      </w:r>
      <w:r w:rsidR="006770ED" w:rsidRPr="00C40BD9">
        <w:rPr>
          <w:rFonts w:ascii="Verdana" w:hAnsi="Verdana" w:cs="Verdana"/>
          <w:sz w:val="20"/>
          <w:szCs w:val="20"/>
          <w:lang w:val="pt-BR"/>
        </w:rPr>
        <w:t xml:space="preserve">Essa </w:t>
      </w:r>
      <w:r w:rsidR="00C06A9B" w:rsidRPr="00C40BD9">
        <w:rPr>
          <w:rFonts w:ascii="Verdana" w:hAnsi="Verdana" w:cs="Verdana"/>
          <w:sz w:val="20"/>
          <w:szCs w:val="20"/>
          <w:lang w:val="pt-BR"/>
        </w:rPr>
        <w:t xml:space="preserve">solicitação </w:t>
      </w:r>
      <w:r w:rsidR="006770ED" w:rsidRPr="00C40BD9">
        <w:rPr>
          <w:rFonts w:ascii="Verdana" w:hAnsi="Verdana" w:cs="Verdana"/>
          <w:sz w:val="20"/>
          <w:szCs w:val="20"/>
          <w:lang w:val="pt-BR"/>
        </w:rPr>
        <w:t xml:space="preserve">deve ter </w:t>
      </w:r>
      <w:r w:rsidRPr="00C40BD9">
        <w:rPr>
          <w:rFonts w:ascii="Verdana" w:hAnsi="Verdana" w:cs="Verdana"/>
          <w:sz w:val="20"/>
          <w:szCs w:val="20"/>
          <w:lang w:val="pt-BR"/>
        </w:rPr>
        <w:t xml:space="preserve">como objeto, exclusivamente, determinar </w:t>
      </w:r>
      <w:r w:rsidR="006770ED" w:rsidRPr="00C40BD9">
        <w:rPr>
          <w:rFonts w:ascii="Verdana" w:hAnsi="Verdana" w:cs="Verdana"/>
          <w:sz w:val="20"/>
          <w:szCs w:val="20"/>
          <w:lang w:val="pt-BR"/>
        </w:rPr>
        <w:t xml:space="preserve">o </w:t>
      </w:r>
      <w:r w:rsidRPr="00C40BD9">
        <w:rPr>
          <w:rFonts w:ascii="Verdana" w:hAnsi="Verdana" w:cs="Verdana"/>
          <w:sz w:val="20"/>
          <w:szCs w:val="20"/>
          <w:lang w:val="pt-BR"/>
        </w:rPr>
        <w:t>sentido de u</w:t>
      </w:r>
      <w:r w:rsidR="006770ED" w:rsidRPr="00C40BD9">
        <w:rPr>
          <w:rFonts w:ascii="Verdana" w:hAnsi="Verdana" w:cs="Verdana"/>
          <w:sz w:val="20"/>
          <w:szCs w:val="20"/>
          <w:lang w:val="pt-BR"/>
        </w:rPr>
        <w:t xml:space="preserve">ma sentença quando alguma </w:t>
      </w:r>
      <w:r w:rsidR="00C06A9B" w:rsidRPr="00C40BD9">
        <w:rPr>
          <w:rFonts w:ascii="Verdana" w:hAnsi="Verdana" w:cs="Verdana"/>
          <w:sz w:val="20"/>
          <w:szCs w:val="20"/>
          <w:lang w:val="pt-BR"/>
        </w:rPr>
        <w:t xml:space="preserve">das </w:t>
      </w:r>
      <w:r w:rsidRPr="00C40BD9">
        <w:rPr>
          <w:rFonts w:ascii="Verdana" w:hAnsi="Verdana" w:cs="Verdana"/>
          <w:sz w:val="20"/>
          <w:szCs w:val="20"/>
          <w:lang w:val="pt-BR"/>
        </w:rPr>
        <w:t xml:space="preserve">partes </w:t>
      </w:r>
      <w:r w:rsidR="006770ED" w:rsidRPr="00C40BD9">
        <w:rPr>
          <w:rFonts w:ascii="Verdana" w:hAnsi="Verdana" w:cs="Verdana"/>
          <w:sz w:val="20"/>
          <w:szCs w:val="20"/>
          <w:lang w:val="pt-BR"/>
        </w:rPr>
        <w:t xml:space="preserve">afirma que o </w:t>
      </w:r>
      <w:r w:rsidRPr="00C40BD9">
        <w:rPr>
          <w:rFonts w:ascii="Verdana" w:hAnsi="Verdana" w:cs="Verdana"/>
          <w:sz w:val="20"/>
          <w:szCs w:val="20"/>
          <w:lang w:val="pt-BR"/>
        </w:rPr>
        <w:t>texto de s</w:t>
      </w:r>
      <w:r w:rsidR="006770ED" w:rsidRPr="00C40BD9">
        <w:rPr>
          <w:rFonts w:ascii="Verdana" w:hAnsi="Verdana" w:cs="Verdana"/>
          <w:sz w:val="20"/>
          <w:szCs w:val="20"/>
          <w:lang w:val="pt-BR"/>
        </w:rPr>
        <w:t>e</w:t>
      </w:r>
      <w:r w:rsidRPr="00C40BD9">
        <w:rPr>
          <w:rFonts w:ascii="Verdana" w:hAnsi="Verdana" w:cs="Verdana"/>
          <w:sz w:val="20"/>
          <w:szCs w:val="20"/>
          <w:lang w:val="pt-BR"/>
        </w:rPr>
        <w:t>us p</w:t>
      </w:r>
      <w:r w:rsidR="006770ED" w:rsidRPr="00C40BD9">
        <w:rPr>
          <w:rFonts w:ascii="Verdana" w:hAnsi="Verdana" w:cs="Verdana"/>
          <w:sz w:val="20"/>
          <w:szCs w:val="20"/>
          <w:lang w:val="pt-BR"/>
        </w:rPr>
        <w:t>o</w:t>
      </w:r>
      <w:r w:rsidRPr="00C40BD9">
        <w:rPr>
          <w:rFonts w:ascii="Verdana" w:hAnsi="Verdana" w:cs="Verdana"/>
          <w:sz w:val="20"/>
          <w:szCs w:val="20"/>
          <w:lang w:val="pt-BR"/>
        </w:rPr>
        <w:t>ntos resolutivos o</w:t>
      </w:r>
      <w:r w:rsidR="006770ED" w:rsidRPr="00C40BD9">
        <w:rPr>
          <w:rFonts w:ascii="Verdana" w:hAnsi="Verdana" w:cs="Verdana"/>
          <w:sz w:val="20"/>
          <w:szCs w:val="20"/>
          <w:lang w:val="pt-BR"/>
        </w:rPr>
        <w:t>u</w:t>
      </w:r>
      <w:r w:rsidRPr="00C40BD9">
        <w:rPr>
          <w:rFonts w:ascii="Verdana" w:hAnsi="Verdana" w:cs="Verdana"/>
          <w:sz w:val="20"/>
          <w:szCs w:val="20"/>
          <w:lang w:val="pt-BR"/>
        </w:rPr>
        <w:t xml:space="preserve"> de su</w:t>
      </w:r>
      <w:r w:rsidR="006770ED" w:rsidRPr="00C40BD9">
        <w:rPr>
          <w:rFonts w:ascii="Verdana" w:hAnsi="Verdana" w:cs="Verdana"/>
          <w:sz w:val="20"/>
          <w:szCs w:val="20"/>
          <w:lang w:val="pt-BR"/>
        </w:rPr>
        <w:t>a</w:t>
      </w:r>
      <w:r w:rsidRPr="00C40BD9">
        <w:rPr>
          <w:rFonts w:ascii="Verdana" w:hAnsi="Verdana" w:cs="Verdana"/>
          <w:sz w:val="20"/>
          <w:szCs w:val="20"/>
          <w:lang w:val="pt-BR"/>
        </w:rPr>
        <w:t>s considera</w:t>
      </w:r>
      <w:r w:rsidR="00F633DD" w:rsidRPr="00C40BD9">
        <w:rPr>
          <w:rFonts w:ascii="Verdana" w:hAnsi="Verdana" w:cs="Verdana"/>
          <w:sz w:val="20"/>
          <w:szCs w:val="20"/>
          <w:lang w:val="pt-BR"/>
        </w:rPr>
        <w:t>ções</w:t>
      </w:r>
      <w:r w:rsidRPr="00C40BD9">
        <w:rPr>
          <w:rFonts w:ascii="Verdana" w:hAnsi="Verdana" w:cs="Verdana"/>
          <w:sz w:val="20"/>
          <w:szCs w:val="20"/>
          <w:lang w:val="pt-BR"/>
        </w:rPr>
        <w:t xml:space="preserve"> carece de </w:t>
      </w:r>
      <w:r w:rsidR="006770ED" w:rsidRPr="00C40BD9">
        <w:rPr>
          <w:rFonts w:ascii="Verdana" w:hAnsi="Verdana" w:cs="Verdana"/>
          <w:sz w:val="20"/>
          <w:szCs w:val="20"/>
          <w:lang w:val="pt-BR"/>
        </w:rPr>
        <w:t xml:space="preserve">clareza ou precisão, desde que essas </w:t>
      </w:r>
      <w:r w:rsidRPr="00C40BD9">
        <w:rPr>
          <w:rFonts w:ascii="Verdana" w:hAnsi="Verdana" w:cs="Verdana"/>
          <w:sz w:val="20"/>
          <w:szCs w:val="20"/>
          <w:lang w:val="pt-BR"/>
        </w:rPr>
        <w:t>considera</w:t>
      </w:r>
      <w:r w:rsidR="00F633DD" w:rsidRPr="00C40BD9">
        <w:rPr>
          <w:rFonts w:ascii="Verdana" w:hAnsi="Verdana" w:cs="Verdana"/>
          <w:sz w:val="20"/>
          <w:szCs w:val="20"/>
          <w:lang w:val="pt-BR"/>
        </w:rPr>
        <w:t>ções</w:t>
      </w:r>
      <w:r w:rsidRPr="00C40BD9">
        <w:rPr>
          <w:rFonts w:ascii="Verdana" w:hAnsi="Verdana" w:cs="Verdana"/>
          <w:sz w:val="20"/>
          <w:szCs w:val="20"/>
          <w:lang w:val="pt-BR"/>
        </w:rPr>
        <w:t xml:space="preserve"> incida</w:t>
      </w:r>
      <w:r w:rsidR="006770ED" w:rsidRPr="00C40BD9">
        <w:rPr>
          <w:rFonts w:ascii="Verdana" w:hAnsi="Verdana" w:cs="Verdana"/>
          <w:sz w:val="20"/>
          <w:szCs w:val="20"/>
          <w:lang w:val="pt-BR"/>
        </w:rPr>
        <w:t xml:space="preserve">m na </w:t>
      </w:r>
      <w:r w:rsidRPr="00C40BD9">
        <w:rPr>
          <w:rFonts w:ascii="Verdana" w:hAnsi="Verdana" w:cs="Verdana"/>
          <w:sz w:val="20"/>
          <w:szCs w:val="20"/>
          <w:lang w:val="pt-BR"/>
        </w:rPr>
        <w:t xml:space="preserve">parte resolutiva </w:t>
      </w:r>
      <w:r w:rsidR="00F633DD" w:rsidRPr="00C40BD9">
        <w:rPr>
          <w:rFonts w:ascii="Verdana" w:hAnsi="Verdana" w:cs="Verdana"/>
          <w:sz w:val="20"/>
          <w:szCs w:val="20"/>
          <w:lang w:val="pt-BR"/>
        </w:rPr>
        <w:t>da Sentença</w:t>
      </w:r>
      <w:r w:rsidR="006770ED" w:rsidRPr="00C40BD9">
        <w:rPr>
          <w:rFonts w:ascii="Verdana" w:hAnsi="Verdana" w:cs="Verdana"/>
          <w:sz w:val="20"/>
          <w:szCs w:val="20"/>
          <w:lang w:val="pt-BR"/>
        </w:rPr>
        <w:t>.</w:t>
      </w:r>
      <w:r w:rsidRPr="00C40BD9">
        <w:rPr>
          <w:rStyle w:val="FootnoteReference"/>
          <w:rFonts w:cs="Verdana"/>
          <w:sz w:val="20"/>
          <w:szCs w:val="20"/>
          <w:lang w:val="pt-BR"/>
        </w:rPr>
        <w:footnoteReference w:id="3"/>
      </w:r>
      <w:r w:rsidRPr="00C40BD9">
        <w:rPr>
          <w:rFonts w:ascii="Verdana" w:hAnsi="Verdana" w:cs="Verdana"/>
          <w:sz w:val="20"/>
          <w:szCs w:val="20"/>
          <w:lang w:val="pt-BR"/>
        </w:rPr>
        <w:t xml:space="preserve"> Portanto,</w:t>
      </w:r>
      <w:r w:rsidR="001F08E6" w:rsidRPr="00C40BD9">
        <w:rPr>
          <w:lang w:val="pt-BR"/>
        </w:rPr>
        <w:t xml:space="preserve"> </w:t>
      </w:r>
      <w:r w:rsidR="00F633DD" w:rsidRPr="00C40BD9">
        <w:rPr>
          <w:rFonts w:ascii="Verdana" w:hAnsi="Verdana" w:cs="Verdana"/>
          <w:sz w:val="20"/>
          <w:szCs w:val="20"/>
          <w:lang w:val="pt-BR"/>
        </w:rPr>
        <w:t xml:space="preserve">em conformidade com o artigo </w:t>
      </w:r>
      <w:r w:rsidR="001F08E6" w:rsidRPr="00C40BD9">
        <w:rPr>
          <w:rFonts w:ascii="Verdana" w:hAnsi="Verdana" w:cs="Verdana"/>
          <w:sz w:val="20"/>
          <w:szCs w:val="20"/>
          <w:lang w:val="pt-BR"/>
        </w:rPr>
        <w:t xml:space="preserve">31.3 </w:t>
      </w:r>
      <w:r w:rsidR="006770ED" w:rsidRPr="00C40BD9">
        <w:rPr>
          <w:rFonts w:ascii="Verdana" w:hAnsi="Verdana" w:cs="Verdana"/>
          <w:sz w:val="20"/>
          <w:szCs w:val="20"/>
          <w:lang w:val="pt-BR"/>
        </w:rPr>
        <w:t>do Regulamento</w:t>
      </w:r>
      <w:r w:rsidR="001F08E6" w:rsidRPr="00C40BD9">
        <w:rPr>
          <w:rFonts w:ascii="Verdana" w:hAnsi="Verdana" w:cs="Verdana"/>
          <w:sz w:val="20"/>
          <w:szCs w:val="20"/>
          <w:lang w:val="pt-BR"/>
        </w:rPr>
        <w:t>,</w:t>
      </w:r>
      <w:r w:rsidRPr="00C40BD9">
        <w:rPr>
          <w:rFonts w:ascii="Verdana" w:hAnsi="Verdana" w:cs="Verdana"/>
          <w:sz w:val="20"/>
          <w:szCs w:val="20"/>
          <w:lang w:val="pt-BR"/>
        </w:rPr>
        <w:t xml:space="preserve"> n</w:t>
      </w:r>
      <w:r w:rsidR="006770ED" w:rsidRPr="00C40BD9">
        <w:rPr>
          <w:rFonts w:ascii="Verdana" w:hAnsi="Verdana" w:cs="Verdana"/>
          <w:sz w:val="20"/>
          <w:szCs w:val="20"/>
          <w:lang w:val="pt-BR"/>
        </w:rPr>
        <w:t>ã</w:t>
      </w:r>
      <w:r w:rsidRPr="00C40BD9">
        <w:rPr>
          <w:rFonts w:ascii="Verdana" w:hAnsi="Verdana" w:cs="Verdana"/>
          <w:sz w:val="20"/>
          <w:szCs w:val="20"/>
          <w:lang w:val="pt-BR"/>
        </w:rPr>
        <w:t xml:space="preserve">o se </w:t>
      </w:r>
      <w:r w:rsidR="006770ED" w:rsidRPr="00C40BD9">
        <w:rPr>
          <w:rFonts w:ascii="Verdana" w:hAnsi="Verdana" w:cs="Verdana"/>
          <w:sz w:val="20"/>
          <w:szCs w:val="20"/>
          <w:lang w:val="pt-BR"/>
        </w:rPr>
        <w:t>pode</w:t>
      </w:r>
      <w:r w:rsidR="00DE316A">
        <w:rPr>
          <w:rFonts w:ascii="Verdana" w:hAnsi="Verdana" w:cs="Verdana"/>
          <w:sz w:val="20"/>
          <w:szCs w:val="20"/>
          <w:lang w:val="pt-BR"/>
        </w:rPr>
        <w:t xml:space="preserve"> </w:t>
      </w:r>
      <w:r w:rsidRPr="00C40BD9">
        <w:rPr>
          <w:rFonts w:ascii="Verdana" w:hAnsi="Verdana" w:cs="Verdana"/>
          <w:sz w:val="20"/>
          <w:szCs w:val="20"/>
          <w:lang w:val="pt-BR"/>
        </w:rPr>
        <w:t>solicitar a modifica</w:t>
      </w:r>
      <w:r w:rsidR="00F633DD" w:rsidRPr="00C40BD9">
        <w:rPr>
          <w:rFonts w:ascii="Verdana" w:hAnsi="Verdana" w:cs="Verdana"/>
          <w:sz w:val="20"/>
          <w:szCs w:val="20"/>
          <w:lang w:val="pt-BR"/>
        </w:rPr>
        <w:t>ção</w:t>
      </w:r>
      <w:r w:rsidRPr="00C40BD9">
        <w:rPr>
          <w:rFonts w:ascii="Verdana" w:hAnsi="Verdana" w:cs="Verdana"/>
          <w:sz w:val="20"/>
          <w:szCs w:val="20"/>
          <w:lang w:val="pt-BR"/>
        </w:rPr>
        <w:t xml:space="preserve"> o</w:t>
      </w:r>
      <w:r w:rsidR="006770ED" w:rsidRPr="00C40BD9">
        <w:rPr>
          <w:rFonts w:ascii="Verdana" w:hAnsi="Verdana" w:cs="Verdana"/>
          <w:sz w:val="20"/>
          <w:szCs w:val="20"/>
          <w:lang w:val="pt-BR"/>
        </w:rPr>
        <w:t>u</w:t>
      </w:r>
      <w:r w:rsidRPr="00C40BD9">
        <w:rPr>
          <w:rFonts w:ascii="Verdana" w:hAnsi="Verdana" w:cs="Verdana"/>
          <w:sz w:val="20"/>
          <w:szCs w:val="20"/>
          <w:lang w:val="pt-BR"/>
        </w:rPr>
        <w:t xml:space="preserve"> anula</w:t>
      </w:r>
      <w:r w:rsidR="00F633DD" w:rsidRPr="00C40BD9">
        <w:rPr>
          <w:rFonts w:ascii="Verdana" w:hAnsi="Verdana" w:cs="Verdana"/>
          <w:sz w:val="20"/>
          <w:szCs w:val="20"/>
          <w:lang w:val="pt-BR"/>
        </w:rPr>
        <w:t>ção</w:t>
      </w:r>
      <w:r w:rsidRPr="00C40BD9">
        <w:rPr>
          <w:rFonts w:ascii="Verdana" w:hAnsi="Verdana" w:cs="Verdana"/>
          <w:sz w:val="20"/>
          <w:szCs w:val="20"/>
          <w:lang w:val="pt-BR"/>
        </w:rPr>
        <w:t xml:space="preserve"> </w:t>
      </w:r>
      <w:r w:rsidR="00F633DD" w:rsidRPr="00C40BD9">
        <w:rPr>
          <w:rFonts w:ascii="Verdana" w:hAnsi="Verdana" w:cs="Verdana"/>
          <w:sz w:val="20"/>
          <w:szCs w:val="20"/>
          <w:lang w:val="pt-BR"/>
        </w:rPr>
        <w:t xml:space="preserve">da </w:t>
      </w:r>
      <w:r w:rsidR="00C06A9B" w:rsidRPr="00C40BD9">
        <w:rPr>
          <w:rFonts w:ascii="Verdana" w:hAnsi="Verdana" w:cs="Verdana"/>
          <w:sz w:val="20"/>
          <w:szCs w:val="20"/>
          <w:lang w:val="pt-BR"/>
        </w:rPr>
        <w:t>sentença</w:t>
      </w:r>
      <w:r w:rsidR="00DE316A">
        <w:rPr>
          <w:rFonts w:ascii="Verdana" w:hAnsi="Verdana" w:cs="Verdana"/>
          <w:sz w:val="20"/>
          <w:szCs w:val="20"/>
          <w:lang w:val="pt-BR"/>
        </w:rPr>
        <w:t xml:space="preserve"> </w:t>
      </w:r>
      <w:r w:rsidRPr="00C40BD9">
        <w:rPr>
          <w:rFonts w:ascii="Verdana" w:hAnsi="Verdana" w:cs="Verdana"/>
          <w:sz w:val="20"/>
          <w:szCs w:val="20"/>
          <w:lang w:val="pt-BR"/>
        </w:rPr>
        <w:t xml:space="preserve">respectiva </w:t>
      </w:r>
      <w:r w:rsidR="006770ED" w:rsidRPr="00C40BD9">
        <w:rPr>
          <w:rFonts w:ascii="Verdana" w:hAnsi="Verdana" w:cs="Verdana"/>
          <w:sz w:val="20"/>
          <w:szCs w:val="20"/>
          <w:lang w:val="pt-BR"/>
        </w:rPr>
        <w:t>por meio de uma</w:t>
      </w:r>
      <w:r w:rsidR="00DE316A">
        <w:rPr>
          <w:rFonts w:ascii="Verdana" w:hAnsi="Verdana" w:cs="Verdana"/>
          <w:sz w:val="20"/>
          <w:szCs w:val="20"/>
          <w:lang w:val="pt-BR"/>
        </w:rPr>
        <w:t xml:space="preserve"> </w:t>
      </w:r>
      <w:r w:rsidR="00C06A9B" w:rsidRPr="00C40BD9">
        <w:rPr>
          <w:rFonts w:ascii="Verdana" w:hAnsi="Verdana" w:cs="Verdana"/>
          <w:sz w:val="20"/>
          <w:szCs w:val="20"/>
          <w:lang w:val="pt-BR"/>
        </w:rPr>
        <w:t>solicitação</w:t>
      </w:r>
      <w:r w:rsidR="00DE316A">
        <w:rPr>
          <w:rFonts w:ascii="Verdana" w:hAnsi="Verdana" w:cs="Verdana"/>
          <w:sz w:val="20"/>
          <w:szCs w:val="20"/>
          <w:lang w:val="pt-BR"/>
        </w:rPr>
        <w:t xml:space="preserve"> </w:t>
      </w:r>
      <w:r w:rsidRPr="00C40BD9">
        <w:rPr>
          <w:rFonts w:ascii="Verdana" w:hAnsi="Verdana" w:cs="Verdana"/>
          <w:sz w:val="20"/>
          <w:szCs w:val="20"/>
          <w:lang w:val="pt-BR"/>
        </w:rPr>
        <w:t>de interpreta</w:t>
      </w:r>
      <w:r w:rsidR="00F633DD" w:rsidRPr="00C40BD9">
        <w:rPr>
          <w:rFonts w:ascii="Verdana" w:hAnsi="Verdana" w:cs="Verdana"/>
          <w:sz w:val="20"/>
          <w:szCs w:val="20"/>
          <w:lang w:val="pt-BR"/>
        </w:rPr>
        <w:t>ção</w:t>
      </w:r>
      <w:r w:rsidR="006770ED" w:rsidRPr="00C40BD9">
        <w:rPr>
          <w:rFonts w:ascii="Verdana" w:hAnsi="Verdana" w:cs="Verdana"/>
          <w:sz w:val="20"/>
          <w:szCs w:val="20"/>
          <w:lang w:val="pt-BR"/>
        </w:rPr>
        <w:t>.</w:t>
      </w:r>
      <w:r w:rsidRPr="00C40BD9">
        <w:rPr>
          <w:rStyle w:val="FootnoteReference"/>
          <w:rFonts w:cs="Verdana"/>
          <w:sz w:val="20"/>
          <w:szCs w:val="20"/>
          <w:lang w:val="pt-BR"/>
        </w:rPr>
        <w:footnoteReference w:id="4"/>
      </w:r>
      <w:r w:rsidRPr="00C40BD9">
        <w:rPr>
          <w:rFonts w:ascii="Verdana" w:hAnsi="Verdana" w:cs="Verdana"/>
          <w:sz w:val="20"/>
          <w:szCs w:val="20"/>
          <w:lang w:val="pt-BR"/>
        </w:rPr>
        <w:t xml:space="preserve"> </w:t>
      </w:r>
    </w:p>
    <w:p w:rsidR="0074017B" w:rsidRPr="00C40BD9" w:rsidRDefault="0074017B" w:rsidP="00A82FB4">
      <w:pPr>
        <w:pStyle w:val="ListParagraph"/>
        <w:spacing w:after="0" w:line="240" w:lineRule="auto"/>
        <w:contextualSpacing w:val="0"/>
        <w:rPr>
          <w:rFonts w:ascii="Verdana" w:hAnsi="Verdana" w:cs="Verdana"/>
          <w:sz w:val="20"/>
          <w:szCs w:val="20"/>
          <w:lang w:val="pt-BR"/>
        </w:rPr>
      </w:pPr>
    </w:p>
    <w:p w:rsidR="00186DA5" w:rsidRPr="00C40BD9" w:rsidRDefault="006770ED" w:rsidP="00A82FB4">
      <w:pPr>
        <w:pStyle w:val="ListParagraph"/>
        <w:numPr>
          <w:ilvl w:val="0"/>
          <w:numId w:val="2"/>
        </w:numPr>
        <w:tabs>
          <w:tab w:val="clear" w:pos="1247"/>
        </w:tabs>
        <w:autoSpaceDE w:val="0"/>
        <w:autoSpaceDN w:val="0"/>
        <w:adjustRightInd w:val="0"/>
        <w:spacing w:after="0" w:line="240" w:lineRule="auto"/>
        <w:contextualSpacing w:val="0"/>
        <w:jc w:val="both"/>
        <w:rPr>
          <w:rFonts w:ascii="Verdana" w:hAnsi="Verdana" w:cs="Verdana"/>
          <w:sz w:val="20"/>
          <w:szCs w:val="20"/>
          <w:lang w:val="pt-BR"/>
        </w:rPr>
      </w:pPr>
      <w:r w:rsidRPr="00C40BD9">
        <w:rPr>
          <w:rFonts w:ascii="Verdana" w:hAnsi="Verdana" w:cs="Verdana"/>
          <w:sz w:val="20"/>
          <w:szCs w:val="20"/>
          <w:lang w:val="pt-BR"/>
        </w:rPr>
        <w:t>Além disso</w:t>
      </w:r>
      <w:r w:rsidR="0074017B" w:rsidRPr="00C40BD9">
        <w:rPr>
          <w:rFonts w:ascii="Verdana" w:hAnsi="Verdana" w:cs="Verdana"/>
          <w:sz w:val="20"/>
          <w:szCs w:val="20"/>
          <w:lang w:val="pt-BR"/>
        </w:rPr>
        <w:t xml:space="preserve">, a Corte </w:t>
      </w:r>
      <w:r w:rsidRPr="00C40BD9">
        <w:rPr>
          <w:rFonts w:ascii="Verdana" w:hAnsi="Verdana" w:cs="Verdana"/>
          <w:sz w:val="20"/>
          <w:szCs w:val="20"/>
          <w:lang w:val="pt-BR"/>
        </w:rPr>
        <w:t xml:space="preserve">confirmou a </w:t>
      </w:r>
      <w:r w:rsidR="0074017B" w:rsidRPr="00C40BD9">
        <w:rPr>
          <w:rFonts w:ascii="Verdana" w:hAnsi="Verdana" w:cs="Verdana"/>
          <w:sz w:val="20"/>
          <w:szCs w:val="20"/>
          <w:lang w:val="pt-BR"/>
        </w:rPr>
        <w:t>improced</w:t>
      </w:r>
      <w:r w:rsidRPr="00C40BD9">
        <w:rPr>
          <w:rFonts w:ascii="Verdana" w:hAnsi="Verdana" w:cs="Verdana"/>
          <w:sz w:val="20"/>
          <w:szCs w:val="20"/>
          <w:lang w:val="pt-BR"/>
        </w:rPr>
        <w:t>ê</w:t>
      </w:r>
      <w:r w:rsidR="0074017B" w:rsidRPr="00C40BD9">
        <w:rPr>
          <w:rFonts w:ascii="Verdana" w:hAnsi="Verdana" w:cs="Verdana"/>
          <w:sz w:val="20"/>
          <w:szCs w:val="20"/>
          <w:lang w:val="pt-BR"/>
        </w:rPr>
        <w:t>ncia d</w:t>
      </w:r>
      <w:r w:rsidRPr="00C40BD9">
        <w:rPr>
          <w:rFonts w:ascii="Verdana" w:hAnsi="Verdana" w:cs="Verdana"/>
          <w:sz w:val="20"/>
          <w:szCs w:val="20"/>
          <w:lang w:val="pt-BR"/>
        </w:rPr>
        <w:t>a</w:t>
      </w:r>
      <w:r w:rsidR="0074017B" w:rsidRPr="00C40BD9">
        <w:rPr>
          <w:rFonts w:ascii="Verdana" w:hAnsi="Verdana" w:cs="Verdana"/>
          <w:sz w:val="20"/>
          <w:szCs w:val="20"/>
          <w:lang w:val="pt-BR"/>
        </w:rPr>
        <w:t xml:space="preserve"> </w:t>
      </w:r>
      <w:r w:rsidRPr="00C40BD9">
        <w:rPr>
          <w:rFonts w:ascii="Verdana" w:hAnsi="Verdana" w:cs="Verdana"/>
          <w:sz w:val="20"/>
          <w:szCs w:val="20"/>
          <w:lang w:val="pt-BR"/>
        </w:rPr>
        <w:t>utilização de uma</w:t>
      </w:r>
      <w:r w:rsidR="00DE316A">
        <w:rPr>
          <w:rFonts w:ascii="Verdana" w:hAnsi="Verdana" w:cs="Verdana"/>
          <w:sz w:val="20"/>
          <w:szCs w:val="20"/>
          <w:lang w:val="pt-BR"/>
        </w:rPr>
        <w:t xml:space="preserve"> </w:t>
      </w:r>
      <w:r w:rsidR="00C06A9B" w:rsidRPr="00C40BD9">
        <w:rPr>
          <w:rFonts w:ascii="Verdana" w:hAnsi="Verdana" w:cs="Verdana"/>
          <w:sz w:val="20"/>
          <w:szCs w:val="20"/>
          <w:lang w:val="pt-BR"/>
        </w:rPr>
        <w:t>solicitação</w:t>
      </w:r>
      <w:r w:rsidR="00DE316A">
        <w:rPr>
          <w:rFonts w:ascii="Verdana" w:hAnsi="Verdana" w:cs="Verdana"/>
          <w:sz w:val="20"/>
          <w:szCs w:val="20"/>
          <w:lang w:val="pt-BR"/>
        </w:rPr>
        <w:t xml:space="preserve"> </w:t>
      </w:r>
      <w:r w:rsidR="0074017B" w:rsidRPr="00C40BD9">
        <w:rPr>
          <w:rFonts w:ascii="Verdana" w:hAnsi="Verdana" w:cs="Verdana"/>
          <w:sz w:val="20"/>
          <w:szCs w:val="20"/>
          <w:lang w:val="pt-BR"/>
        </w:rPr>
        <w:t>de interpreta</w:t>
      </w:r>
      <w:r w:rsidR="00F633DD" w:rsidRPr="00C40BD9">
        <w:rPr>
          <w:rFonts w:ascii="Verdana" w:hAnsi="Verdana" w:cs="Verdana"/>
          <w:sz w:val="20"/>
          <w:szCs w:val="20"/>
          <w:lang w:val="pt-BR"/>
        </w:rPr>
        <w:t>ção</w:t>
      </w:r>
      <w:r w:rsidR="0074017B" w:rsidRPr="00C40BD9">
        <w:rPr>
          <w:rFonts w:ascii="Verdana" w:hAnsi="Verdana" w:cs="Verdana"/>
          <w:sz w:val="20"/>
          <w:szCs w:val="20"/>
          <w:lang w:val="pt-BR"/>
        </w:rPr>
        <w:t xml:space="preserve"> para </w:t>
      </w:r>
      <w:r w:rsidRPr="00C40BD9">
        <w:rPr>
          <w:rFonts w:ascii="Verdana" w:hAnsi="Verdana" w:cs="Verdana"/>
          <w:sz w:val="20"/>
          <w:szCs w:val="20"/>
          <w:lang w:val="pt-BR"/>
        </w:rPr>
        <w:t>submeter questões de fato e de direito</w:t>
      </w:r>
      <w:r w:rsidR="00DE316A">
        <w:rPr>
          <w:rFonts w:ascii="Verdana" w:hAnsi="Verdana" w:cs="Verdana"/>
          <w:sz w:val="20"/>
          <w:szCs w:val="20"/>
          <w:lang w:val="pt-BR"/>
        </w:rPr>
        <w:t xml:space="preserve"> </w:t>
      </w:r>
      <w:r w:rsidRPr="00C40BD9">
        <w:rPr>
          <w:rFonts w:ascii="Verdana" w:hAnsi="Verdana" w:cs="Verdana"/>
          <w:sz w:val="20"/>
          <w:szCs w:val="20"/>
          <w:lang w:val="pt-BR"/>
        </w:rPr>
        <w:t xml:space="preserve">já suscitadas na devida oportunidade </w:t>
      </w:r>
      <w:r w:rsidR="0074017B" w:rsidRPr="00C40BD9">
        <w:rPr>
          <w:rFonts w:ascii="Verdana" w:hAnsi="Verdana" w:cs="Verdana"/>
          <w:sz w:val="20"/>
          <w:szCs w:val="20"/>
          <w:lang w:val="pt-BR"/>
        </w:rPr>
        <w:t>proces</w:t>
      </w:r>
      <w:r w:rsidRPr="00C40BD9">
        <w:rPr>
          <w:rFonts w:ascii="Verdana" w:hAnsi="Verdana" w:cs="Verdana"/>
          <w:sz w:val="20"/>
          <w:szCs w:val="20"/>
          <w:lang w:val="pt-BR"/>
        </w:rPr>
        <w:t>su</w:t>
      </w:r>
      <w:r w:rsidR="0074017B" w:rsidRPr="00C40BD9">
        <w:rPr>
          <w:rFonts w:ascii="Verdana" w:hAnsi="Verdana" w:cs="Verdana"/>
          <w:sz w:val="20"/>
          <w:szCs w:val="20"/>
          <w:lang w:val="pt-BR"/>
        </w:rPr>
        <w:t>al</w:t>
      </w:r>
      <w:r w:rsidR="00D13234">
        <w:rPr>
          <w:rFonts w:ascii="Verdana" w:hAnsi="Verdana" w:cs="Verdana"/>
          <w:sz w:val="20"/>
          <w:szCs w:val="20"/>
          <w:lang w:val="pt-BR"/>
        </w:rPr>
        <w:t>,</w:t>
      </w:r>
      <w:r w:rsidR="0074017B" w:rsidRPr="00C40BD9">
        <w:rPr>
          <w:rFonts w:ascii="Verdana" w:hAnsi="Verdana" w:cs="Verdana"/>
          <w:sz w:val="20"/>
          <w:szCs w:val="20"/>
          <w:lang w:val="pt-BR"/>
        </w:rPr>
        <w:t xml:space="preserve">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0074017B" w:rsidRPr="00C40BD9">
        <w:rPr>
          <w:rFonts w:ascii="Verdana" w:hAnsi="Verdana" w:cs="Verdana"/>
          <w:sz w:val="20"/>
          <w:szCs w:val="20"/>
          <w:lang w:val="pt-BR"/>
        </w:rPr>
        <w:t xml:space="preserve">sobre as </w:t>
      </w:r>
      <w:r w:rsidRPr="00C40BD9">
        <w:rPr>
          <w:rFonts w:ascii="Verdana" w:hAnsi="Verdana" w:cs="Verdana"/>
          <w:sz w:val="20"/>
          <w:szCs w:val="20"/>
          <w:lang w:val="pt-BR"/>
        </w:rPr>
        <w:t>q</w:t>
      </w:r>
      <w:r w:rsidR="0074017B" w:rsidRPr="00C40BD9">
        <w:rPr>
          <w:rFonts w:ascii="Verdana" w:hAnsi="Verdana" w:cs="Verdana"/>
          <w:sz w:val="20"/>
          <w:szCs w:val="20"/>
          <w:lang w:val="pt-BR"/>
        </w:rPr>
        <w:t>u</w:t>
      </w:r>
      <w:r w:rsidR="00C06A9B" w:rsidRPr="00C40BD9">
        <w:rPr>
          <w:rFonts w:ascii="Verdana" w:hAnsi="Verdana" w:cs="Verdana"/>
          <w:sz w:val="20"/>
          <w:szCs w:val="20"/>
          <w:lang w:val="pt-BR"/>
        </w:rPr>
        <w:t>ais</w:t>
      </w:r>
      <w:r w:rsidR="00DE316A">
        <w:rPr>
          <w:rFonts w:ascii="Verdana" w:hAnsi="Verdana" w:cs="Verdana"/>
          <w:sz w:val="20"/>
          <w:szCs w:val="20"/>
          <w:lang w:val="pt-BR"/>
        </w:rPr>
        <w:t xml:space="preserve"> </w:t>
      </w:r>
      <w:r w:rsidR="0074017B" w:rsidRPr="00C40BD9">
        <w:rPr>
          <w:rFonts w:ascii="Verdana" w:hAnsi="Verdana" w:cs="Verdana"/>
          <w:sz w:val="20"/>
          <w:szCs w:val="20"/>
          <w:lang w:val="pt-BR"/>
        </w:rPr>
        <w:t xml:space="preserve">a Corte </w:t>
      </w:r>
      <w:r w:rsidRPr="00C40BD9">
        <w:rPr>
          <w:rFonts w:ascii="Verdana" w:hAnsi="Verdana" w:cs="Verdana"/>
          <w:sz w:val="20"/>
          <w:szCs w:val="20"/>
          <w:lang w:val="pt-BR"/>
        </w:rPr>
        <w:t xml:space="preserve">já </w:t>
      </w:r>
      <w:r w:rsidR="00EB6DD1">
        <w:rPr>
          <w:rFonts w:ascii="Verdana" w:hAnsi="Verdana" w:cs="Verdana"/>
          <w:sz w:val="20"/>
          <w:szCs w:val="20"/>
          <w:lang w:val="pt-BR"/>
        </w:rPr>
        <w:t>decidiu</w:t>
      </w:r>
      <w:r w:rsidRPr="00C40BD9">
        <w:rPr>
          <w:rFonts w:ascii="Verdana" w:hAnsi="Verdana" w:cs="Verdana"/>
          <w:sz w:val="20"/>
          <w:szCs w:val="20"/>
          <w:lang w:val="pt-BR"/>
        </w:rPr>
        <w:t>,</w:t>
      </w:r>
      <w:r w:rsidR="0074017B" w:rsidRPr="00C40BD9">
        <w:rPr>
          <w:rStyle w:val="FootnoteReference"/>
          <w:rFonts w:cs="Verdana"/>
          <w:sz w:val="20"/>
          <w:szCs w:val="20"/>
          <w:lang w:val="pt-BR"/>
        </w:rPr>
        <w:footnoteReference w:id="5"/>
      </w:r>
      <w:r w:rsidR="0074017B" w:rsidRPr="00C40BD9">
        <w:rPr>
          <w:rFonts w:ascii="Verdana" w:hAnsi="Verdana" w:cs="Verdana"/>
          <w:sz w:val="20"/>
          <w:szCs w:val="20"/>
          <w:lang w:val="pt-BR"/>
        </w:rPr>
        <w:t xml:space="preserve"> </w:t>
      </w:r>
      <w:r w:rsidRPr="00C40BD9">
        <w:rPr>
          <w:rFonts w:ascii="Verdana" w:hAnsi="Verdana" w:cs="Verdana"/>
          <w:sz w:val="20"/>
          <w:szCs w:val="20"/>
          <w:lang w:val="pt-BR"/>
        </w:rPr>
        <w:t>bem</w:t>
      </w:r>
      <w:r w:rsidR="0074017B" w:rsidRPr="00C40BD9">
        <w:rPr>
          <w:rFonts w:ascii="Verdana" w:hAnsi="Verdana" w:cs="Verdana"/>
          <w:sz w:val="20"/>
          <w:szCs w:val="20"/>
          <w:lang w:val="pt-BR"/>
        </w:rPr>
        <w:t xml:space="preserve"> como para pretender que a Corte </w:t>
      </w:r>
      <w:r w:rsidRPr="00C40BD9">
        <w:rPr>
          <w:rFonts w:ascii="Verdana" w:hAnsi="Verdana" w:cs="Verdana"/>
          <w:sz w:val="20"/>
          <w:szCs w:val="20"/>
          <w:lang w:val="pt-BR"/>
        </w:rPr>
        <w:t xml:space="preserve">avalie novamente questões que já foram por ela solucionadas na </w:t>
      </w:r>
      <w:r w:rsidR="00C06A9B" w:rsidRPr="00C40BD9">
        <w:rPr>
          <w:rFonts w:ascii="Verdana" w:hAnsi="Verdana" w:cs="Verdana"/>
          <w:sz w:val="20"/>
          <w:szCs w:val="20"/>
          <w:lang w:val="pt-BR"/>
        </w:rPr>
        <w:t>sentença</w:t>
      </w:r>
      <w:r w:rsidRPr="00C40BD9">
        <w:rPr>
          <w:rFonts w:ascii="Verdana" w:hAnsi="Verdana" w:cs="Verdana"/>
          <w:sz w:val="20"/>
          <w:szCs w:val="20"/>
          <w:lang w:val="pt-BR"/>
        </w:rPr>
        <w:t>.</w:t>
      </w:r>
      <w:r w:rsidR="0074017B" w:rsidRPr="00C40BD9">
        <w:rPr>
          <w:rStyle w:val="FootnoteReference"/>
          <w:rFonts w:cs="Verdana"/>
          <w:sz w:val="20"/>
          <w:szCs w:val="20"/>
          <w:lang w:val="pt-BR"/>
        </w:rPr>
        <w:footnoteReference w:id="6"/>
      </w:r>
      <w:r w:rsidR="0074017B" w:rsidRPr="00C40BD9">
        <w:rPr>
          <w:rFonts w:ascii="Verdana" w:hAnsi="Verdana" w:cs="Verdana"/>
          <w:sz w:val="20"/>
          <w:szCs w:val="20"/>
          <w:lang w:val="pt-BR"/>
        </w:rPr>
        <w:t xml:space="preserve"> D</w:t>
      </w:r>
      <w:r w:rsidRPr="00C40BD9">
        <w:rPr>
          <w:rFonts w:ascii="Verdana" w:hAnsi="Verdana" w:cs="Verdana"/>
          <w:sz w:val="20"/>
          <w:szCs w:val="20"/>
          <w:lang w:val="pt-BR"/>
        </w:rPr>
        <w:t xml:space="preserve">o </w:t>
      </w:r>
      <w:r w:rsidRPr="00C40BD9">
        <w:rPr>
          <w:rFonts w:ascii="Verdana" w:hAnsi="Verdana" w:cs="Verdana"/>
          <w:sz w:val="20"/>
          <w:szCs w:val="20"/>
          <w:lang w:val="pt-BR"/>
        </w:rPr>
        <w:lastRenderedPageBreak/>
        <w:t>mesmo modo</w:t>
      </w:r>
      <w:r w:rsidR="0074017B" w:rsidRPr="00C40BD9">
        <w:rPr>
          <w:rFonts w:ascii="Verdana" w:hAnsi="Verdana" w:cs="Verdana"/>
          <w:sz w:val="20"/>
          <w:szCs w:val="20"/>
          <w:lang w:val="pt-BR"/>
        </w:rPr>
        <w:t>, por es</w:t>
      </w:r>
      <w:r w:rsidRPr="00C40BD9">
        <w:rPr>
          <w:rFonts w:ascii="Verdana" w:hAnsi="Verdana" w:cs="Verdana"/>
          <w:sz w:val="20"/>
          <w:szCs w:val="20"/>
          <w:lang w:val="pt-BR"/>
        </w:rPr>
        <w:t xml:space="preserve">se meio tampouco </w:t>
      </w:r>
      <w:r w:rsidR="0074017B" w:rsidRPr="00C40BD9">
        <w:rPr>
          <w:rFonts w:ascii="Verdana" w:hAnsi="Verdana" w:cs="Verdana"/>
          <w:sz w:val="20"/>
          <w:szCs w:val="20"/>
          <w:lang w:val="pt-BR"/>
        </w:rPr>
        <w:t xml:space="preserve">se </w:t>
      </w:r>
      <w:r w:rsidRPr="00C40BD9">
        <w:rPr>
          <w:rFonts w:ascii="Verdana" w:hAnsi="Verdana" w:cs="Verdana"/>
          <w:sz w:val="20"/>
          <w:szCs w:val="20"/>
          <w:lang w:val="pt-BR"/>
        </w:rPr>
        <w:t>pode</w:t>
      </w:r>
      <w:r w:rsidR="00DE316A">
        <w:rPr>
          <w:rFonts w:ascii="Verdana" w:hAnsi="Verdana" w:cs="Verdana"/>
          <w:sz w:val="20"/>
          <w:szCs w:val="20"/>
          <w:lang w:val="pt-BR"/>
        </w:rPr>
        <w:t xml:space="preserve"> </w:t>
      </w:r>
      <w:r w:rsidR="0074017B" w:rsidRPr="00C40BD9">
        <w:rPr>
          <w:rFonts w:ascii="Verdana" w:hAnsi="Verdana" w:cs="Verdana"/>
          <w:sz w:val="20"/>
          <w:szCs w:val="20"/>
          <w:lang w:val="pt-BR"/>
        </w:rPr>
        <w:t xml:space="preserve">tentar </w:t>
      </w:r>
      <w:r w:rsidR="00292536">
        <w:rPr>
          <w:rFonts w:ascii="Verdana" w:hAnsi="Verdana" w:cs="Verdana"/>
          <w:sz w:val="20"/>
          <w:szCs w:val="20"/>
          <w:lang w:val="pt-BR"/>
        </w:rPr>
        <w:t xml:space="preserve">ampliar </w:t>
      </w:r>
      <w:r w:rsidRPr="00C40BD9">
        <w:rPr>
          <w:rFonts w:ascii="Verdana" w:hAnsi="Verdana" w:cs="Verdana"/>
          <w:sz w:val="20"/>
          <w:szCs w:val="20"/>
          <w:lang w:val="pt-BR"/>
        </w:rPr>
        <w:t>o</w:t>
      </w:r>
      <w:r w:rsidR="0074017B" w:rsidRPr="00C40BD9">
        <w:rPr>
          <w:rFonts w:ascii="Verdana" w:hAnsi="Verdana" w:cs="Verdana"/>
          <w:sz w:val="20"/>
          <w:szCs w:val="20"/>
          <w:lang w:val="pt-BR"/>
        </w:rPr>
        <w:t xml:space="preserve"> alcance de </w:t>
      </w:r>
      <w:r w:rsidRPr="00C40BD9">
        <w:rPr>
          <w:rFonts w:ascii="Verdana" w:hAnsi="Verdana" w:cs="Verdana"/>
          <w:sz w:val="20"/>
          <w:szCs w:val="20"/>
          <w:lang w:val="pt-BR"/>
        </w:rPr>
        <w:t>uma</w:t>
      </w:r>
      <w:r w:rsidR="00DE316A">
        <w:rPr>
          <w:rFonts w:ascii="Verdana" w:hAnsi="Verdana" w:cs="Verdana"/>
          <w:sz w:val="20"/>
          <w:szCs w:val="20"/>
          <w:lang w:val="pt-BR"/>
        </w:rPr>
        <w:t xml:space="preserve"> </w:t>
      </w:r>
      <w:r w:rsidR="0074017B" w:rsidRPr="00C40BD9">
        <w:rPr>
          <w:rFonts w:ascii="Verdana" w:hAnsi="Verdana" w:cs="Verdana"/>
          <w:sz w:val="20"/>
          <w:szCs w:val="20"/>
          <w:lang w:val="pt-BR"/>
        </w:rPr>
        <w:t>medida de repara</w:t>
      </w:r>
      <w:r w:rsidR="00F633DD" w:rsidRPr="00C40BD9">
        <w:rPr>
          <w:rFonts w:ascii="Verdana" w:hAnsi="Verdana" w:cs="Verdana"/>
          <w:sz w:val="20"/>
          <w:szCs w:val="20"/>
          <w:lang w:val="pt-BR"/>
        </w:rPr>
        <w:t>ção</w:t>
      </w:r>
      <w:r w:rsidR="0074017B" w:rsidRPr="00C40BD9">
        <w:rPr>
          <w:rFonts w:ascii="Verdana" w:hAnsi="Verdana" w:cs="Verdana"/>
          <w:sz w:val="20"/>
          <w:szCs w:val="20"/>
          <w:lang w:val="pt-BR"/>
        </w:rPr>
        <w:t xml:space="preserve"> ordenada oportunamente</w:t>
      </w:r>
      <w:r w:rsidRPr="00C40BD9">
        <w:rPr>
          <w:rFonts w:ascii="Verdana" w:hAnsi="Verdana" w:cs="Verdana"/>
          <w:sz w:val="20"/>
          <w:szCs w:val="20"/>
          <w:lang w:val="pt-BR"/>
        </w:rPr>
        <w:t>.</w:t>
      </w:r>
      <w:r w:rsidR="0074017B" w:rsidRPr="00C40BD9">
        <w:rPr>
          <w:rStyle w:val="FootnoteReference"/>
          <w:rFonts w:cs="Verdana"/>
          <w:sz w:val="20"/>
          <w:szCs w:val="20"/>
          <w:lang w:val="pt-BR"/>
        </w:rPr>
        <w:footnoteReference w:id="7"/>
      </w:r>
      <w:r w:rsidR="0074017B" w:rsidRPr="00C40BD9">
        <w:rPr>
          <w:rFonts w:ascii="Verdana" w:hAnsi="Verdana" w:cs="Verdana"/>
          <w:sz w:val="20"/>
          <w:szCs w:val="20"/>
          <w:lang w:val="pt-BR"/>
        </w:rPr>
        <w:t xml:space="preserve"> </w:t>
      </w:r>
    </w:p>
    <w:p w:rsidR="00BF616B" w:rsidRPr="00C40BD9" w:rsidRDefault="00BF616B" w:rsidP="00A82FB4">
      <w:pPr>
        <w:pStyle w:val="ListParagraph"/>
        <w:autoSpaceDE w:val="0"/>
        <w:autoSpaceDN w:val="0"/>
        <w:adjustRightInd w:val="0"/>
        <w:spacing w:after="0" w:line="240" w:lineRule="auto"/>
        <w:ind w:left="0"/>
        <w:contextualSpacing w:val="0"/>
        <w:jc w:val="both"/>
        <w:rPr>
          <w:rFonts w:ascii="Verdana" w:hAnsi="Verdana" w:cs="Verdana"/>
          <w:sz w:val="20"/>
          <w:szCs w:val="20"/>
          <w:lang w:val="pt-BR"/>
        </w:rPr>
      </w:pPr>
    </w:p>
    <w:p w:rsidR="0074017B" w:rsidRPr="00C40BD9" w:rsidRDefault="00036A1B" w:rsidP="00A82FB4">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pt-BR"/>
        </w:rPr>
      </w:pPr>
      <w:r w:rsidRPr="00EB6DD1">
        <w:rPr>
          <w:rFonts w:ascii="Verdana" w:hAnsi="Verdana" w:cs="Verdana"/>
          <w:sz w:val="20"/>
          <w:szCs w:val="20"/>
          <w:lang w:val="pt-BR"/>
        </w:rPr>
        <w:t>Nesse</w:t>
      </w:r>
      <w:r w:rsidR="0074017B" w:rsidRPr="00C40BD9">
        <w:rPr>
          <w:rFonts w:ascii="Verdana" w:hAnsi="Verdana" w:cs="Verdana"/>
          <w:sz w:val="20"/>
          <w:szCs w:val="20"/>
          <w:lang w:val="pt-BR"/>
        </w:rPr>
        <w:t xml:space="preserve"> </w:t>
      </w:r>
      <w:r w:rsidRPr="00C40BD9">
        <w:rPr>
          <w:rFonts w:ascii="Verdana" w:hAnsi="Verdana" w:cs="Verdana"/>
          <w:sz w:val="20"/>
          <w:szCs w:val="20"/>
          <w:lang w:val="pt-BR"/>
        </w:rPr>
        <w:t>entendimento</w:t>
      </w:r>
      <w:r w:rsidR="0074017B" w:rsidRPr="00C40BD9">
        <w:rPr>
          <w:rFonts w:ascii="Verdana" w:hAnsi="Verdana" w:cs="Verdana"/>
          <w:sz w:val="20"/>
          <w:szCs w:val="20"/>
          <w:lang w:val="pt-BR"/>
        </w:rPr>
        <w:t xml:space="preserve">, </w:t>
      </w:r>
      <w:r w:rsidRPr="00C40BD9">
        <w:rPr>
          <w:rFonts w:ascii="Verdana" w:hAnsi="Verdana" w:cs="Verdana"/>
          <w:sz w:val="20"/>
          <w:szCs w:val="20"/>
          <w:lang w:val="pt-BR"/>
        </w:rPr>
        <w:t xml:space="preserve">a Corte </w:t>
      </w:r>
      <w:r w:rsidR="0074017B" w:rsidRPr="00C40BD9">
        <w:rPr>
          <w:rFonts w:ascii="Verdana" w:hAnsi="Verdana" w:cs="Verdana"/>
          <w:sz w:val="20"/>
          <w:szCs w:val="20"/>
          <w:lang w:val="pt-BR"/>
        </w:rPr>
        <w:t xml:space="preserve">examinará as </w:t>
      </w:r>
      <w:r w:rsidRPr="00C40BD9">
        <w:rPr>
          <w:rFonts w:ascii="Verdana" w:hAnsi="Verdana" w:cs="Verdana"/>
          <w:sz w:val="20"/>
          <w:szCs w:val="20"/>
          <w:lang w:val="pt-BR"/>
        </w:rPr>
        <w:t>questões apresentadas</w:t>
      </w:r>
      <w:r w:rsidR="0074017B" w:rsidRPr="00C40BD9">
        <w:rPr>
          <w:rFonts w:ascii="Verdana" w:hAnsi="Verdana" w:cs="Verdana"/>
          <w:sz w:val="20"/>
          <w:szCs w:val="20"/>
          <w:lang w:val="pt-BR"/>
        </w:rPr>
        <w:t xml:space="preserve"> </w:t>
      </w:r>
      <w:r w:rsidRPr="00C40BD9">
        <w:rPr>
          <w:rFonts w:ascii="Verdana" w:hAnsi="Verdana" w:cs="Verdana"/>
          <w:sz w:val="20"/>
          <w:szCs w:val="20"/>
          <w:lang w:val="pt-BR"/>
        </w:rPr>
        <w:t xml:space="preserve">pelo </w:t>
      </w:r>
      <w:r w:rsidR="0074017B" w:rsidRPr="00C40BD9">
        <w:rPr>
          <w:rFonts w:ascii="Verdana" w:hAnsi="Verdana" w:cs="Verdana"/>
          <w:sz w:val="20"/>
          <w:szCs w:val="20"/>
          <w:lang w:val="pt-BR"/>
        </w:rPr>
        <w:t>Estado</w:t>
      </w:r>
      <w:r w:rsidR="00186DA5" w:rsidRPr="00C40BD9">
        <w:rPr>
          <w:rFonts w:ascii="Verdana" w:hAnsi="Verdana" w:cs="Verdana"/>
          <w:sz w:val="20"/>
          <w:szCs w:val="20"/>
          <w:lang w:val="pt-BR"/>
        </w:rPr>
        <w:t xml:space="preserve">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Pr="00C40BD9">
        <w:rPr>
          <w:rFonts w:ascii="Verdana" w:hAnsi="Verdana" w:cs="Verdana"/>
          <w:sz w:val="20"/>
          <w:szCs w:val="20"/>
          <w:lang w:val="pt-BR"/>
        </w:rPr>
        <w:t xml:space="preserve">pelos </w:t>
      </w:r>
      <w:r w:rsidR="00C06A9B" w:rsidRPr="00C40BD9">
        <w:rPr>
          <w:rFonts w:ascii="Verdana" w:hAnsi="Verdana" w:cs="Verdana"/>
          <w:sz w:val="20"/>
          <w:szCs w:val="20"/>
          <w:lang w:val="pt-BR"/>
        </w:rPr>
        <w:t xml:space="preserve">representantes </w:t>
      </w:r>
      <w:r w:rsidR="000814BE" w:rsidRPr="00C40BD9">
        <w:rPr>
          <w:rFonts w:ascii="Verdana" w:hAnsi="Verdana" w:cs="Verdana"/>
          <w:sz w:val="20"/>
          <w:szCs w:val="20"/>
          <w:lang w:val="pt-BR"/>
        </w:rPr>
        <w:t>bem</w:t>
      </w:r>
      <w:r w:rsidR="0074017B" w:rsidRPr="00C40BD9">
        <w:rPr>
          <w:rFonts w:ascii="Verdana" w:hAnsi="Verdana" w:cs="Verdana"/>
          <w:sz w:val="20"/>
          <w:szCs w:val="20"/>
          <w:lang w:val="pt-BR"/>
        </w:rPr>
        <w:t xml:space="preserve"> como as observa</w:t>
      </w:r>
      <w:r w:rsidR="00F633DD" w:rsidRPr="00C40BD9">
        <w:rPr>
          <w:rFonts w:ascii="Verdana" w:hAnsi="Verdana" w:cs="Verdana"/>
          <w:sz w:val="20"/>
          <w:szCs w:val="20"/>
          <w:lang w:val="pt-BR"/>
        </w:rPr>
        <w:t>ções</w:t>
      </w:r>
      <w:r w:rsidR="0074017B" w:rsidRPr="00C40BD9">
        <w:rPr>
          <w:rFonts w:ascii="Verdana" w:hAnsi="Verdana" w:cs="Verdana"/>
          <w:sz w:val="20"/>
          <w:szCs w:val="20"/>
          <w:lang w:val="pt-BR"/>
        </w:rPr>
        <w:t xml:space="preserve"> </w:t>
      </w:r>
      <w:r w:rsidR="00F633DD" w:rsidRPr="00C40BD9">
        <w:rPr>
          <w:rFonts w:ascii="Verdana" w:hAnsi="Verdana" w:cs="Verdana"/>
          <w:sz w:val="20"/>
          <w:szCs w:val="20"/>
          <w:lang w:val="pt-BR"/>
        </w:rPr>
        <w:t xml:space="preserve">da </w:t>
      </w:r>
      <w:r w:rsidR="00C06A9B" w:rsidRPr="00C40BD9">
        <w:rPr>
          <w:rFonts w:ascii="Verdana" w:hAnsi="Verdana" w:cs="Verdana"/>
          <w:sz w:val="20"/>
          <w:szCs w:val="20"/>
          <w:lang w:val="pt-BR"/>
        </w:rPr>
        <w:t>Comissão</w:t>
      </w:r>
      <w:r w:rsidR="00186DA5" w:rsidRPr="00C40BD9">
        <w:rPr>
          <w:rFonts w:ascii="Verdana" w:hAnsi="Verdana" w:cs="Verdana"/>
          <w:sz w:val="20"/>
          <w:szCs w:val="20"/>
          <w:lang w:val="pt-BR"/>
        </w:rPr>
        <w:t xml:space="preserve">, </w:t>
      </w:r>
      <w:r w:rsidR="000814BE" w:rsidRPr="00C40BD9">
        <w:rPr>
          <w:rFonts w:ascii="Verdana" w:hAnsi="Verdana" w:cs="Verdana"/>
          <w:sz w:val="20"/>
          <w:szCs w:val="20"/>
          <w:lang w:val="pt-BR"/>
        </w:rPr>
        <w:t>na seguinte</w:t>
      </w:r>
      <w:r w:rsidR="00DE316A">
        <w:rPr>
          <w:rFonts w:ascii="Verdana" w:hAnsi="Verdana" w:cs="Verdana"/>
          <w:sz w:val="20"/>
          <w:szCs w:val="20"/>
          <w:lang w:val="pt-BR"/>
        </w:rPr>
        <w:t xml:space="preserve"> </w:t>
      </w:r>
      <w:r w:rsidR="000814BE" w:rsidRPr="00C40BD9">
        <w:rPr>
          <w:rFonts w:ascii="Verdana" w:hAnsi="Verdana" w:cs="Verdana"/>
          <w:sz w:val="20"/>
          <w:szCs w:val="20"/>
          <w:lang w:val="pt-BR"/>
        </w:rPr>
        <w:t>ordem</w:t>
      </w:r>
      <w:r w:rsidR="00186DA5" w:rsidRPr="00C40BD9">
        <w:rPr>
          <w:rFonts w:ascii="Verdana" w:hAnsi="Verdana" w:cs="Verdana"/>
          <w:sz w:val="20"/>
          <w:szCs w:val="20"/>
          <w:lang w:val="pt-BR"/>
        </w:rPr>
        <w:t xml:space="preserve">: </w:t>
      </w:r>
      <w:r w:rsidR="001F08E6" w:rsidRPr="00C40BD9">
        <w:rPr>
          <w:rFonts w:ascii="Verdana" w:hAnsi="Verdana" w:cs="Verdana"/>
          <w:sz w:val="20"/>
          <w:szCs w:val="20"/>
          <w:lang w:val="pt-BR"/>
        </w:rPr>
        <w:t>A</w:t>
      </w:r>
      <w:r w:rsidR="000C2BED" w:rsidRPr="00C40BD9">
        <w:rPr>
          <w:rFonts w:ascii="Verdana" w:hAnsi="Verdana" w:cs="Verdana"/>
          <w:sz w:val="20"/>
          <w:szCs w:val="20"/>
          <w:lang w:val="pt-BR"/>
        </w:rPr>
        <w:t>)</w:t>
      </w:r>
      <w:r w:rsidR="00186DA5" w:rsidRPr="00C40BD9">
        <w:rPr>
          <w:rFonts w:ascii="Verdana" w:hAnsi="Verdana" w:cs="Verdana"/>
          <w:sz w:val="20"/>
          <w:szCs w:val="20"/>
          <w:lang w:val="pt-BR"/>
        </w:rPr>
        <w:t xml:space="preserve"> </w:t>
      </w:r>
      <w:r w:rsidR="000814BE" w:rsidRPr="00C40BD9">
        <w:rPr>
          <w:rFonts w:ascii="Verdana" w:hAnsi="Verdana" w:cs="Verdana"/>
          <w:sz w:val="20"/>
          <w:szCs w:val="20"/>
          <w:lang w:val="pt-BR"/>
        </w:rPr>
        <w:t>a</w:t>
      </w:r>
      <w:r w:rsidR="00FE04E9" w:rsidRPr="00C40BD9">
        <w:rPr>
          <w:rFonts w:ascii="Verdana" w:hAnsi="Verdana" w:cs="Verdana"/>
          <w:sz w:val="20"/>
          <w:szCs w:val="20"/>
          <w:lang w:val="pt-BR"/>
        </w:rPr>
        <w:t xml:space="preserve"> investiga</w:t>
      </w:r>
      <w:r w:rsidR="00F633DD" w:rsidRPr="00C40BD9">
        <w:rPr>
          <w:rFonts w:ascii="Verdana" w:hAnsi="Verdana" w:cs="Verdana"/>
          <w:sz w:val="20"/>
          <w:szCs w:val="20"/>
          <w:lang w:val="pt-BR"/>
        </w:rPr>
        <w:t>ção</w:t>
      </w:r>
      <w:r w:rsidR="00FE04E9" w:rsidRPr="00C40BD9">
        <w:rPr>
          <w:rFonts w:ascii="Verdana" w:hAnsi="Verdana" w:cs="Verdana"/>
          <w:sz w:val="20"/>
          <w:szCs w:val="20"/>
          <w:lang w:val="pt-BR"/>
        </w:rPr>
        <w:t xml:space="preserve"> </w:t>
      </w:r>
      <w:r w:rsidR="00C06A9B" w:rsidRPr="00C40BD9">
        <w:rPr>
          <w:rFonts w:ascii="Verdana" w:hAnsi="Verdana" w:cs="Verdana"/>
          <w:sz w:val="20"/>
          <w:szCs w:val="20"/>
          <w:lang w:val="pt-BR"/>
        </w:rPr>
        <w:t xml:space="preserve">das </w:t>
      </w:r>
      <w:r w:rsidR="006574B1" w:rsidRPr="00C40BD9">
        <w:rPr>
          <w:rFonts w:ascii="Verdana" w:hAnsi="Verdana" w:cs="Verdana"/>
          <w:sz w:val="20"/>
          <w:szCs w:val="20"/>
          <w:lang w:val="pt-BR"/>
        </w:rPr>
        <w:t>viola</w:t>
      </w:r>
      <w:r w:rsidR="00F633DD" w:rsidRPr="00C40BD9">
        <w:rPr>
          <w:rFonts w:ascii="Verdana" w:hAnsi="Verdana" w:cs="Verdana"/>
          <w:sz w:val="20"/>
          <w:szCs w:val="20"/>
          <w:lang w:val="pt-BR"/>
        </w:rPr>
        <w:t>ções</w:t>
      </w:r>
      <w:r w:rsidR="006574B1" w:rsidRPr="00C40BD9">
        <w:rPr>
          <w:rFonts w:ascii="Verdana" w:hAnsi="Verdana" w:cs="Verdana"/>
          <w:sz w:val="20"/>
          <w:szCs w:val="20"/>
          <w:lang w:val="pt-BR"/>
        </w:rPr>
        <w:t xml:space="preserve"> de </w:t>
      </w:r>
      <w:r w:rsidR="000814BE" w:rsidRPr="00C40BD9">
        <w:rPr>
          <w:rFonts w:ascii="Verdana" w:hAnsi="Verdana" w:cs="Verdana"/>
          <w:sz w:val="20"/>
          <w:szCs w:val="20"/>
          <w:lang w:val="pt-BR"/>
        </w:rPr>
        <w:t>direitos</w:t>
      </w:r>
      <w:r w:rsidR="00DE316A">
        <w:rPr>
          <w:rFonts w:ascii="Verdana" w:hAnsi="Verdana" w:cs="Verdana"/>
          <w:sz w:val="20"/>
          <w:szCs w:val="20"/>
          <w:lang w:val="pt-BR"/>
        </w:rPr>
        <w:t xml:space="preserve"> </w:t>
      </w:r>
      <w:r w:rsidR="006574B1" w:rsidRPr="00C40BD9">
        <w:rPr>
          <w:rFonts w:ascii="Verdana" w:hAnsi="Verdana" w:cs="Verdana"/>
          <w:sz w:val="20"/>
          <w:szCs w:val="20"/>
          <w:lang w:val="pt-BR"/>
        </w:rPr>
        <w:t xml:space="preserve">humanos </w:t>
      </w:r>
      <w:r w:rsidR="0022574E" w:rsidRPr="00C40BD9">
        <w:rPr>
          <w:rFonts w:ascii="Verdana" w:hAnsi="Verdana" w:cs="Verdana"/>
          <w:sz w:val="20"/>
          <w:szCs w:val="20"/>
          <w:lang w:val="pt-BR"/>
        </w:rPr>
        <w:t xml:space="preserve">determinadas </w:t>
      </w:r>
      <w:r w:rsidR="000814BE" w:rsidRPr="00C40BD9">
        <w:rPr>
          <w:rFonts w:ascii="Verdana" w:hAnsi="Verdana" w:cs="Verdana"/>
          <w:sz w:val="20"/>
          <w:szCs w:val="20"/>
          <w:lang w:val="pt-BR"/>
        </w:rPr>
        <w:t xml:space="preserve">na </w:t>
      </w:r>
      <w:r w:rsidR="00F633DD" w:rsidRPr="00C40BD9">
        <w:rPr>
          <w:rFonts w:ascii="Verdana" w:hAnsi="Verdana" w:cs="Verdana"/>
          <w:sz w:val="20"/>
          <w:szCs w:val="20"/>
          <w:lang w:val="pt-BR"/>
        </w:rPr>
        <w:t>Sentença</w:t>
      </w:r>
      <w:r w:rsidR="0022574E" w:rsidRPr="00C40BD9">
        <w:rPr>
          <w:rFonts w:ascii="Verdana" w:hAnsi="Verdana" w:cs="Verdana"/>
          <w:sz w:val="20"/>
          <w:szCs w:val="20"/>
          <w:lang w:val="pt-BR"/>
        </w:rPr>
        <w:t xml:space="preserve">; </w:t>
      </w:r>
      <w:r w:rsidR="001F08E6" w:rsidRPr="00C40BD9">
        <w:rPr>
          <w:rFonts w:ascii="Verdana" w:hAnsi="Verdana" w:cs="Verdana"/>
          <w:sz w:val="20"/>
          <w:szCs w:val="20"/>
          <w:lang w:val="pt-BR"/>
        </w:rPr>
        <w:t>B</w:t>
      </w:r>
      <w:r w:rsidR="00186DA5" w:rsidRPr="00C40BD9">
        <w:rPr>
          <w:rFonts w:ascii="Verdana" w:hAnsi="Verdana" w:cs="Verdana"/>
          <w:sz w:val="20"/>
          <w:szCs w:val="20"/>
          <w:lang w:val="pt-BR"/>
        </w:rPr>
        <w:t xml:space="preserve">) </w:t>
      </w:r>
      <w:r w:rsidR="000814BE" w:rsidRPr="00C40BD9">
        <w:rPr>
          <w:rFonts w:ascii="Verdana" w:hAnsi="Verdana" w:cs="Verdana"/>
          <w:sz w:val="20"/>
          <w:szCs w:val="20"/>
          <w:lang w:val="pt-BR"/>
        </w:rPr>
        <w:t>a</w:t>
      </w:r>
      <w:r w:rsidR="0085449E" w:rsidRPr="00C40BD9">
        <w:rPr>
          <w:rFonts w:ascii="Verdana" w:hAnsi="Verdana" w:cs="Verdana"/>
          <w:sz w:val="20"/>
          <w:szCs w:val="20"/>
          <w:lang w:val="pt-BR"/>
        </w:rPr>
        <w:t xml:space="preserve"> ade</w:t>
      </w:r>
      <w:r w:rsidR="000814BE" w:rsidRPr="00C40BD9">
        <w:rPr>
          <w:rFonts w:ascii="Verdana" w:hAnsi="Verdana" w:cs="Verdana"/>
          <w:sz w:val="20"/>
          <w:szCs w:val="20"/>
          <w:lang w:val="pt-BR"/>
        </w:rPr>
        <w:t>q</w:t>
      </w:r>
      <w:r w:rsidR="0085449E" w:rsidRPr="00C40BD9">
        <w:rPr>
          <w:rFonts w:ascii="Verdana" w:hAnsi="Verdana" w:cs="Verdana"/>
          <w:sz w:val="20"/>
          <w:szCs w:val="20"/>
          <w:lang w:val="pt-BR"/>
        </w:rPr>
        <w:t xml:space="preserve">uada </w:t>
      </w:r>
      <w:r w:rsidR="00186DA5" w:rsidRPr="00C40BD9">
        <w:rPr>
          <w:rFonts w:ascii="Verdana" w:hAnsi="Verdana" w:cs="Verdana"/>
          <w:sz w:val="20"/>
          <w:szCs w:val="20"/>
          <w:lang w:val="pt-BR"/>
        </w:rPr>
        <w:t>representa</w:t>
      </w:r>
      <w:r w:rsidR="00F633DD" w:rsidRPr="00C40BD9">
        <w:rPr>
          <w:rFonts w:ascii="Verdana" w:hAnsi="Verdana" w:cs="Verdana"/>
          <w:sz w:val="20"/>
          <w:szCs w:val="20"/>
          <w:lang w:val="pt-BR"/>
        </w:rPr>
        <w:t>ção</w:t>
      </w:r>
      <w:r w:rsidR="00186DA5" w:rsidRPr="00C40BD9">
        <w:rPr>
          <w:rFonts w:ascii="Verdana" w:hAnsi="Verdana" w:cs="Verdana"/>
          <w:sz w:val="20"/>
          <w:szCs w:val="20"/>
          <w:lang w:val="pt-BR"/>
        </w:rPr>
        <w:t xml:space="preserve"> </w:t>
      </w:r>
      <w:r w:rsidR="00C06A9B" w:rsidRPr="00C40BD9">
        <w:rPr>
          <w:rFonts w:ascii="Verdana" w:hAnsi="Verdana" w:cs="Verdana"/>
          <w:sz w:val="20"/>
          <w:szCs w:val="20"/>
          <w:lang w:val="pt-BR"/>
        </w:rPr>
        <w:t>das vítimas</w:t>
      </w:r>
      <w:r w:rsidR="00DE316A">
        <w:rPr>
          <w:rFonts w:ascii="Verdana" w:hAnsi="Verdana" w:cs="Verdana"/>
          <w:sz w:val="20"/>
          <w:szCs w:val="20"/>
          <w:lang w:val="pt-BR"/>
        </w:rPr>
        <w:t xml:space="preserve">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00186DA5" w:rsidRPr="00C40BD9">
        <w:rPr>
          <w:rFonts w:ascii="Verdana" w:hAnsi="Verdana" w:cs="Verdana"/>
          <w:sz w:val="20"/>
          <w:szCs w:val="20"/>
          <w:lang w:val="pt-BR"/>
        </w:rPr>
        <w:t>s</w:t>
      </w:r>
      <w:r w:rsidR="000814BE" w:rsidRPr="00C40BD9">
        <w:rPr>
          <w:rFonts w:ascii="Verdana" w:hAnsi="Verdana" w:cs="Verdana"/>
          <w:sz w:val="20"/>
          <w:szCs w:val="20"/>
          <w:lang w:val="pt-BR"/>
        </w:rPr>
        <w:t>e</w:t>
      </w:r>
      <w:r w:rsidR="00186DA5" w:rsidRPr="00C40BD9">
        <w:rPr>
          <w:rFonts w:ascii="Verdana" w:hAnsi="Verdana" w:cs="Verdana"/>
          <w:sz w:val="20"/>
          <w:szCs w:val="20"/>
          <w:lang w:val="pt-BR"/>
        </w:rPr>
        <w:t>us familiares</w:t>
      </w:r>
      <w:r w:rsidR="000C2BED" w:rsidRPr="00C40BD9">
        <w:rPr>
          <w:rFonts w:ascii="Verdana" w:hAnsi="Verdana" w:cs="Verdana"/>
          <w:sz w:val="20"/>
          <w:szCs w:val="20"/>
          <w:lang w:val="pt-BR"/>
        </w:rPr>
        <w:t xml:space="preserve">; </w:t>
      </w:r>
      <w:r w:rsidR="001F08E6" w:rsidRPr="00C40BD9">
        <w:rPr>
          <w:rFonts w:ascii="Verdana" w:hAnsi="Verdana" w:cs="Verdana"/>
          <w:sz w:val="20"/>
          <w:szCs w:val="20"/>
          <w:lang w:val="pt-BR"/>
        </w:rPr>
        <w:t>C</w:t>
      </w:r>
      <w:r w:rsidR="00186DA5" w:rsidRPr="00C40BD9">
        <w:rPr>
          <w:rFonts w:ascii="Verdana" w:hAnsi="Verdana" w:cs="Verdana"/>
          <w:sz w:val="20"/>
          <w:szCs w:val="20"/>
          <w:lang w:val="pt-BR"/>
        </w:rPr>
        <w:t>)</w:t>
      </w:r>
      <w:r w:rsidR="00186DA5" w:rsidRPr="00C40BD9">
        <w:rPr>
          <w:rFonts w:ascii="Verdana" w:hAnsi="Verdana"/>
          <w:sz w:val="20"/>
          <w:szCs w:val="20"/>
          <w:lang w:val="pt-BR" w:bidi="en-US"/>
        </w:rPr>
        <w:t xml:space="preserve"> a </w:t>
      </w:r>
      <w:r w:rsidR="00C06A9B" w:rsidRPr="00C40BD9">
        <w:rPr>
          <w:rFonts w:ascii="Verdana" w:hAnsi="Verdana"/>
          <w:sz w:val="20"/>
          <w:szCs w:val="20"/>
          <w:lang w:val="pt-BR" w:bidi="en-US"/>
        </w:rPr>
        <w:t>competência</w:t>
      </w:r>
      <w:r w:rsidR="00DE316A">
        <w:rPr>
          <w:rFonts w:ascii="Verdana" w:hAnsi="Verdana"/>
          <w:sz w:val="20"/>
          <w:szCs w:val="20"/>
          <w:lang w:val="pt-BR" w:bidi="en-US"/>
        </w:rPr>
        <w:t xml:space="preserve"> </w:t>
      </w:r>
      <w:r w:rsidR="00186DA5" w:rsidRPr="00C40BD9">
        <w:rPr>
          <w:rFonts w:ascii="Verdana" w:hAnsi="Verdana"/>
          <w:sz w:val="20"/>
          <w:szCs w:val="20"/>
          <w:lang w:val="pt-BR" w:bidi="en-US"/>
        </w:rPr>
        <w:t>e</w:t>
      </w:r>
      <w:r w:rsidR="000814BE" w:rsidRPr="00C40BD9">
        <w:rPr>
          <w:rFonts w:ascii="Verdana" w:hAnsi="Verdana"/>
          <w:sz w:val="20"/>
          <w:szCs w:val="20"/>
          <w:lang w:val="pt-BR" w:bidi="en-US"/>
        </w:rPr>
        <w:t xml:space="preserve">m razão </w:t>
      </w:r>
      <w:r w:rsidR="00F633DD" w:rsidRPr="00C40BD9">
        <w:rPr>
          <w:rFonts w:ascii="Verdana" w:hAnsi="Verdana"/>
          <w:sz w:val="20"/>
          <w:szCs w:val="20"/>
          <w:lang w:val="pt-BR" w:bidi="en-US"/>
        </w:rPr>
        <w:t xml:space="preserve">da </w:t>
      </w:r>
      <w:r w:rsidR="00C06A9B" w:rsidRPr="00C40BD9">
        <w:rPr>
          <w:rFonts w:ascii="Verdana" w:hAnsi="Verdana"/>
          <w:sz w:val="20"/>
          <w:szCs w:val="20"/>
          <w:lang w:val="pt-BR" w:bidi="en-US"/>
        </w:rPr>
        <w:t>matéria</w:t>
      </w:r>
      <w:r w:rsidR="00DE316A">
        <w:rPr>
          <w:rFonts w:ascii="Verdana" w:hAnsi="Verdana"/>
          <w:sz w:val="20"/>
          <w:szCs w:val="20"/>
          <w:lang w:val="pt-BR" w:bidi="en-US"/>
        </w:rPr>
        <w:t xml:space="preserve"> </w:t>
      </w:r>
      <w:r w:rsidR="00186DA5" w:rsidRPr="00C40BD9">
        <w:rPr>
          <w:rFonts w:ascii="Verdana" w:hAnsi="Verdana"/>
          <w:sz w:val="20"/>
          <w:szCs w:val="20"/>
          <w:lang w:val="pt-BR" w:bidi="en-US"/>
        </w:rPr>
        <w:t>para declarar viola</w:t>
      </w:r>
      <w:r w:rsidR="00F633DD" w:rsidRPr="00C40BD9">
        <w:rPr>
          <w:rFonts w:ascii="Verdana" w:hAnsi="Verdana"/>
          <w:sz w:val="20"/>
          <w:szCs w:val="20"/>
          <w:lang w:val="pt-BR" w:bidi="en-US"/>
        </w:rPr>
        <w:t>ções</w:t>
      </w:r>
      <w:r w:rsidR="00186DA5" w:rsidRPr="00C40BD9">
        <w:rPr>
          <w:rFonts w:ascii="Verdana" w:hAnsi="Verdana"/>
          <w:sz w:val="20"/>
          <w:szCs w:val="20"/>
          <w:lang w:val="pt-BR" w:bidi="en-US"/>
        </w:rPr>
        <w:t xml:space="preserve"> </w:t>
      </w:r>
      <w:r w:rsidR="000814BE" w:rsidRPr="00C40BD9">
        <w:rPr>
          <w:rFonts w:ascii="Verdana" w:hAnsi="Verdana"/>
          <w:sz w:val="20"/>
          <w:szCs w:val="20"/>
          <w:lang w:val="pt-BR" w:bidi="en-US"/>
        </w:rPr>
        <w:t xml:space="preserve">à </w:t>
      </w:r>
      <w:r w:rsidR="00186DA5" w:rsidRPr="00C40BD9">
        <w:rPr>
          <w:rFonts w:ascii="Verdana" w:hAnsi="Verdana"/>
          <w:sz w:val="20"/>
          <w:szCs w:val="20"/>
          <w:lang w:val="pt-BR" w:bidi="en-US"/>
        </w:rPr>
        <w:t>Conven</w:t>
      </w:r>
      <w:r w:rsidR="00F633DD" w:rsidRPr="00C40BD9">
        <w:rPr>
          <w:rFonts w:ascii="Verdana" w:hAnsi="Verdana"/>
          <w:sz w:val="20"/>
          <w:szCs w:val="20"/>
          <w:lang w:val="pt-BR" w:bidi="en-US"/>
        </w:rPr>
        <w:t>ção</w:t>
      </w:r>
      <w:r w:rsidR="00186DA5" w:rsidRPr="00C40BD9">
        <w:rPr>
          <w:rFonts w:ascii="Verdana" w:hAnsi="Verdana"/>
          <w:sz w:val="20"/>
          <w:szCs w:val="20"/>
          <w:lang w:val="pt-BR" w:bidi="en-US"/>
        </w:rPr>
        <w:t xml:space="preserve"> </w:t>
      </w:r>
      <w:r w:rsidR="00186DA5" w:rsidRPr="00C40BD9">
        <w:rPr>
          <w:rFonts w:ascii="Verdana" w:hAnsi="Verdana"/>
          <w:iCs/>
          <w:sz w:val="20"/>
          <w:szCs w:val="20"/>
          <w:lang w:val="pt-BR" w:bidi="en-US"/>
        </w:rPr>
        <w:t xml:space="preserve">Interamericana para Prevenir </w:t>
      </w:r>
      <w:r w:rsidR="00F633DD" w:rsidRPr="00C40BD9">
        <w:rPr>
          <w:rFonts w:ascii="Verdana" w:hAnsi="Verdana"/>
          <w:iCs/>
          <w:sz w:val="20"/>
          <w:szCs w:val="20"/>
          <w:lang w:val="pt-BR" w:bidi="en-US"/>
        </w:rPr>
        <w:t>e</w:t>
      </w:r>
      <w:r w:rsidR="00DE316A">
        <w:rPr>
          <w:rFonts w:ascii="Verdana" w:hAnsi="Verdana"/>
          <w:iCs/>
          <w:sz w:val="20"/>
          <w:szCs w:val="20"/>
          <w:lang w:val="pt-BR" w:bidi="en-US"/>
        </w:rPr>
        <w:t xml:space="preserve"> </w:t>
      </w:r>
      <w:r w:rsidR="000814BE" w:rsidRPr="00C40BD9">
        <w:rPr>
          <w:rFonts w:ascii="Verdana" w:hAnsi="Verdana"/>
          <w:iCs/>
          <w:sz w:val="20"/>
          <w:szCs w:val="20"/>
          <w:lang w:val="pt-BR" w:bidi="en-US"/>
        </w:rPr>
        <w:t xml:space="preserve">Punir </w:t>
      </w:r>
      <w:r w:rsidR="00186DA5" w:rsidRPr="00C40BD9">
        <w:rPr>
          <w:rFonts w:ascii="Verdana" w:hAnsi="Verdana"/>
          <w:iCs/>
          <w:sz w:val="20"/>
          <w:szCs w:val="20"/>
          <w:lang w:val="pt-BR" w:bidi="en-US"/>
        </w:rPr>
        <w:t>a Tortura</w:t>
      </w:r>
      <w:r w:rsidR="000814BE" w:rsidRPr="00C40BD9">
        <w:rPr>
          <w:rFonts w:ascii="Verdana" w:hAnsi="Verdana"/>
          <w:iCs/>
          <w:sz w:val="20"/>
          <w:szCs w:val="20"/>
          <w:lang w:val="pt-BR" w:bidi="en-US"/>
        </w:rPr>
        <w:t>;</w:t>
      </w:r>
      <w:r w:rsidR="0022574E" w:rsidRPr="00C40BD9">
        <w:rPr>
          <w:rFonts w:ascii="Verdana" w:hAnsi="Verdana"/>
          <w:iCs/>
          <w:sz w:val="20"/>
          <w:szCs w:val="20"/>
          <w:lang w:val="pt-BR" w:bidi="en-US"/>
        </w:rPr>
        <w:t xml:space="preserve"> </w:t>
      </w:r>
      <w:r w:rsidR="00F633DD" w:rsidRPr="00C40BD9">
        <w:rPr>
          <w:rFonts w:ascii="Verdana" w:hAnsi="Verdana"/>
          <w:iCs/>
          <w:sz w:val="20"/>
          <w:szCs w:val="20"/>
          <w:lang w:val="pt-BR" w:bidi="en-US"/>
        </w:rPr>
        <w:t>e</w:t>
      </w:r>
      <w:r w:rsidR="00DE316A">
        <w:rPr>
          <w:rFonts w:ascii="Verdana" w:hAnsi="Verdana"/>
          <w:iCs/>
          <w:sz w:val="20"/>
          <w:szCs w:val="20"/>
          <w:lang w:val="pt-BR" w:bidi="en-US"/>
        </w:rPr>
        <w:t xml:space="preserve"> </w:t>
      </w:r>
      <w:r w:rsidR="001F08E6" w:rsidRPr="00C40BD9">
        <w:rPr>
          <w:rFonts w:ascii="Verdana" w:hAnsi="Verdana" w:cs="Verdana"/>
          <w:sz w:val="20"/>
          <w:szCs w:val="20"/>
          <w:lang w:val="pt-BR"/>
        </w:rPr>
        <w:t>D</w:t>
      </w:r>
      <w:r w:rsidR="00186DA5" w:rsidRPr="00C40BD9">
        <w:rPr>
          <w:rFonts w:ascii="Verdana" w:hAnsi="Verdana" w:cs="Verdana"/>
          <w:sz w:val="20"/>
          <w:szCs w:val="20"/>
          <w:lang w:val="pt-BR"/>
        </w:rPr>
        <w:t>) a modalidad</w:t>
      </w:r>
      <w:r w:rsidR="000814BE" w:rsidRPr="00C40BD9">
        <w:rPr>
          <w:rFonts w:ascii="Verdana" w:hAnsi="Verdana" w:cs="Verdana"/>
          <w:sz w:val="20"/>
          <w:szCs w:val="20"/>
          <w:lang w:val="pt-BR"/>
        </w:rPr>
        <w:t>e</w:t>
      </w:r>
      <w:r w:rsidR="00186DA5" w:rsidRPr="00C40BD9">
        <w:rPr>
          <w:rFonts w:ascii="Verdana" w:hAnsi="Verdana" w:cs="Verdana"/>
          <w:sz w:val="20"/>
          <w:szCs w:val="20"/>
          <w:lang w:val="pt-BR"/>
        </w:rPr>
        <w:t xml:space="preserve"> de </w:t>
      </w:r>
      <w:r w:rsidR="00C06A9B" w:rsidRPr="00C40BD9">
        <w:rPr>
          <w:rFonts w:ascii="Verdana" w:hAnsi="Verdana" w:cs="Verdana"/>
          <w:sz w:val="20"/>
          <w:szCs w:val="20"/>
          <w:lang w:val="pt-BR"/>
        </w:rPr>
        <w:t>cumprimento</w:t>
      </w:r>
      <w:r w:rsidR="00DE316A">
        <w:rPr>
          <w:rFonts w:ascii="Verdana" w:hAnsi="Verdana" w:cs="Verdana"/>
          <w:sz w:val="20"/>
          <w:szCs w:val="20"/>
          <w:lang w:val="pt-BR"/>
        </w:rPr>
        <w:t xml:space="preserve"> </w:t>
      </w:r>
      <w:r w:rsidR="00C06A9B" w:rsidRPr="00C40BD9">
        <w:rPr>
          <w:rFonts w:ascii="Verdana" w:hAnsi="Verdana" w:cs="Verdana"/>
          <w:sz w:val="20"/>
          <w:szCs w:val="20"/>
          <w:lang w:val="pt-BR"/>
        </w:rPr>
        <w:t xml:space="preserve">dos </w:t>
      </w:r>
      <w:r w:rsidR="00186DA5" w:rsidRPr="00C40BD9">
        <w:rPr>
          <w:rFonts w:ascii="Verdana" w:hAnsi="Verdana" w:cs="Verdana"/>
          <w:sz w:val="20"/>
          <w:szCs w:val="20"/>
          <w:lang w:val="pt-BR"/>
        </w:rPr>
        <w:t>pag</w:t>
      </w:r>
      <w:r w:rsidR="000814BE" w:rsidRPr="00C40BD9">
        <w:rPr>
          <w:rFonts w:ascii="Verdana" w:hAnsi="Verdana" w:cs="Verdana"/>
          <w:sz w:val="20"/>
          <w:szCs w:val="20"/>
          <w:lang w:val="pt-BR"/>
        </w:rPr>
        <w:t>ament</w:t>
      </w:r>
      <w:r w:rsidR="00186DA5" w:rsidRPr="00C40BD9">
        <w:rPr>
          <w:rFonts w:ascii="Verdana" w:hAnsi="Verdana" w:cs="Verdana"/>
          <w:sz w:val="20"/>
          <w:szCs w:val="20"/>
          <w:lang w:val="pt-BR"/>
        </w:rPr>
        <w:t>os ordenados</w:t>
      </w:r>
      <w:r w:rsidR="001F08E6" w:rsidRPr="00C40BD9">
        <w:rPr>
          <w:rFonts w:ascii="Verdana" w:hAnsi="Verdana" w:cs="Verdana"/>
          <w:sz w:val="20"/>
          <w:szCs w:val="20"/>
          <w:lang w:val="pt-BR"/>
        </w:rPr>
        <w:t>.</w:t>
      </w:r>
      <w:r w:rsidR="0074017B" w:rsidRPr="00C40BD9">
        <w:rPr>
          <w:rFonts w:ascii="Verdana" w:hAnsi="Verdana" w:cs="Verdana"/>
          <w:color w:val="00B0F0"/>
          <w:sz w:val="20"/>
          <w:szCs w:val="20"/>
          <w:lang w:val="pt-BR"/>
        </w:rPr>
        <w:t xml:space="preserve"> </w:t>
      </w:r>
    </w:p>
    <w:p w:rsidR="0074017B" w:rsidRPr="00C40BD9" w:rsidRDefault="0074017B" w:rsidP="00A82FB4">
      <w:pPr>
        <w:pStyle w:val="ListParagraph"/>
        <w:spacing w:after="0" w:line="240" w:lineRule="auto"/>
        <w:contextualSpacing w:val="0"/>
        <w:rPr>
          <w:rFonts w:ascii="Verdana" w:hAnsi="Verdana" w:cs="Verdana"/>
          <w:sz w:val="20"/>
          <w:szCs w:val="20"/>
          <w:lang w:val="pt-BR"/>
        </w:rPr>
      </w:pPr>
    </w:p>
    <w:p w:rsidR="000C2BED" w:rsidRPr="00C40BD9" w:rsidRDefault="000814BE" w:rsidP="00A82FB4">
      <w:pPr>
        <w:widowControl w:val="0"/>
        <w:numPr>
          <w:ilvl w:val="0"/>
          <w:numId w:val="3"/>
        </w:numPr>
        <w:spacing w:after="0" w:line="240" w:lineRule="auto"/>
        <w:jc w:val="both"/>
        <w:rPr>
          <w:rFonts w:ascii="Verdana" w:hAnsi="Verdana"/>
          <w:b/>
          <w:sz w:val="20"/>
          <w:szCs w:val="20"/>
          <w:lang w:val="pt-BR"/>
        </w:rPr>
      </w:pPr>
      <w:r w:rsidRPr="00C40BD9">
        <w:rPr>
          <w:rFonts w:ascii="Verdana" w:hAnsi="Verdana"/>
          <w:b/>
          <w:sz w:val="20"/>
          <w:szCs w:val="20"/>
          <w:lang w:val="pt-BR"/>
        </w:rPr>
        <w:t>A</w:t>
      </w:r>
      <w:r w:rsidR="00D159DD" w:rsidRPr="00C40BD9">
        <w:rPr>
          <w:rFonts w:ascii="Verdana" w:hAnsi="Verdana"/>
          <w:b/>
          <w:sz w:val="20"/>
          <w:szCs w:val="20"/>
          <w:lang w:val="pt-BR"/>
        </w:rPr>
        <w:t xml:space="preserve"> </w:t>
      </w:r>
      <w:r w:rsidRPr="00E81DC6">
        <w:rPr>
          <w:rFonts w:ascii="Verdana" w:hAnsi="Verdana"/>
          <w:b/>
          <w:sz w:val="20"/>
          <w:szCs w:val="20"/>
          <w:lang w:val="pt-BR"/>
        </w:rPr>
        <w:t>i</w:t>
      </w:r>
      <w:r w:rsidR="00D159DD" w:rsidRPr="00E81DC6">
        <w:rPr>
          <w:rFonts w:ascii="Verdana" w:hAnsi="Verdana"/>
          <w:b/>
          <w:sz w:val="20"/>
          <w:szCs w:val="20"/>
          <w:lang w:val="pt-BR"/>
        </w:rPr>
        <w:t>nvestiga</w:t>
      </w:r>
      <w:r w:rsidR="00F633DD" w:rsidRPr="00E81DC6">
        <w:rPr>
          <w:rFonts w:ascii="Verdana" w:hAnsi="Verdana"/>
          <w:b/>
          <w:sz w:val="20"/>
          <w:szCs w:val="20"/>
          <w:lang w:val="pt-BR"/>
        </w:rPr>
        <w:t>ção</w:t>
      </w:r>
      <w:r w:rsidR="00D159DD" w:rsidRPr="00C40BD9">
        <w:rPr>
          <w:rFonts w:ascii="Verdana" w:hAnsi="Verdana"/>
          <w:b/>
          <w:sz w:val="20"/>
          <w:szCs w:val="20"/>
          <w:lang w:val="pt-BR"/>
        </w:rPr>
        <w:t xml:space="preserve"> </w:t>
      </w:r>
      <w:r w:rsidR="00C06A9B" w:rsidRPr="00C40BD9">
        <w:rPr>
          <w:rFonts w:ascii="Verdana" w:hAnsi="Verdana"/>
          <w:b/>
          <w:sz w:val="20"/>
          <w:szCs w:val="20"/>
          <w:lang w:val="pt-BR"/>
        </w:rPr>
        <w:t xml:space="preserve">das </w:t>
      </w:r>
      <w:r w:rsidR="00D159DD" w:rsidRPr="00C40BD9">
        <w:rPr>
          <w:rFonts w:ascii="Verdana" w:hAnsi="Verdana"/>
          <w:b/>
          <w:sz w:val="20"/>
          <w:szCs w:val="20"/>
          <w:lang w:val="pt-BR"/>
        </w:rPr>
        <w:t>viola</w:t>
      </w:r>
      <w:r w:rsidR="00F633DD" w:rsidRPr="00C40BD9">
        <w:rPr>
          <w:rFonts w:ascii="Verdana" w:hAnsi="Verdana"/>
          <w:b/>
          <w:sz w:val="20"/>
          <w:szCs w:val="20"/>
          <w:lang w:val="pt-BR"/>
        </w:rPr>
        <w:t>ções</w:t>
      </w:r>
      <w:r w:rsidR="00D159DD" w:rsidRPr="00C40BD9">
        <w:rPr>
          <w:rFonts w:ascii="Verdana" w:hAnsi="Verdana"/>
          <w:b/>
          <w:sz w:val="20"/>
          <w:szCs w:val="20"/>
          <w:lang w:val="pt-BR"/>
        </w:rPr>
        <w:t xml:space="preserve"> de </w:t>
      </w:r>
      <w:r w:rsidRPr="00C40BD9">
        <w:rPr>
          <w:rFonts w:ascii="Verdana" w:hAnsi="Verdana"/>
          <w:b/>
          <w:sz w:val="20"/>
          <w:szCs w:val="20"/>
          <w:lang w:val="pt-BR"/>
        </w:rPr>
        <w:t>direitos</w:t>
      </w:r>
      <w:r w:rsidR="00DE316A">
        <w:rPr>
          <w:rFonts w:ascii="Verdana" w:hAnsi="Verdana"/>
          <w:b/>
          <w:sz w:val="20"/>
          <w:szCs w:val="20"/>
          <w:lang w:val="pt-BR"/>
        </w:rPr>
        <w:t xml:space="preserve"> </w:t>
      </w:r>
      <w:r w:rsidR="00D159DD" w:rsidRPr="00C40BD9">
        <w:rPr>
          <w:rFonts w:ascii="Verdana" w:hAnsi="Verdana"/>
          <w:b/>
          <w:sz w:val="20"/>
          <w:szCs w:val="20"/>
          <w:lang w:val="pt-BR"/>
        </w:rPr>
        <w:t xml:space="preserve">humanos determinadas </w:t>
      </w:r>
      <w:r w:rsidRPr="00C40BD9">
        <w:rPr>
          <w:rFonts w:ascii="Verdana" w:hAnsi="Verdana"/>
          <w:b/>
          <w:sz w:val="20"/>
          <w:szCs w:val="20"/>
          <w:lang w:val="pt-BR"/>
        </w:rPr>
        <w:t xml:space="preserve">na </w:t>
      </w:r>
      <w:r w:rsidR="00F633DD" w:rsidRPr="00C40BD9">
        <w:rPr>
          <w:rFonts w:ascii="Verdana" w:hAnsi="Verdana"/>
          <w:b/>
          <w:sz w:val="20"/>
          <w:szCs w:val="20"/>
          <w:lang w:val="pt-BR"/>
        </w:rPr>
        <w:t xml:space="preserve">Sentença </w:t>
      </w:r>
    </w:p>
    <w:p w:rsidR="000C2BED" w:rsidRPr="00C40BD9" w:rsidRDefault="0085449E" w:rsidP="00A82FB4">
      <w:pPr>
        <w:pStyle w:val="ListParagraph"/>
        <w:widowControl w:val="0"/>
        <w:spacing w:after="0" w:line="240" w:lineRule="auto"/>
        <w:ind w:left="0"/>
        <w:jc w:val="both"/>
        <w:rPr>
          <w:rFonts w:ascii="Verdana" w:hAnsi="Verdana"/>
          <w:b/>
          <w:smallCaps/>
          <w:sz w:val="20"/>
          <w:szCs w:val="20"/>
          <w:lang w:val="pt-BR"/>
        </w:rPr>
      </w:pPr>
      <w:r w:rsidRPr="00C40BD9">
        <w:rPr>
          <w:rFonts w:ascii="Verdana" w:hAnsi="Verdana"/>
          <w:b/>
          <w:smallCaps/>
          <w:sz w:val="20"/>
          <w:szCs w:val="20"/>
          <w:lang w:val="pt-BR"/>
        </w:rPr>
        <w:tab/>
      </w:r>
    </w:p>
    <w:p w:rsidR="006574B1" w:rsidRPr="00C40BD9" w:rsidRDefault="00D660E7" w:rsidP="00A82FB4">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pt-BR"/>
        </w:rPr>
      </w:pPr>
      <w:r w:rsidRPr="00C40BD9">
        <w:rPr>
          <w:rFonts w:ascii="Verdana" w:hAnsi="Verdana" w:cs="Verdana"/>
          <w:sz w:val="20"/>
          <w:szCs w:val="20"/>
          <w:lang w:val="pt-BR"/>
        </w:rPr>
        <w:t>O</w:t>
      </w:r>
      <w:r w:rsidR="006574B1" w:rsidRPr="00C40BD9">
        <w:rPr>
          <w:rFonts w:ascii="Verdana" w:hAnsi="Verdana" w:cs="Verdana"/>
          <w:sz w:val="20"/>
          <w:szCs w:val="20"/>
          <w:lang w:val="pt-BR"/>
        </w:rPr>
        <w:t xml:space="preserve">s representantes </w:t>
      </w:r>
      <w:r w:rsidR="00F633DD" w:rsidRPr="00C40BD9">
        <w:rPr>
          <w:rFonts w:ascii="Verdana" w:hAnsi="Verdana" w:cs="Verdana"/>
          <w:sz w:val="20"/>
          <w:szCs w:val="20"/>
          <w:lang w:val="pt-BR"/>
        </w:rPr>
        <w:t xml:space="preserve">e </w:t>
      </w:r>
      <w:r w:rsidRPr="00C40BD9">
        <w:rPr>
          <w:rFonts w:ascii="Verdana" w:hAnsi="Verdana" w:cs="Verdana"/>
          <w:sz w:val="20"/>
          <w:szCs w:val="20"/>
          <w:lang w:val="pt-BR"/>
        </w:rPr>
        <w:t>o</w:t>
      </w:r>
      <w:r w:rsidR="006574B1" w:rsidRPr="00C40BD9">
        <w:rPr>
          <w:rFonts w:ascii="Verdana" w:hAnsi="Verdana" w:cs="Verdana"/>
          <w:sz w:val="20"/>
          <w:szCs w:val="20"/>
          <w:lang w:val="pt-BR"/>
        </w:rPr>
        <w:t xml:space="preserve"> Estado </w:t>
      </w:r>
      <w:r w:rsidRPr="00C40BD9">
        <w:rPr>
          <w:rFonts w:ascii="Verdana" w:hAnsi="Verdana" w:cs="Verdana"/>
          <w:sz w:val="20"/>
          <w:szCs w:val="20"/>
          <w:lang w:val="pt-BR"/>
        </w:rPr>
        <w:t xml:space="preserve">apresentaram </w:t>
      </w:r>
      <w:r w:rsidR="00635878" w:rsidRPr="00C40BD9">
        <w:rPr>
          <w:rFonts w:ascii="Verdana" w:hAnsi="Verdana" w:cs="Verdana"/>
          <w:sz w:val="20"/>
          <w:szCs w:val="20"/>
          <w:lang w:val="pt-BR"/>
        </w:rPr>
        <w:t>solicitações</w:t>
      </w:r>
      <w:r w:rsidR="00DE316A">
        <w:rPr>
          <w:rFonts w:ascii="Verdana" w:hAnsi="Verdana" w:cs="Verdana"/>
          <w:sz w:val="20"/>
          <w:szCs w:val="20"/>
          <w:lang w:val="pt-BR"/>
        </w:rPr>
        <w:t xml:space="preserve"> </w:t>
      </w:r>
      <w:r w:rsidR="006574B1" w:rsidRPr="00C40BD9">
        <w:rPr>
          <w:rFonts w:ascii="Verdana" w:hAnsi="Verdana" w:cs="Verdana"/>
          <w:sz w:val="20"/>
          <w:szCs w:val="20"/>
          <w:lang w:val="pt-BR"/>
        </w:rPr>
        <w:t>de interpreta</w:t>
      </w:r>
      <w:r w:rsidR="00F633DD" w:rsidRPr="00C40BD9">
        <w:rPr>
          <w:rFonts w:ascii="Verdana" w:hAnsi="Verdana" w:cs="Verdana"/>
          <w:sz w:val="20"/>
          <w:szCs w:val="20"/>
          <w:lang w:val="pt-BR"/>
        </w:rPr>
        <w:t>ção</w:t>
      </w:r>
      <w:r w:rsidR="006574B1" w:rsidRPr="00C40BD9">
        <w:rPr>
          <w:rFonts w:ascii="Verdana" w:hAnsi="Verdana" w:cs="Verdana"/>
          <w:sz w:val="20"/>
          <w:szCs w:val="20"/>
          <w:lang w:val="pt-BR"/>
        </w:rPr>
        <w:t xml:space="preserve"> e</w:t>
      </w:r>
      <w:r w:rsidRPr="00C40BD9">
        <w:rPr>
          <w:rFonts w:ascii="Verdana" w:hAnsi="Verdana" w:cs="Verdana"/>
          <w:sz w:val="20"/>
          <w:szCs w:val="20"/>
          <w:lang w:val="pt-BR"/>
        </w:rPr>
        <w:t>m</w:t>
      </w:r>
      <w:r w:rsidR="006574B1" w:rsidRPr="00C40BD9">
        <w:rPr>
          <w:rFonts w:ascii="Verdana" w:hAnsi="Verdana" w:cs="Verdana"/>
          <w:sz w:val="20"/>
          <w:szCs w:val="20"/>
          <w:lang w:val="pt-BR"/>
        </w:rPr>
        <w:t xml:space="preserve"> rela</w:t>
      </w:r>
      <w:r w:rsidR="00F633DD" w:rsidRPr="00C40BD9">
        <w:rPr>
          <w:rFonts w:ascii="Verdana" w:hAnsi="Verdana" w:cs="Verdana"/>
          <w:sz w:val="20"/>
          <w:szCs w:val="20"/>
          <w:lang w:val="pt-BR"/>
        </w:rPr>
        <w:t>ção</w:t>
      </w:r>
      <w:r w:rsidR="006574B1" w:rsidRPr="00C40BD9">
        <w:rPr>
          <w:rFonts w:ascii="Verdana" w:hAnsi="Verdana" w:cs="Verdana"/>
          <w:sz w:val="20"/>
          <w:szCs w:val="20"/>
          <w:lang w:val="pt-BR"/>
        </w:rPr>
        <w:t xml:space="preserve"> </w:t>
      </w:r>
      <w:r w:rsidRPr="00C40BD9">
        <w:rPr>
          <w:rFonts w:ascii="Verdana" w:hAnsi="Verdana" w:cs="Verdana"/>
          <w:sz w:val="20"/>
          <w:szCs w:val="20"/>
          <w:lang w:val="pt-BR"/>
        </w:rPr>
        <w:t xml:space="preserve">à </w:t>
      </w:r>
      <w:r w:rsidR="006574B1" w:rsidRPr="00C40BD9">
        <w:rPr>
          <w:rFonts w:ascii="Verdana" w:hAnsi="Verdana" w:cs="Verdana"/>
          <w:sz w:val="20"/>
          <w:szCs w:val="20"/>
          <w:lang w:val="pt-BR"/>
        </w:rPr>
        <w:t>medida de investiga</w:t>
      </w:r>
      <w:r w:rsidR="00F633DD" w:rsidRPr="00C40BD9">
        <w:rPr>
          <w:rFonts w:ascii="Verdana" w:hAnsi="Verdana" w:cs="Verdana"/>
          <w:sz w:val="20"/>
          <w:szCs w:val="20"/>
          <w:lang w:val="pt-BR"/>
        </w:rPr>
        <w:t>ção</w:t>
      </w:r>
      <w:r w:rsidR="006574B1" w:rsidRPr="00C40BD9">
        <w:rPr>
          <w:rFonts w:ascii="Verdana" w:hAnsi="Verdana" w:cs="Verdana"/>
          <w:sz w:val="20"/>
          <w:szCs w:val="20"/>
          <w:lang w:val="pt-BR"/>
        </w:rPr>
        <w:t xml:space="preserve"> </w:t>
      </w:r>
      <w:r w:rsidR="00D159DD" w:rsidRPr="00C40BD9">
        <w:rPr>
          <w:rFonts w:ascii="Verdana" w:hAnsi="Verdana" w:cs="Verdana"/>
          <w:sz w:val="20"/>
          <w:szCs w:val="20"/>
          <w:lang w:val="pt-BR"/>
        </w:rPr>
        <w:t xml:space="preserve">sobre </w:t>
      </w:r>
      <w:r w:rsidR="005361B1" w:rsidRPr="00C40BD9">
        <w:rPr>
          <w:rFonts w:ascii="Verdana" w:hAnsi="Verdana" w:cs="Verdana"/>
          <w:sz w:val="20"/>
          <w:szCs w:val="20"/>
          <w:lang w:val="pt-BR"/>
        </w:rPr>
        <w:t>a</w:t>
      </w:r>
      <w:r w:rsidR="006574B1" w:rsidRPr="00C40BD9">
        <w:rPr>
          <w:rFonts w:ascii="Verdana" w:hAnsi="Verdana" w:cs="Verdana"/>
          <w:sz w:val="20"/>
          <w:szCs w:val="20"/>
          <w:lang w:val="pt-BR"/>
        </w:rPr>
        <w:t>s viola</w:t>
      </w:r>
      <w:r w:rsidR="00F633DD" w:rsidRPr="00C40BD9">
        <w:rPr>
          <w:rFonts w:ascii="Verdana" w:hAnsi="Verdana" w:cs="Verdana"/>
          <w:sz w:val="20"/>
          <w:szCs w:val="20"/>
          <w:lang w:val="pt-BR"/>
        </w:rPr>
        <w:t>ções</w:t>
      </w:r>
      <w:r w:rsidR="006574B1" w:rsidRPr="00C40BD9">
        <w:rPr>
          <w:rFonts w:ascii="Verdana" w:hAnsi="Verdana" w:cs="Verdana"/>
          <w:sz w:val="20"/>
          <w:szCs w:val="20"/>
          <w:lang w:val="pt-BR"/>
        </w:rPr>
        <w:t xml:space="preserve"> de </w:t>
      </w:r>
      <w:r w:rsidR="000814BE" w:rsidRPr="00C40BD9">
        <w:rPr>
          <w:rFonts w:ascii="Verdana" w:hAnsi="Verdana" w:cs="Verdana"/>
          <w:sz w:val="20"/>
          <w:szCs w:val="20"/>
          <w:lang w:val="pt-BR"/>
        </w:rPr>
        <w:t>direitos</w:t>
      </w:r>
      <w:r w:rsidR="00DE316A">
        <w:rPr>
          <w:rFonts w:ascii="Verdana" w:hAnsi="Verdana" w:cs="Verdana"/>
          <w:sz w:val="20"/>
          <w:szCs w:val="20"/>
          <w:lang w:val="pt-BR"/>
        </w:rPr>
        <w:t xml:space="preserve"> </w:t>
      </w:r>
      <w:r w:rsidR="006574B1" w:rsidRPr="00C40BD9">
        <w:rPr>
          <w:rFonts w:ascii="Verdana" w:hAnsi="Verdana" w:cs="Verdana"/>
          <w:sz w:val="20"/>
          <w:szCs w:val="20"/>
          <w:lang w:val="pt-BR"/>
        </w:rPr>
        <w:t xml:space="preserve">humanos </w:t>
      </w:r>
      <w:r w:rsidR="00D159DD" w:rsidRPr="00C40BD9">
        <w:rPr>
          <w:rFonts w:ascii="Verdana" w:hAnsi="Verdana" w:cs="Verdana"/>
          <w:sz w:val="20"/>
          <w:szCs w:val="20"/>
          <w:lang w:val="pt-BR"/>
        </w:rPr>
        <w:t>determinadas</w:t>
      </w:r>
      <w:r w:rsidR="006574B1" w:rsidRPr="00C40BD9">
        <w:rPr>
          <w:rFonts w:ascii="Verdana" w:hAnsi="Verdana" w:cs="Verdana"/>
          <w:sz w:val="20"/>
          <w:szCs w:val="20"/>
          <w:lang w:val="pt-BR"/>
        </w:rPr>
        <w:t xml:space="preserve"> neste caso. </w:t>
      </w:r>
    </w:p>
    <w:p w:rsidR="006574B1" w:rsidRPr="00C40BD9" w:rsidRDefault="006574B1" w:rsidP="00A82FB4">
      <w:pPr>
        <w:autoSpaceDE w:val="0"/>
        <w:autoSpaceDN w:val="0"/>
        <w:adjustRightInd w:val="0"/>
        <w:spacing w:after="0" w:line="240" w:lineRule="auto"/>
        <w:jc w:val="both"/>
        <w:rPr>
          <w:rFonts w:ascii="Verdana" w:hAnsi="Verdana" w:cs="Verdana"/>
          <w:sz w:val="20"/>
          <w:szCs w:val="20"/>
          <w:lang w:val="pt-BR"/>
        </w:rPr>
      </w:pPr>
    </w:p>
    <w:p w:rsidR="00D159DD" w:rsidRPr="00C40BD9" w:rsidRDefault="00D660E7" w:rsidP="00A82FB4">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pt-BR"/>
        </w:rPr>
      </w:pPr>
      <w:r w:rsidRPr="00C40BD9">
        <w:rPr>
          <w:rFonts w:ascii="Verdana" w:hAnsi="Verdana" w:cs="Verdana"/>
          <w:sz w:val="20"/>
          <w:szCs w:val="20"/>
          <w:lang w:val="pt-BR"/>
        </w:rPr>
        <w:t xml:space="preserve">Nos </w:t>
      </w:r>
      <w:r w:rsidR="00635878" w:rsidRPr="00C40BD9">
        <w:rPr>
          <w:rFonts w:ascii="Verdana" w:hAnsi="Verdana" w:cs="Verdana"/>
          <w:sz w:val="20"/>
          <w:szCs w:val="20"/>
          <w:lang w:val="pt-BR"/>
        </w:rPr>
        <w:t>parágrafos</w:t>
      </w:r>
      <w:r w:rsidR="00DE316A">
        <w:rPr>
          <w:rFonts w:ascii="Verdana" w:hAnsi="Verdana" w:cs="Verdana"/>
          <w:sz w:val="20"/>
          <w:szCs w:val="20"/>
          <w:lang w:val="pt-BR"/>
        </w:rPr>
        <w:t xml:space="preserve"> </w:t>
      </w:r>
      <w:r w:rsidR="003201B1" w:rsidRPr="00C40BD9">
        <w:rPr>
          <w:rFonts w:ascii="Verdana" w:hAnsi="Verdana" w:cs="Verdana"/>
          <w:sz w:val="20"/>
          <w:szCs w:val="20"/>
          <w:lang w:val="pt-BR"/>
        </w:rPr>
        <w:t xml:space="preserve">291, 292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003201B1" w:rsidRPr="00C40BD9">
        <w:rPr>
          <w:rFonts w:ascii="Verdana" w:hAnsi="Verdana" w:cs="Verdana"/>
          <w:sz w:val="20"/>
          <w:szCs w:val="20"/>
          <w:lang w:val="pt-BR"/>
        </w:rPr>
        <w:t>293</w:t>
      </w:r>
      <w:r w:rsidR="0049492F" w:rsidRPr="00C40BD9">
        <w:rPr>
          <w:rFonts w:ascii="Verdana" w:hAnsi="Verdana" w:cs="Verdana"/>
          <w:sz w:val="20"/>
          <w:szCs w:val="20"/>
          <w:lang w:val="pt-BR"/>
        </w:rPr>
        <w:t xml:space="preserve"> </w:t>
      </w:r>
      <w:r w:rsidR="00F633DD" w:rsidRPr="00C40BD9">
        <w:rPr>
          <w:rFonts w:ascii="Verdana" w:hAnsi="Verdana" w:cs="Verdana"/>
          <w:sz w:val="20"/>
          <w:szCs w:val="20"/>
          <w:lang w:val="pt-BR"/>
        </w:rPr>
        <w:t>da Sentença</w:t>
      </w:r>
      <w:r w:rsidR="00AF6BDD" w:rsidRPr="00C40BD9">
        <w:rPr>
          <w:rFonts w:ascii="Verdana" w:hAnsi="Verdana" w:cs="Verdana"/>
          <w:sz w:val="20"/>
          <w:szCs w:val="20"/>
          <w:lang w:val="pt-BR"/>
        </w:rPr>
        <w:t xml:space="preserve">, </w:t>
      </w:r>
      <w:r w:rsidR="00036A1B" w:rsidRPr="00C40BD9">
        <w:rPr>
          <w:rFonts w:ascii="Verdana" w:hAnsi="Verdana" w:cs="Verdana"/>
          <w:sz w:val="20"/>
          <w:szCs w:val="20"/>
          <w:lang w:val="pt-BR"/>
        </w:rPr>
        <w:t xml:space="preserve">a Corte </w:t>
      </w:r>
      <w:r w:rsidRPr="00C40BD9">
        <w:rPr>
          <w:rFonts w:ascii="Verdana" w:hAnsi="Verdana" w:cs="Verdana"/>
          <w:sz w:val="20"/>
          <w:szCs w:val="20"/>
          <w:lang w:val="pt-BR"/>
        </w:rPr>
        <w:t xml:space="preserve">dispôs o </w:t>
      </w:r>
      <w:r w:rsidR="00E81DC6">
        <w:rPr>
          <w:rFonts w:ascii="Verdana" w:hAnsi="Verdana" w:cs="Verdana"/>
          <w:sz w:val="20"/>
          <w:szCs w:val="20"/>
          <w:lang w:val="pt-BR"/>
        </w:rPr>
        <w:t xml:space="preserve">que se segue. </w:t>
      </w:r>
      <w:r w:rsidR="00D159DD" w:rsidRPr="00C40BD9">
        <w:rPr>
          <w:rFonts w:ascii="Verdana" w:hAnsi="Verdana" w:cs="Verdana"/>
          <w:sz w:val="20"/>
          <w:szCs w:val="20"/>
          <w:lang w:val="pt-BR"/>
        </w:rPr>
        <w:t xml:space="preserve"> </w:t>
      </w:r>
    </w:p>
    <w:p w:rsidR="00D159DD" w:rsidRPr="00C40BD9" w:rsidRDefault="00D159DD" w:rsidP="00A82FB4">
      <w:pPr>
        <w:pStyle w:val="ListParagraph"/>
        <w:ind w:left="0"/>
        <w:rPr>
          <w:rFonts w:ascii="Verdana" w:hAnsi="Verdana" w:cs="Verdana"/>
          <w:sz w:val="20"/>
          <w:szCs w:val="20"/>
          <w:lang w:val="pt-BR"/>
        </w:rPr>
      </w:pPr>
    </w:p>
    <w:p w:rsidR="003201B1" w:rsidRPr="00C40BD9" w:rsidRDefault="003201B1" w:rsidP="00A82FB4">
      <w:pPr>
        <w:pStyle w:val="ListParagraph"/>
        <w:numPr>
          <w:ilvl w:val="0"/>
          <w:numId w:val="17"/>
        </w:numPr>
        <w:autoSpaceDE w:val="0"/>
        <w:autoSpaceDN w:val="0"/>
        <w:adjustRightInd w:val="0"/>
        <w:spacing w:after="0" w:line="240" w:lineRule="auto"/>
        <w:ind w:left="993" w:right="855" w:firstLine="0"/>
        <w:jc w:val="both"/>
        <w:rPr>
          <w:rFonts w:ascii="Verdana" w:hAnsi="Verdana" w:cs="Verdana"/>
          <w:iCs/>
          <w:sz w:val="18"/>
          <w:szCs w:val="18"/>
          <w:lang w:val="pt-BR"/>
        </w:rPr>
      </w:pPr>
      <w:r w:rsidRPr="00C40BD9">
        <w:rPr>
          <w:rFonts w:ascii="Verdana" w:hAnsi="Verdana" w:cs="Verdana"/>
          <w:iCs/>
          <w:sz w:val="18"/>
          <w:szCs w:val="18"/>
          <w:lang w:val="pt-BR"/>
        </w:rPr>
        <w:t xml:space="preserve"> </w:t>
      </w:r>
      <w:r w:rsidR="001A44C0" w:rsidRPr="00C40BD9">
        <w:rPr>
          <w:rFonts w:ascii="Verdana" w:hAnsi="Verdana" w:cs="Verdana"/>
          <w:iCs/>
          <w:sz w:val="18"/>
          <w:szCs w:val="18"/>
          <w:lang w:val="pt-BR"/>
        </w:rPr>
        <w:t>A</w:t>
      </w:r>
      <w:r w:rsidR="00DE316A">
        <w:rPr>
          <w:rFonts w:ascii="Verdana" w:hAnsi="Verdana" w:cs="Verdana"/>
          <w:iCs/>
          <w:sz w:val="18"/>
          <w:szCs w:val="18"/>
          <w:lang w:val="pt-BR"/>
        </w:rPr>
        <w:t xml:space="preserve"> </w:t>
      </w:r>
      <w:r w:rsidRPr="00C40BD9">
        <w:rPr>
          <w:rFonts w:ascii="Verdana" w:hAnsi="Verdana" w:cs="Verdana"/>
          <w:iCs/>
          <w:sz w:val="18"/>
          <w:szCs w:val="18"/>
          <w:lang w:val="pt-BR"/>
        </w:rPr>
        <w:t xml:space="preserve">Corte </w:t>
      </w:r>
      <w:r w:rsidR="001A44C0" w:rsidRPr="00C40BD9">
        <w:rPr>
          <w:rFonts w:ascii="Verdana" w:hAnsi="Verdana" w:cs="Verdana"/>
          <w:iCs/>
          <w:sz w:val="18"/>
          <w:szCs w:val="18"/>
          <w:lang w:val="pt-BR"/>
        </w:rPr>
        <w:t xml:space="preserve">recorda que, no </w:t>
      </w:r>
      <w:r w:rsidRPr="00C40BD9">
        <w:rPr>
          <w:rFonts w:ascii="Verdana" w:hAnsi="Verdana" w:cs="Verdana"/>
          <w:iCs/>
          <w:sz w:val="18"/>
          <w:szCs w:val="18"/>
          <w:lang w:val="pt-BR"/>
        </w:rPr>
        <w:t>capítulo VII-1</w:t>
      </w:r>
      <w:r w:rsidR="001A44C0" w:rsidRPr="00C40BD9">
        <w:rPr>
          <w:rFonts w:ascii="Verdana" w:hAnsi="Verdana" w:cs="Verdana"/>
          <w:iCs/>
          <w:sz w:val="18"/>
          <w:szCs w:val="18"/>
          <w:lang w:val="pt-BR"/>
        </w:rPr>
        <w:t xml:space="preserve">, se declarou que as </w:t>
      </w:r>
      <w:r w:rsidRPr="00C40BD9">
        <w:rPr>
          <w:rFonts w:ascii="Verdana" w:hAnsi="Verdana" w:cs="Verdana"/>
          <w:iCs/>
          <w:sz w:val="18"/>
          <w:szCs w:val="18"/>
          <w:lang w:val="pt-BR"/>
        </w:rPr>
        <w:t>diversas investiga</w:t>
      </w:r>
      <w:r w:rsidR="00F633DD" w:rsidRPr="00C40BD9">
        <w:rPr>
          <w:rFonts w:ascii="Verdana" w:hAnsi="Verdana" w:cs="Verdana"/>
          <w:iCs/>
          <w:sz w:val="18"/>
          <w:szCs w:val="18"/>
          <w:lang w:val="pt-BR"/>
        </w:rPr>
        <w:t>ções</w:t>
      </w:r>
      <w:r w:rsidRPr="00C40BD9">
        <w:rPr>
          <w:rFonts w:ascii="Verdana" w:hAnsi="Verdana" w:cs="Verdana"/>
          <w:iCs/>
          <w:sz w:val="18"/>
          <w:szCs w:val="18"/>
          <w:lang w:val="pt-BR"/>
        </w:rPr>
        <w:t xml:space="preserve"> levadas a cabo </w:t>
      </w:r>
      <w:r w:rsidR="00036A1B" w:rsidRPr="00C40BD9">
        <w:rPr>
          <w:rFonts w:ascii="Verdana" w:hAnsi="Verdana" w:cs="Verdana"/>
          <w:iCs/>
          <w:sz w:val="18"/>
          <w:szCs w:val="18"/>
          <w:lang w:val="pt-BR"/>
        </w:rPr>
        <w:t xml:space="preserve">pelo </w:t>
      </w:r>
      <w:r w:rsidRPr="00C40BD9">
        <w:rPr>
          <w:rFonts w:ascii="Verdana" w:hAnsi="Verdana" w:cs="Verdana"/>
          <w:iCs/>
          <w:sz w:val="18"/>
          <w:szCs w:val="18"/>
          <w:lang w:val="pt-BR"/>
        </w:rPr>
        <w:t>Estado</w:t>
      </w:r>
      <w:r w:rsidR="001A44C0" w:rsidRPr="00C40BD9">
        <w:rPr>
          <w:rFonts w:ascii="Verdana" w:hAnsi="Verdana" w:cs="Verdana"/>
          <w:iCs/>
          <w:sz w:val="18"/>
          <w:szCs w:val="18"/>
          <w:lang w:val="pt-BR"/>
        </w:rPr>
        <w:t>,</w:t>
      </w:r>
      <w:r w:rsidRPr="00C40BD9">
        <w:rPr>
          <w:rFonts w:ascii="Verdana" w:hAnsi="Verdana" w:cs="Verdana"/>
          <w:iCs/>
          <w:sz w:val="18"/>
          <w:szCs w:val="18"/>
          <w:lang w:val="pt-BR"/>
        </w:rPr>
        <w:t xml:space="preserve"> relativas </w:t>
      </w:r>
      <w:r w:rsidR="001A44C0" w:rsidRPr="00C40BD9">
        <w:rPr>
          <w:rFonts w:ascii="Verdana" w:hAnsi="Verdana" w:cs="Verdana"/>
          <w:iCs/>
          <w:sz w:val="18"/>
          <w:szCs w:val="18"/>
          <w:lang w:val="pt-BR"/>
        </w:rPr>
        <w:t xml:space="preserve">aos fatos do </w:t>
      </w:r>
      <w:r w:rsidRPr="00C40BD9">
        <w:rPr>
          <w:rFonts w:ascii="Verdana" w:hAnsi="Verdana" w:cs="Verdana"/>
          <w:iCs/>
          <w:sz w:val="18"/>
          <w:szCs w:val="18"/>
          <w:lang w:val="pt-BR"/>
        </w:rPr>
        <w:t>presente caso</w:t>
      </w:r>
      <w:r w:rsidR="001A44C0" w:rsidRPr="00C40BD9">
        <w:rPr>
          <w:rFonts w:ascii="Verdana" w:hAnsi="Verdana" w:cs="Verdana"/>
          <w:iCs/>
          <w:sz w:val="18"/>
          <w:szCs w:val="18"/>
          <w:lang w:val="pt-BR"/>
        </w:rPr>
        <w:t>,</w:t>
      </w:r>
      <w:r w:rsidRPr="00C40BD9">
        <w:rPr>
          <w:rFonts w:ascii="Verdana" w:hAnsi="Verdana" w:cs="Verdana"/>
          <w:iCs/>
          <w:sz w:val="18"/>
          <w:szCs w:val="18"/>
          <w:lang w:val="pt-BR"/>
        </w:rPr>
        <w:t xml:space="preserve"> violar</w:t>
      </w:r>
      <w:r w:rsidR="001A44C0" w:rsidRPr="00C40BD9">
        <w:rPr>
          <w:rFonts w:ascii="Verdana" w:hAnsi="Verdana" w:cs="Verdana"/>
          <w:iCs/>
          <w:sz w:val="18"/>
          <w:szCs w:val="18"/>
          <w:lang w:val="pt-BR"/>
        </w:rPr>
        <w:t xml:space="preserve">am os </w:t>
      </w:r>
      <w:r w:rsidR="000814BE" w:rsidRPr="00C40BD9">
        <w:rPr>
          <w:rFonts w:ascii="Verdana" w:hAnsi="Verdana" w:cs="Verdana"/>
          <w:iCs/>
          <w:sz w:val="18"/>
          <w:szCs w:val="18"/>
          <w:lang w:val="pt-BR"/>
        </w:rPr>
        <w:t>direitos</w:t>
      </w:r>
      <w:r w:rsidR="00DE316A">
        <w:rPr>
          <w:rFonts w:ascii="Verdana" w:hAnsi="Verdana" w:cs="Verdana"/>
          <w:iCs/>
          <w:sz w:val="18"/>
          <w:szCs w:val="18"/>
          <w:lang w:val="pt-BR"/>
        </w:rPr>
        <w:t xml:space="preserve"> </w:t>
      </w:r>
      <w:r w:rsidR="001A44C0" w:rsidRPr="00C40BD9">
        <w:rPr>
          <w:rFonts w:ascii="Verdana" w:hAnsi="Verdana" w:cs="Verdana"/>
          <w:iCs/>
          <w:sz w:val="18"/>
          <w:szCs w:val="18"/>
          <w:lang w:val="pt-BR"/>
        </w:rPr>
        <w:t xml:space="preserve">às </w:t>
      </w:r>
      <w:r w:rsidRPr="00C40BD9">
        <w:rPr>
          <w:rFonts w:ascii="Verdana" w:hAnsi="Verdana" w:cs="Verdana"/>
          <w:iCs/>
          <w:sz w:val="18"/>
          <w:szCs w:val="18"/>
          <w:lang w:val="pt-BR"/>
        </w:rPr>
        <w:t>garant</w:t>
      </w:r>
      <w:r w:rsidR="001A44C0" w:rsidRPr="00C40BD9">
        <w:rPr>
          <w:rFonts w:ascii="Verdana" w:hAnsi="Verdana" w:cs="Verdana"/>
          <w:iCs/>
          <w:sz w:val="18"/>
          <w:szCs w:val="18"/>
          <w:lang w:val="pt-BR"/>
        </w:rPr>
        <w:t>i</w:t>
      </w:r>
      <w:r w:rsidRPr="00C40BD9">
        <w:rPr>
          <w:rFonts w:ascii="Verdana" w:hAnsi="Verdana" w:cs="Verdana"/>
          <w:iCs/>
          <w:sz w:val="18"/>
          <w:szCs w:val="18"/>
          <w:lang w:val="pt-BR"/>
        </w:rPr>
        <w:t>as judici</w:t>
      </w:r>
      <w:r w:rsidR="00C06A9B" w:rsidRPr="00C40BD9">
        <w:rPr>
          <w:rFonts w:ascii="Verdana" w:hAnsi="Verdana" w:cs="Verdana"/>
          <w:iCs/>
          <w:sz w:val="18"/>
          <w:szCs w:val="18"/>
          <w:lang w:val="pt-BR"/>
        </w:rPr>
        <w:t>ais</w:t>
      </w:r>
      <w:r w:rsidR="00DE316A">
        <w:rPr>
          <w:rFonts w:ascii="Verdana" w:hAnsi="Verdana" w:cs="Verdana"/>
          <w:iCs/>
          <w:sz w:val="18"/>
          <w:szCs w:val="18"/>
          <w:lang w:val="pt-BR"/>
        </w:rPr>
        <w:t xml:space="preserve"> </w:t>
      </w:r>
      <w:r w:rsidR="00F633DD" w:rsidRPr="00C40BD9">
        <w:rPr>
          <w:rFonts w:ascii="Verdana" w:hAnsi="Verdana" w:cs="Verdana"/>
          <w:iCs/>
          <w:sz w:val="18"/>
          <w:szCs w:val="18"/>
          <w:lang w:val="pt-BR"/>
        </w:rPr>
        <w:t>e</w:t>
      </w:r>
      <w:r w:rsidR="00DE316A">
        <w:rPr>
          <w:rFonts w:ascii="Verdana" w:hAnsi="Verdana" w:cs="Verdana"/>
          <w:iCs/>
          <w:sz w:val="18"/>
          <w:szCs w:val="18"/>
          <w:lang w:val="pt-BR"/>
        </w:rPr>
        <w:t xml:space="preserve"> </w:t>
      </w:r>
      <w:r w:rsidR="001A44C0" w:rsidRPr="00C40BD9">
        <w:rPr>
          <w:rFonts w:ascii="Verdana" w:hAnsi="Verdana" w:cs="Verdana"/>
          <w:iCs/>
          <w:sz w:val="18"/>
          <w:szCs w:val="18"/>
          <w:lang w:val="pt-BR"/>
        </w:rPr>
        <w:t xml:space="preserve">à proteção </w:t>
      </w:r>
      <w:r w:rsidRPr="00C40BD9">
        <w:rPr>
          <w:rFonts w:ascii="Verdana" w:hAnsi="Verdana" w:cs="Verdana"/>
          <w:iCs/>
          <w:sz w:val="18"/>
          <w:szCs w:val="18"/>
          <w:lang w:val="pt-BR"/>
        </w:rPr>
        <w:t xml:space="preserve">judicial </w:t>
      </w:r>
      <w:r w:rsidR="00C06A9B" w:rsidRPr="00C40BD9">
        <w:rPr>
          <w:rFonts w:ascii="Verdana" w:hAnsi="Verdana" w:cs="Verdana"/>
          <w:iCs/>
          <w:sz w:val="18"/>
          <w:szCs w:val="18"/>
          <w:lang w:val="pt-BR"/>
        </w:rPr>
        <w:t>das vítimas</w:t>
      </w:r>
      <w:r w:rsidRPr="00C40BD9">
        <w:rPr>
          <w:rFonts w:ascii="Verdana" w:hAnsi="Verdana" w:cs="Verdana"/>
          <w:iCs/>
          <w:sz w:val="18"/>
          <w:szCs w:val="18"/>
          <w:lang w:val="pt-BR"/>
        </w:rPr>
        <w:t xml:space="preserve">; </w:t>
      </w:r>
      <w:r w:rsidR="001A44C0" w:rsidRPr="00C40BD9">
        <w:rPr>
          <w:rFonts w:ascii="Verdana" w:hAnsi="Verdana" w:cs="Verdana"/>
          <w:iCs/>
          <w:sz w:val="18"/>
          <w:szCs w:val="18"/>
          <w:lang w:val="pt-BR"/>
        </w:rPr>
        <w:t xml:space="preserve">e </w:t>
      </w:r>
      <w:r w:rsidRPr="00C40BD9">
        <w:rPr>
          <w:rFonts w:ascii="Verdana" w:hAnsi="Verdana" w:cs="Verdana"/>
          <w:iCs/>
          <w:sz w:val="18"/>
          <w:szCs w:val="18"/>
          <w:lang w:val="pt-BR"/>
        </w:rPr>
        <w:t>se determin</w:t>
      </w:r>
      <w:r w:rsidR="001A44C0" w:rsidRPr="00C40BD9">
        <w:rPr>
          <w:rFonts w:ascii="Verdana" w:hAnsi="Verdana" w:cs="Verdana"/>
          <w:iCs/>
          <w:sz w:val="18"/>
          <w:szCs w:val="18"/>
          <w:lang w:val="pt-BR"/>
        </w:rPr>
        <w:t xml:space="preserve">ou que a atuação das </w:t>
      </w:r>
      <w:r w:rsidRPr="00C40BD9">
        <w:rPr>
          <w:rFonts w:ascii="Verdana" w:hAnsi="Verdana" w:cs="Verdana"/>
          <w:sz w:val="18"/>
          <w:szCs w:val="18"/>
          <w:lang w:val="pt-BR"/>
        </w:rPr>
        <w:t>autoridades judici</w:t>
      </w:r>
      <w:r w:rsidR="00C06A9B" w:rsidRPr="00C40BD9">
        <w:rPr>
          <w:rFonts w:ascii="Verdana" w:hAnsi="Verdana" w:cs="Verdana"/>
          <w:sz w:val="18"/>
          <w:szCs w:val="18"/>
          <w:lang w:val="pt-BR"/>
        </w:rPr>
        <w:t>ais</w:t>
      </w:r>
      <w:r w:rsidR="00DE316A">
        <w:rPr>
          <w:rFonts w:ascii="Verdana" w:hAnsi="Verdana" w:cs="Verdana"/>
          <w:sz w:val="18"/>
          <w:szCs w:val="18"/>
          <w:lang w:val="pt-BR"/>
        </w:rPr>
        <w:t xml:space="preserve"> </w:t>
      </w:r>
      <w:r w:rsidR="001A44C0" w:rsidRPr="00C40BD9">
        <w:rPr>
          <w:rFonts w:ascii="Verdana" w:hAnsi="Verdana" w:cs="Verdana"/>
          <w:sz w:val="18"/>
          <w:szCs w:val="18"/>
          <w:lang w:val="pt-BR"/>
        </w:rPr>
        <w:t xml:space="preserve">careceu da devida </w:t>
      </w:r>
      <w:r w:rsidRPr="00C40BD9">
        <w:rPr>
          <w:rFonts w:ascii="Verdana" w:hAnsi="Verdana" w:cs="Verdana"/>
          <w:sz w:val="18"/>
          <w:szCs w:val="18"/>
          <w:lang w:val="pt-BR"/>
        </w:rPr>
        <w:t>dilig</w:t>
      </w:r>
      <w:r w:rsidR="001A44C0" w:rsidRPr="00C40BD9">
        <w:rPr>
          <w:rFonts w:ascii="Verdana" w:hAnsi="Verdana" w:cs="Verdana"/>
          <w:sz w:val="18"/>
          <w:szCs w:val="18"/>
          <w:lang w:val="pt-BR"/>
        </w:rPr>
        <w:t>ê</w:t>
      </w:r>
      <w:r w:rsidRPr="00C40BD9">
        <w:rPr>
          <w:rFonts w:ascii="Verdana" w:hAnsi="Verdana" w:cs="Verdana"/>
          <w:sz w:val="18"/>
          <w:szCs w:val="18"/>
          <w:lang w:val="pt-BR"/>
        </w:rPr>
        <w:t>ncia</w:t>
      </w:r>
      <w:r w:rsidR="001A44C0" w:rsidRPr="00C40BD9">
        <w:rPr>
          <w:rFonts w:ascii="Verdana" w:hAnsi="Verdana" w:cs="Verdana"/>
          <w:sz w:val="18"/>
          <w:szCs w:val="18"/>
          <w:lang w:val="pt-BR"/>
        </w:rPr>
        <w:t xml:space="preserve">, e que o desenvolvimento dos processos não ocorreu em um prazo razoável, encerrando-se as </w:t>
      </w:r>
      <w:r w:rsidRPr="00C40BD9">
        <w:rPr>
          <w:rFonts w:ascii="Verdana" w:hAnsi="Verdana" w:cs="Verdana"/>
          <w:sz w:val="18"/>
          <w:szCs w:val="18"/>
          <w:lang w:val="pt-BR"/>
        </w:rPr>
        <w:t>investiga</w:t>
      </w:r>
      <w:r w:rsidR="00F633DD" w:rsidRPr="00C40BD9">
        <w:rPr>
          <w:rFonts w:ascii="Verdana" w:hAnsi="Verdana" w:cs="Verdana"/>
          <w:sz w:val="18"/>
          <w:szCs w:val="18"/>
          <w:lang w:val="pt-BR"/>
        </w:rPr>
        <w:t>ções</w:t>
      </w:r>
      <w:r w:rsidRPr="00C40BD9">
        <w:rPr>
          <w:rFonts w:ascii="Verdana" w:hAnsi="Verdana" w:cs="Verdana"/>
          <w:sz w:val="18"/>
          <w:szCs w:val="18"/>
          <w:lang w:val="pt-BR"/>
        </w:rPr>
        <w:t xml:space="preserve"> </w:t>
      </w:r>
      <w:r w:rsidR="001A44C0" w:rsidRPr="00C40BD9">
        <w:rPr>
          <w:rFonts w:ascii="Verdana" w:hAnsi="Verdana" w:cs="Verdana"/>
          <w:sz w:val="18"/>
          <w:szCs w:val="18"/>
          <w:lang w:val="pt-BR"/>
        </w:rPr>
        <w:t>sem que se tivesse chegado a nenhuma análise de fundo</w:t>
      </w:r>
      <w:r w:rsidRPr="00C40BD9">
        <w:rPr>
          <w:rFonts w:ascii="Verdana" w:hAnsi="Verdana" w:cs="Verdana"/>
          <w:sz w:val="18"/>
          <w:szCs w:val="18"/>
          <w:lang w:val="pt-BR"/>
        </w:rPr>
        <w:t xml:space="preserve">, </w:t>
      </w:r>
      <w:r w:rsidR="00F633DD" w:rsidRPr="00C40BD9">
        <w:rPr>
          <w:rFonts w:ascii="Verdana" w:hAnsi="Verdana" w:cs="Verdana"/>
          <w:sz w:val="18"/>
          <w:szCs w:val="18"/>
          <w:lang w:val="pt-BR"/>
        </w:rPr>
        <w:t>e</w:t>
      </w:r>
      <w:r w:rsidR="00DE316A">
        <w:rPr>
          <w:rFonts w:ascii="Verdana" w:hAnsi="Verdana" w:cs="Verdana"/>
          <w:sz w:val="18"/>
          <w:szCs w:val="18"/>
          <w:lang w:val="pt-BR"/>
        </w:rPr>
        <w:t xml:space="preserve"> </w:t>
      </w:r>
      <w:r w:rsidRPr="00C40BD9">
        <w:rPr>
          <w:rFonts w:ascii="Verdana" w:hAnsi="Verdana" w:cs="Verdana"/>
          <w:sz w:val="18"/>
          <w:szCs w:val="18"/>
          <w:lang w:val="pt-BR"/>
        </w:rPr>
        <w:t>reabrindo</w:t>
      </w:r>
      <w:r w:rsidR="001A44C0" w:rsidRPr="00C40BD9">
        <w:rPr>
          <w:rFonts w:ascii="Verdana" w:hAnsi="Verdana" w:cs="Verdana"/>
          <w:sz w:val="18"/>
          <w:szCs w:val="18"/>
          <w:lang w:val="pt-BR"/>
        </w:rPr>
        <w:t>-</w:t>
      </w:r>
      <w:r w:rsidRPr="00C40BD9">
        <w:rPr>
          <w:rFonts w:ascii="Verdana" w:hAnsi="Verdana" w:cs="Verdana"/>
          <w:sz w:val="18"/>
          <w:szCs w:val="18"/>
          <w:lang w:val="pt-BR"/>
        </w:rPr>
        <w:t>se v</w:t>
      </w:r>
      <w:r w:rsidR="001A44C0" w:rsidRPr="00C40BD9">
        <w:rPr>
          <w:rFonts w:ascii="Verdana" w:hAnsi="Verdana" w:cs="Verdana"/>
          <w:sz w:val="18"/>
          <w:szCs w:val="18"/>
          <w:lang w:val="pt-BR"/>
        </w:rPr>
        <w:t xml:space="preserve">ários anos depois a </w:t>
      </w:r>
      <w:r w:rsidRPr="00C40BD9">
        <w:rPr>
          <w:rFonts w:ascii="Verdana" w:hAnsi="Verdana" w:cs="Verdana"/>
          <w:sz w:val="18"/>
          <w:szCs w:val="18"/>
          <w:lang w:val="pt-BR"/>
        </w:rPr>
        <w:t>investiga</w:t>
      </w:r>
      <w:r w:rsidR="00F633DD" w:rsidRPr="00C40BD9">
        <w:rPr>
          <w:rFonts w:ascii="Verdana" w:hAnsi="Verdana" w:cs="Verdana"/>
          <w:sz w:val="18"/>
          <w:szCs w:val="18"/>
          <w:lang w:val="pt-BR"/>
        </w:rPr>
        <w:t>ção</w:t>
      </w:r>
      <w:r w:rsidRPr="00C40BD9">
        <w:rPr>
          <w:rFonts w:ascii="Verdana" w:hAnsi="Verdana" w:cs="Verdana"/>
          <w:sz w:val="18"/>
          <w:szCs w:val="18"/>
          <w:lang w:val="pt-BR"/>
        </w:rPr>
        <w:t xml:space="preserve"> </w:t>
      </w:r>
      <w:r w:rsidR="001A44C0" w:rsidRPr="00C40BD9">
        <w:rPr>
          <w:rFonts w:ascii="Verdana" w:hAnsi="Verdana" w:cs="Verdana"/>
          <w:sz w:val="18"/>
          <w:szCs w:val="18"/>
          <w:lang w:val="pt-BR"/>
        </w:rPr>
        <w:t>a respeito do</w:t>
      </w:r>
      <w:r w:rsidR="00E81DC6">
        <w:rPr>
          <w:rFonts w:ascii="Verdana" w:hAnsi="Verdana" w:cs="Verdana"/>
          <w:sz w:val="18"/>
          <w:szCs w:val="18"/>
          <w:lang w:val="pt-BR"/>
        </w:rPr>
        <w:t>s</w:t>
      </w:r>
      <w:r w:rsidR="001A44C0" w:rsidRPr="00C40BD9">
        <w:rPr>
          <w:rFonts w:ascii="Verdana" w:hAnsi="Verdana" w:cs="Verdana"/>
          <w:sz w:val="18"/>
          <w:szCs w:val="18"/>
          <w:lang w:val="pt-BR"/>
        </w:rPr>
        <w:t xml:space="preserve"> f</w:t>
      </w:r>
      <w:r w:rsidR="00540E4A" w:rsidRPr="00C40BD9">
        <w:rPr>
          <w:rFonts w:ascii="Verdana" w:hAnsi="Verdana" w:cs="Verdana"/>
          <w:sz w:val="18"/>
          <w:szCs w:val="18"/>
          <w:lang w:val="pt-BR"/>
        </w:rPr>
        <w:t>a</w:t>
      </w:r>
      <w:r w:rsidR="001A44C0" w:rsidRPr="00C40BD9">
        <w:rPr>
          <w:rFonts w:ascii="Verdana" w:hAnsi="Verdana" w:cs="Verdana"/>
          <w:sz w:val="18"/>
          <w:szCs w:val="18"/>
          <w:lang w:val="pt-BR"/>
        </w:rPr>
        <w:t xml:space="preserve">tos de </w:t>
      </w:r>
      <w:r w:rsidRPr="00C40BD9">
        <w:rPr>
          <w:rFonts w:ascii="Verdana" w:hAnsi="Verdana" w:cs="Verdana"/>
          <w:sz w:val="18"/>
          <w:szCs w:val="18"/>
          <w:lang w:val="pt-BR"/>
        </w:rPr>
        <w:t>1994</w:t>
      </w:r>
      <w:r w:rsidR="00540E4A" w:rsidRPr="00C40BD9">
        <w:rPr>
          <w:rFonts w:ascii="Verdana" w:hAnsi="Verdana" w:cs="Verdana"/>
          <w:sz w:val="18"/>
          <w:szCs w:val="18"/>
          <w:lang w:val="pt-BR"/>
        </w:rPr>
        <w:t xml:space="preserve">, sem que até esta data se tenha agido com diligência no âmbito desse processo. O inquérito sobre os fatos </w:t>
      </w:r>
      <w:r w:rsidRPr="00C40BD9">
        <w:rPr>
          <w:rFonts w:ascii="Verdana" w:hAnsi="Verdana" w:cs="Verdana"/>
          <w:sz w:val="18"/>
          <w:szCs w:val="18"/>
          <w:lang w:val="pt-BR"/>
        </w:rPr>
        <w:t xml:space="preserve">de 1995 </w:t>
      </w:r>
      <w:r w:rsidR="00540E4A" w:rsidRPr="00C40BD9">
        <w:rPr>
          <w:rFonts w:ascii="Verdana" w:hAnsi="Verdana" w:cs="Verdana"/>
          <w:sz w:val="18"/>
          <w:szCs w:val="18"/>
          <w:lang w:val="pt-BR"/>
        </w:rPr>
        <w:t xml:space="preserve">foi reaberto e arquivado novamente, sem que nele se registrasse avanço algum. Além disso, foi aplicada a prescrição à </w:t>
      </w:r>
      <w:r w:rsidRPr="00C40BD9">
        <w:rPr>
          <w:rFonts w:ascii="Verdana" w:hAnsi="Verdana" w:cs="Verdana"/>
          <w:sz w:val="18"/>
          <w:szCs w:val="18"/>
          <w:lang w:val="pt-BR"/>
        </w:rPr>
        <w:t>investiga</w:t>
      </w:r>
      <w:r w:rsidR="00F633DD" w:rsidRPr="00C40BD9">
        <w:rPr>
          <w:rFonts w:ascii="Verdana" w:hAnsi="Verdana" w:cs="Verdana"/>
          <w:sz w:val="18"/>
          <w:szCs w:val="18"/>
          <w:lang w:val="pt-BR"/>
        </w:rPr>
        <w:t>ç</w:t>
      </w:r>
      <w:r w:rsidR="00540E4A" w:rsidRPr="00C40BD9">
        <w:rPr>
          <w:rFonts w:ascii="Verdana" w:hAnsi="Verdana" w:cs="Verdana"/>
          <w:sz w:val="18"/>
          <w:szCs w:val="18"/>
          <w:lang w:val="pt-BR"/>
        </w:rPr>
        <w:t xml:space="preserve">ão dos fatos, apesar de constituírem prováveis execuções </w:t>
      </w:r>
      <w:r w:rsidRPr="00C40BD9">
        <w:rPr>
          <w:rFonts w:ascii="Verdana" w:hAnsi="Verdana" w:cs="Verdana"/>
          <w:sz w:val="18"/>
          <w:szCs w:val="18"/>
          <w:lang w:val="pt-BR"/>
        </w:rPr>
        <w:t>extrajudici</w:t>
      </w:r>
      <w:r w:rsidR="00C06A9B" w:rsidRPr="00C40BD9">
        <w:rPr>
          <w:rFonts w:ascii="Verdana" w:hAnsi="Verdana" w:cs="Verdana"/>
          <w:sz w:val="18"/>
          <w:szCs w:val="18"/>
          <w:lang w:val="pt-BR"/>
        </w:rPr>
        <w:t>ais</w:t>
      </w:r>
      <w:r w:rsidR="00DE316A">
        <w:rPr>
          <w:rFonts w:ascii="Verdana" w:hAnsi="Verdana" w:cs="Verdana"/>
          <w:sz w:val="18"/>
          <w:szCs w:val="18"/>
          <w:lang w:val="pt-BR"/>
        </w:rPr>
        <w:t xml:space="preserve"> </w:t>
      </w:r>
      <w:r w:rsidR="00F633DD" w:rsidRPr="00C40BD9">
        <w:rPr>
          <w:rFonts w:ascii="Verdana" w:hAnsi="Verdana" w:cs="Verdana"/>
          <w:sz w:val="18"/>
          <w:szCs w:val="18"/>
          <w:lang w:val="pt-BR"/>
        </w:rPr>
        <w:t>e</w:t>
      </w:r>
      <w:r w:rsidR="00DE316A">
        <w:rPr>
          <w:rFonts w:ascii="Verdana" w:hAnsi="Verdana" w:cs="Verdana"/>
          <w:sz w:val="18"/>
          <w:szCs w:val="18"/>
          <w:lang w:val="pt-BR"/>
        </w:rPr>
        <w:t xml:space="preserve"> </w:t>
      </w:r>
      <w:r w:rsidRPr="00C40BD9">
        <w:rPr>
          <w:rFonts w:ascii="Verdana" w:hAnsi="Verdana" w:cs="Verdana"/>
          <w:sz w:val="18"/>
          <w:szCs w:val="18"/>
          <w:lang w:val="pt-BR"/>
        </w:rPr>
        <w:t>tortura […].</w:t>
      </w:r>
    </w:p>
    <w:p w:rsidR="001A44C0" w:rsidRPr="00C40BD9" w:rsidRDefault="001A44C0" w:rsidP="001A44C0">
      <w:pPr>
        <w:autoSpaceDE w:val="0"/>
        <w:autoSpaceDN w:val="0"/>
        <w:adjustRightInd w:val="0"/>
        <w:spacing w:after="0" w:line="240" w:lineRule="auto"/>
        <w:ind w:right="855"/>
        <w:jc w:val="both"/>
        <w:rPr>
          <w:rFonts w:ascii="Verdana" w:hAnsi="Verdana" w:cs="Verdana"/>
          <w:iCs/>
          <w:sz w:val="18"/>
          <w:szCs w:val="18"/>
          <w:lang w:val="pt-BR"/>
        </w:rPr>
      </w:pPr>
    </w:p>
    <w:p w:rsidR="003201B1" w:rsidRPr="00C40BD9" w:rsidRDefault="003201B1" w:rsidP="00A82FB4">
      <w:pPr>
        <w:pStyle w:val="ListParagraph"/>
        <w:autoSpaceDE w:val="0"/>
        <w:autoSpaceDN w:val="0"/>
        <w:adjustRightInd w:val="0"/>
        <w:spacing w:after="0" w:line="240" w:lineRule="auto"/>
        <w:ind w:left="993" w:right="855"/>
        <w:jc w:val="both"/>
        <w:rPr>
          <w:rFonts w:ascii="Verdana" w:hAnsi="Verdana" w:cs="Verdana"/>
          <w:iCs/>
          <w:sz w:val="18"/>
          <w:szCs w:val="18"/>
          <w:lang w:val="pt-BR"/>
        </w:rPr>
      </w:pPr>
    </w:p>
    <w:p w:rsidR="003201B1" w:rsidRPr="00C40BD9" w:rsidRDefault="003201B1" w:rsidP="00A82FB4">
      <w:pPr>
        <w:pStyle w:val="ListParagraph"/>
        <w:numPr>
          <w:ilvl w:val="0"/>
          <w:numId w:val="17"/>
        </w:numPr>
        <w:autoSpaceDE w:val="0"/>
        <w:autoSpaceDN w:val="0"/>
        <w:adjustRightInd w:val="0"/>
        <w:spacing w:after="0" w:line="240" w:lineRule="auto"/>
        <w:ind w:left="993" w:right="855" w:firstLine="0"/>
        <w:jc w:val="both"/>
        <w:rPr>
          <w:rFonts w:ascii="Verdana" w:hAnsi="Verdana" w:cs="Verdana"/>
          <w:iCs/>
          <w:sz w:val="18"/>
          <w:szCs w:val="18"/>
          <w:lang w:val="pt-BR"/>
        </w:rPr>
      </w:pPr>
      <w:r w:rsidRPr="00C40BD9">
        <w:rPr>
          <w:rFonts w:ascii="Verdana" w:hAnsi="Verdana" w:cs="Verdana"/>
          <w:sz w:val="18"/>
          <w:szCs w:val="18"/>
          <w:lang w:val="pt-BR"/>
        </w:rPr>
        <w:t xml:space="preserve"> E</w:t>
      </w:r>
      <w:r w:rsidR="00540E4A" w:rsidRPr="00C40BD9">
        <w:rPr>
          <w:rFonts w:ascii="Verdana" w:hAnsi="Verdana" w:cs="Verdana"/>
          <w:sz w:val="18"/>
          <w:szCs w:val="18"/>
          <w:lang w:val="pt-BR"/>
        </w:rPr>
        <w:t>m</w:t>
      </w:r>
      <w:r w:rsidRPr="00C40BD9">
        <w:rPr>
          <w:rFonts w:ascii="Verdana" w:hAnsi="Verdana" w:cs="Verdana"/>
          <w:sz w:val="18"/>
          <w:szCs w:val="18"/>
          <w:lang w:val="pt-BR"/>
        </w:rPr>
        <w:t xml:space="preserve"> virtud</w:t>
      </w:r>
      <w:r w:rsidR="00540E4A" w:rsidRPr="00C40BD9">
        <w:rPr>
          <w:rFonts w:ascii="Verdana" w:hAnsi="Verdana" w:cs="Verdana"/>
          <w:sz w:val="18"/>
          <w:szCs w:val="18"/>
          <w:lang w:val="pt-BR"/>
        </w:rPr>
        <w:t>e</w:t>
      </w:r>
      <w:r w:rsidRPr="00C40BD9">
        <w:rPr>
          <w:rFonts w:ascii="Verdana" w:hAnsi="Verdana" w:cs="Verdana"/>
          <w:sz w:val="18"/>
          <w:szCs w:val="18"/>
          <w:lang w:val="pt-BR"/>
        </w:rPr>
        <w:t xml:space="preserve"> do </w:t>
      </w:r>
      <w:r w:rsidR="00540E4A" w:rsidRPr="00C40BD9">
        <w:rPr>
          <w:rFonts w:ascii="Verdana" w:hAnsi="Verdana" w:cs="Verdana"/>
          <w:sz w:val="18"/>
          <w:szCs w:val="18"/>
          <w:lang w:val="pt-BR"/>
        </w:rPr>
        <w:t>exposto</w:t>
      </w:r>
      <w:r w:rsidRPr="00C40BD9">
        <w:rPr>
          <w:rFonts w:ascii="Verdana" w:hAnsi="Verdana" w:cs="Verdana"/>
          <w:sz w:val="18"/>
          <w:szCs w:val="18"/>
          <w:lang w:val="pt-BR"/>
        </w:rPr>
        <w:t xml:space="preserve">, </w:t>
      </w:r>
      <w:r w:rsidR="00036A1B" w:rsidRPr="00C40BD9">
        <w:rPr>
          <w:rFonts w:ascii="Verdana" w:hAnsi="Verdana" w:cs="Verdana"/>
          <w:sz w:val="18"/>
          <w:szCs w:val="18"/>
          <w:lang w:val="pt-BR"/>
        </w:rPr>
        <w:t xml:space="preserve">a Corte </w:t>
      </w:r>
      <w:r w:rsidR="00540E4A" w:rsidRPr="00C40BD9">
        <w:rPr>
          <w:rFonts w:ascii="Verdana" w:hAnsi="Verdana" w:cs="Verdana"/>
          <w:sz w:val="18"/>
          <w:szCs w:val="18"/>
          <w:lang w:val="pt-BR"/>
        </w:rPr>
        <w:t xml:space="preserve">dispõe que o </w:t>
      </w:r>
      <w:r w:rsidRPr="00C40BD9">
        <w:rPr>
          <w:rFonts w:ascii="Verdana" w:hAnsi="Verdana" w:cs="Verdana"/>
          <w:sz w:val="18"/>
          <w:szCs w:val="18"/>
          <w:lang w:val="pt-BR"/>
        </w:rPr>
        <w:t xml:space="preserve">Estado </w:t>
      </w:r>
      <w:r w:rsidR="006770ED" w:rsidRPr="00C40BD9">
        <w:rPr>
          <w:rFonts w:ascii="Verdana" w:hAnsi="Verdana" w:cs="Verdana"/>
          <w:sz w:val="18"/>
          <w:szCs w:val="18"/>
          <w:lang w:val="pt-BR"/>
        </w:rPr>
        <w:t>deve</w:t>
      </w:r>
      <w:r w:rsidR="00DE316A">
        <w:rPr>
          <w:rFonts w:ascii="Verdana" w:hAnsi="Verdana" w:cs="Verdana"/>
          <w:sz w:val="18"/>
          <w:szCs w:val="18"/>
          <w:lang w:val="pt-BR"/>
        </w:rPr>
        <w:t xml:space="preserve"> </w:t>
      </w:r>
      <w:r w:rsidRPr="00C40BD9">
        <w:rPr>
          <w:rFonts w:ascii="Verdana" w:hAnsi="Verdana" w:cs="Verdana"/>
          <w:sz w:val="18"/>
          <w:szCs w:val="18"/>
          <w:lang w:val="pt-BR"/>
        </w:rPr>
        <w:t>condu</w:t>
      </w:r>
      <w:r w:rsidR="00540E4A" w:rsidRPr="00C40BD9">
        <w:rPr>
          <w:rFonts w:ascii="Verdana" w:hAnsi="Verdana" w:cs="Verdana"/>
          <w:sz w:val="18"/>
          <w:szCs w:val="18"/>
          <w:lang w:val="pt-BR"/>
        </w:rPr>
        <w:t>z</w:t>
      </w:r>
      <w:r w:rsidRPr="00C40BD9">
        <w:rPr>
          <w:rFonts w:ascii="Verdana" w:hAnsi="Verdana" w:cs="Verdana"/>
          <w:sz w:val="18"/>
          <w:szCs w:val="18"/>
          <w:lang w:val="pt-BR"/>
        </w:rPr>
        <w:t>ir eficazmente a investiga</w:t>
      </w:r>
      <w:r w:rsidR="00F633DD" w:rsidRPr="00C40BD9">
        <w:rPr>
          <w:rFonts w:ascii="Verdana" w:hAnsi="Verdana" w:cs="Verdana"/>
          <w:sz w:val="18"/>
          <w:szCs w:val="18"/>
          <w:lang w:val="pt-BR"/>
        </w:rPr>
        <w:t>ção</w:t>
      </w:r>
      <w:r w:rsidRPr="00C40BD9">
        <w:rPr>
          <w:rFonts w:ascii="Verdana" w:hAnsi="Verdana" w:cs="Verdana"/>
          <w:sz w:val="18"/>
          <w:szCs w:val="18"/>
          <w:lang w:val="pt-BR"/>
        </w:rPr>
        <w:t xml:space="preserve"> e</w:t>
      </w:r>
      <w:r w:rsidR="00540E4A" w:rsidRPr="00C40BD9">
        <w:rPr>
          <w:rFonts w:ascii="Verdana" w:hAnsi="Verdana" w:cs="Verdana"/>
          <w:sz w:val="18"/>
          <w:szCs w:val="18"/>
          <w:lang w:val="pt-BR"/>
        </w:rPr>
        <w:t xml:space="preserve">m curso sobre os fatos relacionados com as mortes ocorridas na incursão de </w:t>
      </w:r>
      <w:r w:rsidRPr="00C40BD9">
        <w:rPr>
          <w:rFonts w:ascii="Verdana" w:hAnsi="Verdana" w:cs="Verdana"/>
          <w:sz w:val="18"/>
          <w:szCs w:val="18"/>
          <w:lang w:val="pt-BR"/>
        </w:rPr>
        <w:t>1994, co</w:t>
      </w:r>
      <w:r w:rsidR="00540E4A" w:rsidRPr="00C40BD9">
        <w:rPr>
          <w:rFonts w:ascii="Verdana" w:hAnsi="Verdana" w:cs="Verdana"/>
          <w:sz w:val="18"/>
          <w:szCs w:val="18"/>
          <w:lang w:val="pt-BR"/>
        </w:rPr>
        <w:t xml:space="preserve">m a devida diligência e em prazo razoável, para </w:t>
      </w:r>
      <w:r w:rsidRPr="00C40BD9">
        <w:rPr>
          <w:rFonts w:ascii="Verdana" w:hAnsi="Verdana" w:cs="Verdana"/>
          <w:sz w:val="18"/>
          <w:szCs w:val="18"/>
          <w:lang w:val="pt-BR"/>
        </w:rPr>
        <w:t>identificar, proce</w:t>
      </w:r>
      <w:r w:rsidR="00540E4A" w:rsidRPr="00C40BD9">
        <w:rPr>
          <w:rFonts w:ascii="Verdana" w:hAnsi="Verdana" w:cs="Verdana"/>
          <w:sz w:val="18"/>
          <w:szCs w:val="18"/>
          <w:lang w:val="pt-BR"/>
        </w:rPr>
        <w:t>s</w:t>
      </w:r>
      <w:r w:rsidRPr="00C40BD9">
        <w:rPr>
          <w:rFonts w:ascii="Verdana" w:hAnsi="Verdana" w:cs="Verdana"/>
          <w:sz w:val="18"/>
          <w:szCs w:val="18"/>
          <w:lang w:val="pt-BR"/>
        </w:rPr>
        <w:t xml:space="preserve">sar </w:t>
      </w:r>
      <w:r w:rsidR="00F633DD" w:rsidRPr="00C40BD9">
        <w:rPr>
          <w:rFonts w:ascii="Verdana" w:hAnsi="Verdana" w:cs="Verdana"/>
          <w:sz w:val="18"/>
          <w:szCs w:val="18"/>
          <w:lang w:val="pt-BR"/>
        </w:rPr>
        <w:t>e</w:t>
      </w:r>
      <w:r w:rsidRPr="00C40BD9">
        <w:rPr>
          <w:rFonts w:ascii="Verdana" w:hAnsi="Verdana" w:cs="Verdana"/>
          <w:sz w:val="18"/>
          <w:szCs w:val="18"/>
          <w:lang w:val="pt-BR"/>
        </w:rPr>
        <w:t>, caso</w:t>
      </w:r>
      <w:r w:rsidR="00540E4A" w:rsidRPr="00C40BD9">
        <w:rPr>
          <w:rFonts w:ascii="Verdana" w:hAnsi="Verdana" w:cs="Verdana"/>
          <w:sz w:val="18"/>
          <w:szCs w:val="18"/>
          <w:lang w:val="pt-BR"/>
        </w:rPr>
        <w:t xml:space="preserve"> seja pertinente</w:t>
      </w:r>
      <w:r w:rsidRPr="00C40BD9">
        <w:rPr>
          <w:rFonts w:ascii="Verdana" w:hAnsi="Verdana" w:cs="Verdana"/>
          <w:sz w:val="18"/>
          <w:szCs w:val="18"/>
          <w:lang w:val="pt-BR"/>
        </w:rPr>
        <w:t xml:space="preserve">, </w:t>
      </w:r>
      <w:r w:rsidR="00540E4A" w:rsidRPr="00C40BD9">
        <w:rPr>
          <w:rFonts w:ascii="Verdana" w:hAnsi="Verdana" w:cs="Verdana"/>
          <w:sz w:val="18"/>
          <w:szCs w:val="18"/>
          <w:lang w:val="pt-BR"/>
        </w:rPr>
        <w:t>punir os responsáveis</w:t>
      </w:r>
      <w:r w:rsidRPr="00C40BD9">
        <w:rPr>
          <w:rFonts w:ascii="Verdana" w:hAnsi="Verdana" w:cs="Verdana"/>
          <w:sz w:val="18"/>
          <w:szCs w:val="18"/>
          <w:lang w:val="pt-BR"/>
        </w:rPr>
        <w:t xml:space="preserve">. </w:t>
      </w:r>
      <w:r w:rsidR="00540E4A" w:rsidRPr="00C40BD9">
        <w:rPr>
          <w:rFonts w:ascii="Verdana" w:hAnsi="Verdana" w:cs="Verdana"/>
          <w:sz w:val="18"/>
          <w:szCs w:val="18"/>
          <w:lang w:val="pt-BR"/>
        </w:rPr>
        <w:t xml:space="preserve">A respeito das mortes ocorridas na incursão </w:t>
      </w:r>
      <w:r w:rsidRPr="00C40BD9">
        <w:rPr>
          <w:rFonts w:ascii="Verdana" w:hAnsi="Verdana" w:cs="Verdana"/>
          <w:sz w:val="18"/>
          <w:szCs w:val="18"/>
          <w:lang w:val="pt-BR"/>
        </w:rPr>
        <w:t xml:space="preserve">de 1995, </w:t>
      </w:r>
      <w:r w:rsidR="00540E4A" w:rsidRPr="00C40BD9">
        <w:rPr>
          <w:rFonts w:ascii="Verdana" w:hAnsi="Verdana" w:cs="Verdana"/>
          <w:sz w:val="18"/>
          <w:szCs w:val="18"/>
          <w:lang w:val="pt-BR"/>
        </w:rPr>
        <w:t>o</w:t>
      </w:r>
      <w:r w:rsidRPr="00C40BD9">
        <w:rPr>
          <w:rFonts w:ascii="Verdana" w:hAnsi="Verdana" w:cs="Verdana"/>
          <w:sz w:val="18"/>
          <w:szCs w:val="18"/>
          <w:lang w:val="pt-BR"/>
        </w:rPr>
        <w:t xml:space="preserve"> Estado </w:t>
      </w:r>
      <w:r w:rsidR="006770ED" w:rsidRPr="00C40BD9">
        <w:rPr>
          <w:rFonts w:ascii="Verdana" w:hAnsi="Verdana" w:cs="Verdana"/>
          <w:sz w:val="18"/>
          <w:szCs w:val="18"/>
          <w:lang w:val="pt-BR"/>
        </w:rPr>
        <w:t>deve</w:t>
      </w:r>
      <w:r w:rsidR="00DE316A">
        <w:rPr>
          <w:rFonts w:ascii="Verdana" w:hAnsi="Verdana" w:cs="Verdana"/>
          <w:sz w:val="18"/>
          <w:szCs w:val="18"/>
          <w:lang w:val="pt-BR"/>
        </w:rPr>
        <w:t xml:space="preserve"> </w:t>
      </w:r>
      <w:r w:rsidRPr="00C40BD9">
        <w:rPr>
          <w:rFonts w:ascii="Verdana" w:hAnsi="Verdana" w:cs="Verdana"/>
          <w:sz w:val="18"/>
          <w:szCs w:val="18"/>
          <w:lang w:val="pt-BR"/>
        </w:rPr>
        <w:t>iniciar o</w:t>
      </w:r>
      <w:r w:rsidR="00540E4A" w:rsidRPr="00C40BD9">
        <w:rPr>
          <w:rFonts w:ascii="Verdana" w:hAnsi="Verdana" w:cs="Verdana"/>
          <w:sz w:val="18"/>
          <w:szCs w:val="18"/>
          <w:lang w:val="pt-BR"/>
        </w:rPr>
        <w:t>u</w:t>
      </w:r>
      <w:r w:rsidRPr="00C40BD9">
        <w:rPr>
          <w:rFonts w:ascii="Verdana" w:hAnsi="Verdana" w:cs="Verdana"/>
          <w:sz w:val="18"/>
          <w:szCs w:val="18"/>
          <w:lang w:val="pt-BR"/>
        </w:rPr>
        <w:t xml:space="preserve"> reativar </w:t>
      </w:r>
      <w:r w:rsidR="006770ED" w:rsidRPr="00C40BD9">
        <w:rPr>
          <w:rFonts w:ascii="Verdana" w:hAnsi="Verdana" w:cs="Verdana"/>
          <w:sz w:val="18"/>
          <w:szCs w:val="18"/>
          <w:lang w:val="pt-BR"/>
        </w:rPr>
        <w:t>uma</w:t>
      </w:r>
      <w:r w:rsidR="00DE316A">
        <w:rPr>
          <w:rFonts w:ascii="Verdana" w:hAnsi="Verdana" w:cs="Verdana"/>
          <w:sz w:val="18"/>
          <w:szCs w:val="18"/>
          <w:lang w:val="pt-BR"/>
        </w:rPr>
        <w:t xml:space="preserve"> </w:t>
      </w:r>
      <w:r w:rsidRPr="00C40BD9">
        <w:rPr>
          <w:rFonts w:ascii="Verdana" w:hAnsi="Verdana" w:cs="Verdana"/>
          <w:sz w:val="18"/>
          <w:szCs w:val="18"/>
          <w:lang w:val="pt-BR"/>
        </w:rPr>
        <w:t>investiga</w:t>
      </w:r>
      <w:r w:rsidR="00F633DD" w:rsidRPr="00C40BD9">
        <w:rPr>
          <w:rFonts w:ascii="Verdana" w:hAnsi="Verdana" w:cs="Verdana"/>
          <w:sz w:val="18"/>
          <w:szCs w:val="18"/>
          <w:lang w:val="pt-BR"/>
        </w:rPr>
        <w:t>ção</w:t>
      </w:r>
      <w:r w:rsidRPr="00C40BD9">
        <w:rPr>
          <w:rFonts w:ascii="Verdana" w:hAnsi="Verdana" w:cs="Verdana"/>
          <w:sz w:val="18"/>
          <w:szCs w:val="18"/>
          <w:lang w:val="pt-BR"/>
        </w:rPr>
        <w:t xml:space="preserve"> eficaz </w:t>
      </w:r>
      <w:r w:rsidR="00540E4A" w:rsidRPr="00C40BD9">
        <w:rPr>
          <w:rFonts w:ascii="Verdana" w:hAnsi="Verdana" w:cs="Verdana"/>
          <w:sz w:val="18"/>
          <w:szCs w:val="18"/>
          <w:lang w:val="pt-BR"/>
        </w:rPr>
        <w:t>a respeito desses fatos</w:t>
      </w:r>
      <w:r w:rsidRPr="00C40BD9">
        <w:rPr>
          <w:rFonts w:ascii="Verdana" w:hAnsi="Verdana" w:cs="Verdana"/>
          <w:sz w:val="18"/>
          <w:szCs w:val="18"/>
          <w:lang w:val="pt-BR"/>
        </w:rPr>
        <w:t xml:space="preserve">. </w:t>
      </w:r>
      <w:r w:rsidR="00540E4A" w:rsidRPr="00C40BD9">
        <w:rPr>
          <w:rFonts w:ascii="Verdana" w:hAnsi="Verdana" w:cs="Verdana"/>
          <w:sz w:val="18"/>
          <w:szCs w:val="18"/>
          <w:lang w:val="pt-BR"/>
        </w:rPr>
        <w:t>A devida diligên</w:t>
      </w:r>
      <w:r w:rsidRPr="00C40BD9">
        <w:rPr>
          <w:rFonts w:ascii="Verdana" w:hAnsi="Verdana" w:cs="Verdana"/>
          <w:sz w:val="18"/>
          <w:szCs w:val="18"/>
          <w:lang w:val="pt-BR"/>
        </w:rPr>
        <w:t xml:space="preserve">cia </w:t>
      </w:r>
      <w:r w:rsidR="000814BE" w:rsidRPr="00C40BD9">
        <w:rPr>
          <w:rFonts w:ascii="Verdana" w:hAnsi="Verdana" w:cs="Verdana"/>
          <w:sz w:val="18"/>
          <w:szCs w:val="18"/>
          <w:lang w:val="pt-BR"/>
        </w:rPr>
        <w:t xml:space="preserve">na </w:t>
      </w:r>
      <w:r w:rsidRPr="00C40BD9">
        <w:rPr>
          <w:rFonts w:ascii="Verdana" w:hAnsi="Verdana" w:cs="Verdana"/>
          <w:sz w:val="18"/>
          <w:szCs w:val="18"/>
          <w:lang w:val="pt-BR"/>
        </w:rPr>
        <w:t>investiga</w:t>
      </w:r>
      <w:r w:rsidR="00F633DD" w:rsidRPr="00C40BD9">
        <w:rPr>
          <w:rFonts w:ascii="Verdana" w:hAnsi="Verdana" w:cs="Verdana"/>
          <w:sz w:val="18"/>
          <w:szCs w:val="18"/>
          <w:lang w:val="pt-BR"/>
        </w:rPr>
        <w:t>ção</w:t>
      </w:r>
      <w:r w:rsidRPr="00C40BD9">
        <w:rPr>
          <w:rFonts w:ascii="Verdana" w:hAnsi="Verdana" w:cs="Verdana"/>
          <w:sz w:val="18"/>
          <w:szCs w:val="18"/>
          <w:lang w:val="pt-BR"/>
        </w:rPr>
        <w:t xml:space="preserve"> implica que todas as </w:t>
      </w:r>
      <w:r w:rsidR="00540E4A" w:rsidRPr="00C40BD9">
        <w:rPr>
          <w:rFonts w:ascii="Verdana" w:hAnsi="Verdana" w:cs="Verdana"/>
          <w:sz w:val="18"/>
          <w:szCs w:val="18"/>
          <w:lang w:val="pt-BR"/>
        </w:rPr>
        <w:t xml:space="preserve">respectivas </w:t>
      </w:r>
      <w:r w:rsidRPr="00C40BD9">
        <w:rPr>
          <w:rFonts w:ascii="Verdana" w:hAnsi="Verdana" w:cs="Verdana"/>
          <w:sz w:val="18"/>
          <w:szCs w:val="18"/>
          <w:lang w:val="pt-BR"/>
        </w:rPr>
        <w:t>autoridades estat</w:t>
      </w:r>
      <w:r w:rsidR="00C06A9B" w:rsidRPr="00C40BD9">
        <w:rPr>
          <w:rFonts w:ascii="Verdana" w:hAnsi="Verdana" w:cs="Verdana"/>
          <w:sz w:val="18"/>
          <w:szCs w:val="18"/>
          <w:lang w:val="pt-BR"/>
        </w:rPr>
        <w:t>ais</w:t>
      </w:r>
      <w:r w:rsidR="00DE316A">
        <w:rPr>
          <w:rFonts w:ascii="Verdana" w:hAnsi="Verdana" w:cs="Verdana"/>
          <w:sz w:val="18"/>
          <w:szCs w:val="18"/>
          <w:lang w:val="pt-BR"/>
        </w:rPr>
        <w:t xml:space="preserve"> </w:t>
      </w:r>
      <w:r w:rsidR="00540E4A" w:rsidRPr="00C40BD9">
        <w:rPr>
          <w:rFonts w:ascii="Verdana" w:hAnsi="Verdana" w:cs="Verdana"/>
          <w:sz w:val="18"/>
          <w:szCs w:val="18"/>
          <w:lang w:val="pt-BR"/>
        </w:rPr>
        <w:t xml:space="preserve">estão </w:t>
      </w:r>
      <w:r w:rsidRPr="00C40BD9">
        <w:rPr>
          <w:rFonts w:ascii="Verdana" w:hAnsi="Verdana" w:cs="Verdana"/>
          <w:sz w:val="18"/>
          <w:szCs w:val="18"/>
          <w:lang w:val="pt-BR"/>
        </w:rPr>
        <w:t>ob</w:t>
      </w:r>
      <w:r w:rsidR="00540E4A" w:rsidRPr="00C40BD9">
        <w:rPr>
          <w:rFonts w:ascii="Verdana" w:hAnsi="Verdana" w:cs="Verdana"/>
          <w:sz w:val="18"/>
          <w:szCs w:val="18"/>
          <w:lang w:val="pt-BR"/>
        </w:rPr>
        <w:t>r</w:t>
      </w:r>
      <w:r w:rsidRPr="00C40BD9">
        <w:rPr>
          <w:rFonts w:ascii="Verdana" w:hAnsi="Verdana" w:cs="Verdana"/>
          <w:sz w:val="18"/>
          <w:szCs w:val="18"/>
          <w:lang w:val="pt-BR"/>
        </w:rPr>
        <w:t xml:space="preserve">igadas a colaborar </w:t>
      </w:r>
      <w:r w:rsidR="000814BE" w:rsidRPr="00C40BD9">
        <w:rPr>
          <w:rFonts w:ascii="Verdana" w:hAnsi="Verdana" w:cs="Verdana"/>
          <w:sz w:val="18"/>
          <w:szCs w:val="18"/>
          <w:lang w:val="pt-BR"/>
        </w:rPr>
        <w:t xml:space="preserve">na </w:t>
      </w:r>
      <w:r w:rsidRPr="00C40BD9">
        <w:rPr>
          <w:rFonts w:ascii="Verdana" w:hAnsi="Verdana" w:cs="Verdana"/>
          <w:sz w:val="18"/>
          <w:szCs w:val="18"/>
          <w:lang w:val="pt-BR"/>
        </w:rPr>
        <w:t>cole</w:t>
      </w:r>
      <w:r w:rsidR="00540E4A" w:rsidRPr="00C40BD9">
        <w:rPr>
          <w:rFonts w:ascii="Verdana" w:hAnsi="Verdana" w:cs="Verdana"/>
          <w:sz w:val="18"/>
          <w:szCs w:val="18"/>
          <w:lang w:val="pt-BR"/>
        </w:rPr>
        <w:t>ta</w:t>
      </w:r>
      <w:r w:rsidRPr="00C40BD9">
        <w:rPr>
          <w:rFonts w:ascii="Verdana" w:hAnsi="Verdana" w:cs="Verdana"/>
          <w:sz w:val="18"/>
          <w:szCs w:val="18"/>
          <w:lang w:val="pt-BR"/>
        </w:rPr>
        <w:t xml:space="preserve"> </w:t>
      </w:r>
      <w:r w:rsidR="00F633DD" w:rsidRPr="00C40BD9">
        <w:rPr>
          <w:rFonts w:ascii="Verdana" w:hAnsi="Verdana" w:cs="Verdana"/>
          <w:sz w:val="18"/>
          <w:szCs w:val="18"/>
          <w:lang w:val="pt-BR"/>
        </w:rPr>
        <w:t xml:space="preserve">da </w:t>
      </w:r>
      <w:r w:rsidRPr="00C40BD9">
        <w:rPr>
          <w:rFonts w:ascii="Verdana" w:hAnsi="Verdana" w:cs="Verdana"/>
          <w:sz w:val="18"/>
          <w:szCs w:val="18"/>
          <w:lang w:val="pt-BR"/>
        </w:rPr>
        <w:t>pr</w:t>
      </w:r>
      <w:r w:rsidR="00540E4A" w:rsidRPr="00C40BD9">
        <w:rPr>
          <w:rFonts w:ascii="Verdana" w:hAnsi="Verdana" w:cs="Verdana"/>
          <w:sz w:val="18"/>
          <w:szCs w:val="18"/>
          <w:lang w:val="pt-BR"/>
        </w:rPr>
        <w:t>ov</w:t>
      </w:r>
      <w:r w:rsidRPr="00C40BD9">
        <w:rPr>
          <w:rFonts w:ascii="Verdana" w:hAnsi="Verdana" w:cs="Verdana"/>
          <w:sz w:val="18"/>
          <w:szCs w:val="18"/>
          <w:lang w:val="pt-BR"/>
        </w:rPr>
        <w:t xml:space="preserve">a, </w:t>
      </w:r>
      <w:r w:rsidR="00540E4A" w:rsidRPr="00C40BD9">
        <w:rPr>
          <w:rFonts w:ascii="Verdana" w:hAnsi="Verdana" w:cs="Verdana"/>
          <w:sz w:val="18"/>
          <w:szCs w:val="18"/>
          <w:lang w:val="pt-BR"/>
        </w:rPr>
        <w:t xml:space="preserve">razão pela qual deverão prestar ao juiz, ao promotor ou a outra autoridade judicial toda a informação que solicitem e a abster-se de </w:t>
      </w:r>
      <w:r w:rsidR="00C06A9B" w:rsidRPr="00C40BD9">
        <w:rPr>
          <w:rFonts w:ascii="Verdana" w:hAnsi="Verdana" w:cs="Verdana"/>
          <w:sz w:val="18"/>
          <w:szCs w:val="18"/>
          <w:lang w:val="pt-BR"/>
        </w:rPr>
        <w:t>atos</w:t>
      </w:r>
      <w:r w:rsidR="00DE316A">
        <w:rPr>
          <w:rFonts w:ascii="Verdana" w:hAnsi="Verdana" w:cs="Verdana"/>
          <w:sz w:val="18"/>
          <w:szCs w:val="18"/>
          <w:lang w:val="pt-BR"/>
        </w:rPr>
        <w:t xml:space="preserve"> </w:t>
      </w:r>
      <w:r w:rsidRPr="00C40BD9">
        <w:rPr>
          <w:rFonts w:ascii="Verdana" w:hAnsi="Verdana" w:cs="Verdana"/>
          <w:sz w:val="18"/>
          <w:szCs w:val="18"/>
          <w:lang w:val="pt-BR"/>
        </w:rPr>
        <w:t>que implique</w:t>
      </w:r>
      <w:r w:rsidR="00540E4A" w:rsidRPr="00C40BD9">
        <w:rPr>
          <w:rFonts w:ascii="Verdana" w:hAnsi="Verdana" w:cs="Verdana"/>
          <w:sz w:val="18"/>
          <w:szCs w:val="18"/>
          <w:lang w:val="pt-BR"/>
        </w:rPr>
        <w:t>m</w:t>
      </w:r>
      <w:r w:rsidRPr="00C40BD9">
        <w:rPr>
          <w:rFonts w:ascii="Verdana" w:hAnsi="Verdana" w:cs="Verdana"/>
          <w:sz w:val="18"/>
          <w:szCs w:val="18"/>
          <w:lang w:val="pt-BR"/>
        </w:rPr>
        <w:t xml:space="preserve"> a obstru</w:t>
      </w:r>
      <w:r w:rsidR="00F633DD" w:rsidRPr="00C40BD9">
        <w:rPr>
          <w:rFonts w:ascii="Verdana" w:hAnsi="Verdana" w:cs="Verdana"/>
          <w:sz w:val="18"/>
          <w:szCs w:val="18"/>
          <w:lang w:val="pt-BR"/>
        </w:rPr>
        <w:t>ção</w:t>
      </w:r>
      <w:r w:rsidRPr="00C40BD9">
        <w:rPr>
          <w:rFonts w:ascii="Verdana" w:hAnsi="Verdana" w:cs="Verdana"/>
          <w:sz w:val="18"/>
          <w:szCs w:val="18"/>
          <w:lang w:val="pt-BR"/>
        </w:rPr>
        <w:t xml:space="preserve"> </w:t>
      </w:r>
      <w:r w:rsidR="00540E4A" w:rsidRPr="00C40BD9">
        <w:rPr>
          <w:rFonts w:ascii="Verdana" w:hAnsi="Verdana" w:cs="Verdana"/>
          <w:sz w:val="18"/>
          <w:szCs w:val="18"/>
          <w:lang w:val="pt-BR"/>
        </w:rPr>
        <w:t xml:space="preserve">do andamento do processo </w:t>
      </w:r>
      <w:r w:rsidRPr="00C40BD9">
        <w:rPr>
          <w:rFonts w:ascii="Verdana" w:hAnsi="Verdana" w:cs="Verdana"/>
          <w:sz w:val="18"/>
          <w:szCs w:val="18"/>
          <w:lang w:val="pt-BR"/>
        </w:rPr>
        <w:t>investigativo</w:t>
      </w:r>
      <w:r w:rsidR="00727F43" w:rsidRPr="00C40BD9">
        <w:rPr>
          <w:rFonts w:ascii="Verdana" w:hAnsi="Verdana" w:cs="Verdana"/>
          <w:sz w:val="18"/>
          <w:szCs w:val="18"/>
          <w:lang w:val="pt-BR"/>
        </w:rPr>
        <w:t xml:space="preserve"> </w:t>
      </w:r>
      <w:r w:rsidRPr="00C40BD9">
        <w:rPr>
          <w:rFonts w:ascii="Verdana" w:hAnsi="Verdana" w:cs="Verdana"/>
          <w:sz w:val="18"/>
          <w:szCs w:val="18"/>
          <w:lang w:val="pt-BR"/>
        </w:rPr>
        <w:t xml:space="preserve">[…]. </w:t>
      </w:r>
      <w:r w:rsidR="00540E4A" w:rsidRPr="00C40BD9">
        <w:rPr>
          <w:rFonts w:ascii="Verdana" w:hAnsi="Verdana" w:cs="Verdana"/>
          <w:sz w:val="18"/>
          <w:szCs w:val="18"/>
          <w:lang w:val="pt-BR"/>
        </w:rPr>
        <w:t>Do mesmo modo</w:t>
      </w:r>
      <w:r w:rsidRPr="00C40BD9">
        <w:rPr>
          <w:rFonts w:ascii="Verdana" w:hAnsi="Verdana" w:cs="Verdana"/>
          <w:sz w:val="18"/>
          <w:szCs w:val="18"/>
          <w:lang w:val="pt-BR"/>
        </w:rPr>
        <w:t xml:space="preserve">, </w:t>
      </w:r>
      <w:r w:rsidR="00540E4A" w:rsidRPr="00C40BD9">
        <w:rPr>
          <w:rFonts w:ascii="Verdana" w:hAnsi="Verdana" w:cs="Verdana"/>
          <w:sz w:val="18"/>
          <w:szCs w:val="18"/>
          <w:lang w:val="pt-BR"/>
        </w:rPr>
        <w:t xml:space="preserve">com base nas conclusões </w:t>
      </w:r>
      <w:r w:rsidRPr="00C40BD9">
        <w:rPr>
          <w:rFonts w:ascii="Verdana" w:hAnsi="Verdana" w:cs="Verdana"/>
          <w:sz w:val="18"/>
          <w:szCs w:val="18"/>
          <w:lang w:val="pt-BR"/>
        </w:rPr>
        <w:t>estab</w:t>
      </w:r>
      <w:r w:rsidR="00540E4A" w:rsidRPr="00C40BD9">
        <w:rPr>
          <w:rFonts w:ascii="Verdana" w:hAnsi="Verdana" w:cs="Verdana"/>
          <w:sz w:val="18"/>
          <w:szCs w:val="18"/>
          <w:lang w:val="pt-BR"/>
        </w:rPr>
        <w:t>e</w:t>
      </w:r>
      <w:r w:rsidRPr="00C40BD9">
        <w:rPr>
          <w:rFonts w:ascii="Verdana" w:hAnsi="Verdana" w:cs="Verdana"/>
          <w:sz w:val="18"/>
          <w:szCs w:val="18"/>
          <w:lang w:val="pt-BR"/>
        </w:rPr>
        <w:t xml:space="preserve">lecidas </w:t>
      </w:r>
      <w:r w:rsidR="000814BE" w:rsidRPr="00C40BD9">
        <w:rPr>
          <w:rFonts w:ascii="Verdana" w:hAnsi="Verdana" w:cs="Verdana"/>
          <w:sz w:val="18"/>
          <w:szCs w:val="18"/>
          <w:lang w:val="pt-BR"/>
        </w:rPr>
        <w:t xml:space="preserve">na </w:t>
      </w:r>
      <w:r w:rsidRPr="00C40BD9">
        <w:rPr>
          <w:rFonts w:ascii="Verdana" w:hAnsi="Verdana" w:cs="Verdana"/>
          <w:sz w:val="18"/>
          <w:szCs w:val="18"/>
          <w:lang w:val="pt-BR"/>
        </w:rPr>
        <w:t xml:space="preserve">presente </w:t>
      </w:r>
      <w:r w:rsidR="00F633DD" w:rsidRPr="00C40BD9">
        <w:rPr>
          <w:rFonts w:ascii="Verdana" w:hAnsi="Verdana" w:cs="Verdana"/>
          <w:sz w:val="18"/>
          <w:szCs w:val="18"/>
          <w:lang w:val="pt-BR"/>
        </w:rPr>
        <w:t>Sentença</w:t>
      </w:r>
      <w:r w:rsidR="00540E4A" w:rsidRPr="00C40BD9">
        <w:rPr>
          <w:rFonts w:ascii="Verdana" w:hAnsi="Verdana" w:cs="Verdana"/>
          <w:sz w:val="18"/>
          <w:szCs w:val="18"/>
          <w:lang w:val="pt-BR"/>
        </w:rPr>
        <w:t xml:space="preserve">, a respeito das </w:t>
      </w:r>
      <w:r w:rsidRPr="00C40BD9">
        <w:rPr>
          <w:rFonts w:ascii="Verdana" w:hAnsi="Verdana" w:cs="Verdana"/>
          <w:sz w:val="18"/>
          <w:szCs w:val="18"/>
          <w:lang w:val="pt-BR"/>
        </w:rPr>
        <w:t>viola</w:t>
      </w:r>
      <w:r w:rsidR="00F633DD" w:rsidRPr="00C40BD9">
        <w:rPr>
          <w:rFonts w:ascii="Verdana" w:hAnsi="Verdana" w:cs="Verdana"/>
          <w:sz w:val="18"/>
          <w:szCs w:val="18"/>
          <w:lang w:val="pt-BR"/>
        </w:rPr>
        <w:t>ções</w:t>
      </w:r>
      <w:r w:rsidRPr="00C40BD9">
        <w:rPr>
          <w:rFonts w:ascii="Verdana" w:hAnsi="Verdana" w:cs="Verdana"/>
          <w:sz w:val="18"/>
          <w:szCs w:val="18"/>
          <w:lang w:val="pt-BR"/>
        </w:rPr>
        <w:t xml:space="preserve"> </w:t>
      </w:r>
      <w:r w:rsidR="00540E4A" w:rsidRPr="00C40BD9">
        <w:rPr>
          <w:rFonts w:ascii="Verdana" w:hAnsi="Verdana" w:cs="Verdana"/>
          <w:sz w:val="18"/>
          <w:szCs w:val="18"/>
          <w:lang w:val="pt-BR"/>
        </w:rPr>
        <w:t xml:space="preserve">dos </w:t>
      </w:r>
      <w:r w:rsidR="000814BE" w:rsidRPr="00C40BD9">
        <w:rPr>
          <w:rFonts w:ascii="Verdana" w:hAnsi="Verdana" w:cs="Verdana"/>
          <w:sz w:val="18"/>
          <w:szCs w:val="18"/>
          <w:lang w:val="pt-BR"/>
        </w:rPr>
        <w:t>direitos</w:t>
      </w:r>
      <w:r w:rsidR="00DE316A">
        <w:rPr>
          <w:rFonts w:ascii="Verdana" w:hAnsi="Verdana" w:cs="Verdana"/>
          <w:sz w:val="18"/>
          <w:szCs w:val="18"/>
          <w:lang w:val="pt-BR"/>
        </w:rPr>
        <w:t xml:space="preserve"> </w:t>
      </w:r>
      <w:r w:rsidR="00540E4A" w:rsidRPr="00C40BD9">
        <w:rPr>
          <w:rFonts w:ascii="Verdana" w:hAnsi="Verdana" w:cs="Verdana"/>
          <w:sz w:val="18"/>
          <w:szCs w:val="18"/>
          <w:lang w:val="pt-BR"/>
        </w:rPr>
        <w:t xml:space="preserve">à </w:t>
      </w:r>
      <w:r w:rsidRPr="00C40BD9">
        <w:rPr>
          <w:rFonts w:ascii="Verdana" w:hAnsi="Verdana" w:cs="Verdana"/>
          <w:sz w:val="18"/>
          <w:szCs w:val="18"/>
          <w:lang w:val="pt-BR"/>
        </w:rPr>
        <w:t>prote</w:t>
      </w:r>
      <w:r w:rsidR="00F633DD" w:rsidRPr="00C40BD9">
        <w:rPr>
          <w:rFonts w:ascii="Verdana" w:hAnsi="Verdana" w:cs="Verdana"/>
          <w:sz w:val="18"/>
          <w:szCs w:val="18"/>
          <w:lang w:val="pt-BR"/>
        </w:rPr>
        <w:t>ção</w:t>
      </w:r>
      <w:r w:rsidRPr="00C40BD9">
        <w:rPr>
          <w:rFonts w:ascii="Verdana" w:hAnsi="Verdana" w:cs="Verdana"/>
          <w:sz w:val="18"/>
          <w:szCs w:val="18"/>
          <w:lang w:val="pt-BR"/>
        </w:rPr>
        <w:t xml:space="preserve"> judicial </w:t>
      </w:r>
      <w:r w:rsidR="00F633DD" w:rsidRPr="00C40BD9">
        <w:rPr>
          <w:rFonts w:ascii="Verdana" w:hAnsi="Verdana" w:cs="Verdana"/>
          <w:sz w:val="18"/>
          <w:szCs w:val="18"/>
          <w:lang w:val="pt-BR"/>
        </w:rPr>
        <w:t>e</w:t>
      </w:r>
      <w:r w:rsidR="00DE316A">
        <w:rPr>
          <w:rFonts w:ascii="Verdana" w:hAnsi="Verdana" w:cs="Verdana"/>
          <w:sz w:val="18"/>
          <w:szCs w:val="18"/>
          <w:lang w:val="pt-BR"/>
        </w:rPr>
        <w:t xml:space="preserve"> </w:t>
      </w:r>
      <w:r w:rsidR="00540E4A" w:rsidRPr="00C40BD9">
        <w:rPr>
          <w:rFonts w:ascii="Verdana" w:hAnsi="Verdana" w:cs="Verdana"/>
          <w:sz w:val="18"/>
          <w:szCs w:val="18"/>
          <w:lang w:val="pt-BR"/>
        </w:rPr>
        <w:t xml:space="preserve">às </w:t>
      </w:r>
      <w:r w:rsidRPr="00C40BD9">
        <w:rPr>
          <w:rFonts w:ascii="Verdana" w:hAnsi="Verdana" w:cs="Verdana"/>
          <w:sz w:val="18"/>
          <w:szCs w:val="18"/>
          <w:lang w:val="pt-BR"/>
        </w:rPr>
        <w:t>garant</w:t>
      </w:r>
      <w:r w:rsidR="00540E4A" w:rsidRPr="00C40BD9">
        <w:rPr>
          <w:rFonts w:ascii="Verdana" w:hAnsi="Verdana" w:cs="Verdana"/>
          <w:sz w:val="18"/>
          <w:szCs w:val="18"/>
          <w:lang w:val="pt-BR"/>
        </w:rPr>
        <w:t>i</w:t>
      </w:r>
      <w:r w:rsidRPr="00C40BD9">
        <w:rPr>
          <w:rFonts w:ascii="Verdana" w:hAnsi="Verdana" w:cs="Verdana"/>
          <w:sz w:val="18"/>
          <w:szCs w:val="18"/>
          <w:lang w:val="pt-BR"/>
        </w:rPr>
        <w:t>as judici</w:t>
      </w:r>
      <w:r w:rsidR="00C06A9B" w:rsidRPr="00C40BD9">
        <w:rPr>
          <w:rFonts w:ascii="Verdana" w:hAnsi="Verdana" w:cs="Verdana"/>
          <w:sz w:val="18"/>
          <w:szCs w:val="18"/>
          <w:lang w:val="pt-BR"/>
        </w:rPr>
        <w:t>ais</w:t>
      </w:r>
      <w:r w:rsidRPr="00C40BD9">
        <w:rPr>
          <w:rFonts w:ascii="Verdana" w:hAnsi="Verdana" w:cs="Verdana"/>
          <w:sz w:val="18"/>
          <w:szCs w:val="18"/>
          <w:lang w:val="pt-BR"/>
        </w:rPr>
        <w:t xml:space="preserve">, </w:t>
      </w:r>
      <w:r w:rsidR="00540E4A" w:rsidRPr="00C40BD9">
        <w:rPr>
          <w:rFonts w:ascii="Verdana" w:hAnsi="Verdana" w:cs="Verdana"/>
          <w:sz w:val="18"/>
          <w:szCs w:val="18"/>
          <w:lang w:val="pt-BR"/>
        </w:rPr>
        <w:t>o</w:t>
      </w:r>
      <w:r w:rsidRPr="00C40BD9">
        <w:rPr>
          <w:rFonts w:ascii="Verdana" w:hAnsi="Verdana" w:cs="Verdana"/>
          <w:sz w:val="18"/>
          <w:szCs w:val="18"/>
          <w:lang w:val="pt-BR"/>
        </w:rPr>
        <w:t xml:space="preserve"> Estado, </w:t>
      </w:r>
      <w:r w:rsidR="00540E4A" w:rsidRPr="00C40BD9">
        <w:rPr>
          <w:rFonts w:ascii="Verdana" w:hAnsi="Verdana" w:cs="Verdana"/>
          <w:sz w:val="18"/>
          <w:szCs w:val="18"/>
          <w:lang w:val="pt-BR"/>
        </w:rPr>
        <w:t xml:space="preserve">por intermédio do </w:t>
      </w:r>
      <w:r w:rsidRPr="00C40BD9">
        <w:rPr>
          <w:rFonts w:ascii="Verdana" w:hAnsi="Verdana" w:cs="Verdana"/>
          <w:sz w:val="18"/>
          <w:szCs w:val="18"/>
          <w:lang w:val="pt-BR"/>
        </w:rPr>
        <w:t>Procurador</w:t>
      </w:r>
      <w:r w:rsidR="00540E4A" w:rsidRPr="00C40BD9">
        <w:rPr>
          <w:rFonts w:ascii="Verdana" w:hAnsi="Verdana" w:cs="Verdana"/>
          <w:sz w:val="18"/>
          <w:szCs w:val="18"/>
          <w:lang w:val="pt-BR"/>
        </w:rPr>
        <w:t>-</w:t>
      </w:r>
      <w:r w:rsidRPr="00C40BD9">
        <w:rPr>
          <w:rFonts w:ascii="Verdana" w:hAnsi="Verdana" w:cs="Verdana"/>
          <w:sz w:val="18"/>
          <w:szCs w:val="18"/>
          <w:lang w:val="pt-BR"/>
        </w:rPr>
        <w:t xml:space="preserve">Geral </w:t>
      </w:r>
      <w:r w:rsidR="00F633DD" w:rsidRPr="00C40BD9">
        <w:rPr>
          <w:rFonts w:ascii="Verdana" w:hAnsi="Verdana" w:cs="Verdana"/>
          <w:sz w:val="18"/>
          <w:szCs w:val="18"/>
          <w:lang w:val="pt-BR"/>
        </w:rPr>
        <w:t xml:space="preserve">da </w:t>
      </w:r>
      <w:r w:rsidRPr="00C40BD9">
        <w:rPr>
          <w:rFonts w:ascii="Verdana" w:hAnsi="Verdana" w:cs="Verdana"/>
          <w:sz w:val="18"/>
          <w:szCs w:val="18"/>
          <w:lang w:val="pt-BR"/>
        </w:rPr>
        <w:t>República</w:t>
      </w:r>
      <w:r w:rsidR="00540E4A" w:rsidRPr="00C40BD9">
        <w:rPr>
          <w:rFonts w:ascii="Verdana" w:hAnsi="Verdana" w:cs="Verdana"/>
          <w:sz w:val="18"/>
          <w:szCs w:val="18"/>
          <w:lang w:val="pt-BR"/>
        </w:rPr>
        <w:t xml:space="preserve">, do Ministério </w:t>
      </w:r>
      <w:r w:rsidRPr="00C40BD9">
        <w:rPr>
          <w:rFonts w:ascii="Verdana" w:hAnsi="Verdana" w:cs="Verdana"/>
          <w:sz w:val="18"/>
          <w:szCs w:val="18"/>
          <w:lang w:val="pt-BR"/>
        </w:rPr>
        <w:t xml:space="preserve">Público Federal, </w:t>
      </w:r>
      <w:r w:rsidR="006770ED" w:rsidRPr="00C40BD9">
        <w:rPr>
          <w:rFonts w:ascii="Verdana" w:hAnsi="Verdana" w:cs="Verdana"/>
          <w:sz w:val="18"/>
          <w:szCs w:val="18"/>
          <w:lang w:val="pt-BR"/>
        </w:rPr>
        <w:t>deve</w:t>
      </w:r>
      <w:r w:rsidR="00DE316A">
        <w:rPr>
          <w:rFonts w:ascii="Verdana" w:hAnsi="Verdana" w:cs="Verdana"/>
          <w:sz w:val="18"/>
          <w:szCs w:val="18"/>
          <w:lang w:val="pt-BR"/>
        </w:rPr>
        <w:t xml:space="preserve"> </w:t>
      </w:r>
      <w:r w:rsidR="00540E4A" w:rsidRPr="00C40BD9">
        <w:rPr>
          <w:rFonts w:ascii="Verdana" w:hAnsi="Verdana" w:cs="Verdana"/>
          <w:sz w:val="18"/>
          <w:szCs w:val="18"/>
          <w:lang w:val="pt-BR"/>
        </w:rPr>
        <w:t xml:space="preserve">avaliar se os fatos </w:t>
      </w:r>
      <w:r w:rsidRPr="00C40BD9">
        <w:rPr>
          <w:rFonts w:ascii="Verdana" w:hAnsi="Verdana" w:cs="Verdana"/>
          <w:sz w:val="18"/>
          <w:szCs w:val="18"/>
          <w:lang w:val="pt-BR"/>
        </w:rPr>
        <w:t xml:space="preserve">referentes </w:t>
      </w:r>
      <w:r w:rsidR="00540E4A" w:rsidRPr="00C40BD9">
        <w:rPr>
          <w:rFonts w:ascii="Verdana" w:hAnsi="Verdana" w:cs="Verdana"/>
          <w:sz w:val="18"/>
          <w:szCs w:val="18"/>
          <w:lang w:val="pt-BR"/>
        </w:rPr>
        <w:t xml:space="preserve">às incursões </w:t>
      </w:r>
      <w:r w:rsidRPr="00C40BD9">
        <w:rPr>
          <w:rFonts w:ascii="Verdana" w:hAnsi="Verdana" w:cs="Verdana"/>
          <w:sz w:val="18"/>
          <w:szCs w:val="18"/>
          <w:lang w:val="pt-BR"/>
        </w:rPr>
        <w:t xml:space="preserve">de 1994 </w:t>
      </w:r>
      <w:r w:rsidR="00F633DD" w:rsidRPr="00C40BD9">
        <w:rPr>
          <w:rFonts w:ascii="Verdana" w:hAnsi="Verdana" w:cs="Verdana"/>
          <w:sz w:val="18"/>
          <w:szCs w:val="18"/>
          <w:lang w:val="pt-BR"/>
        </w:rPr>
        <w:t>e</w:t>
      </w:r>
      <w:r w:rsidR="00DE316A">
        <w:rPr>
          <w:rFonts w:ascii="Verdana" w:hAnsi="Verdana" w:cs="Verdana"/>
          <w:sz w:val="18"/>
          <w:szCs w:val="18"/>
          <w:lang w:val="pt-BR"/>
        </w:rPr>
        <w:t xml:space="preserve"> </w:t>
      </w:r>
      <w:r w:rsidRPr="00C40BD9">
        <w:rPr>
          <w:rFonts w:ascii="Verdana" w:hAnsi="Verdana" w:cs="Verdana"/>
          <w:sz w:val="18"/>
          <w:szCs w:val="18"/>
          <w:lang w:val="pt-BR"/>
        </w:rPr>
        <w:t xml:space="preserve">1995 </w:t>
      </w:r>
      <w:r w:rsidR="00540E4A" w:rsidRPr="00C40BD9">
        <w:rPr>
          <w:rFonts w:ascii="Verdana" w:hAnsi="Verdana" w:cs="Verdana"/>
          <w:sz w:val="18"/>
          <w:szCs w:val="18"/>
          <w:lang w:val="pt-BR"/>
        </w:rPr>
        <w:t xml:space="preserve">devem ser objeto de pedido </w:t>
      </w:r>
      <w:r w:rsidRPr="00C40BD9">
        <w:rPr>
          <w:rFonts w:ascii="Verdana" w:hAnsi="Verdana" w:cs="Verdana"/>
          <w:sz w:val="18"/>
          <w:szCs w:val="18"/>
          <w:lang w:val="pt-BR"/>
        </w:rPr>
        <w:t xml:space="preserve">de </w:t>
      </w:r>
      <w:r w:rsidRPr="00C40BD9">
        <w:rPr>
          <w:rFonts w:ascii="Verdana" w:hAnsi="Verdana" w:cs="Verdana"/>
          <w:i/>
          <w:sz w:val="18"/>
          <w:szCs w:val="18"/>
          <w:lang w:val="pt-BR"/>
        </w:rPr>
        <w:t xml:space="preserve">Incidente de </w:t>
      </w:r>
      <w:r w:rsidR="00540E4A" w:rsidRPr="00C40BD9">
        <w:rPr>
          <w:rFonts w:ascii="Verdana" w:hAnsi="Verdana" w:cs="Verdana"/>
          <w:i/>
          <w:sz w:val="18"/>
          <w:szCs w:val="18"/>
          <w:lang w:val="pt-BR"/>
        </w:rPr>
        <w:t xml:space="preserve">Deslocamento </w:t>
      </w:r>
      <w:r w:rsidRPr="00C40BD9">
        <w:rPr>
          <w:rFonts w:ascii="Verdana" w:hAnsi="Verdana" w:cs="Verdana"/>
          <w:i/>
          <w:sz w:val="18"/>
          <w:szCs w:val="18"/>
          <w:lang w:val="pt-BR"/>
        </w:rPr>
        <w:t>de Compet</w:t>
      </w:r>
      <w:r w:rsidR="00540E4A" w:rsidRPr="00C40BD9">
        <w:rPr>
          <w:rFonts w:ascii="Verdana" w:hAnsi="Verdana" w:cs="Verdana"/>
          <w:i/>
          <w:sz w:val="18"/>
          <w:szCs w:val="18"/>
          <w:lang w:val="pt-BR"/>
        </w:rPr>
        <w:t>ê</w:t>
      </w:r>
      <w:r w:rsidRPr="00C40BD9">
        <w:rPr>
          <w:rFonts w:ascii="Verdana" w:hAnsi="Verdana" w:cs="Verdana"/>
          <w:i/>
          <w:sz w:val="18"/>
          <w:szCs w:val="18"/>
          <w:lang w:val="pt-BR"/>
        </w:rPr>
        <w:t>ncia</w:t>
      </w:r>
      <w:r w:rsidRPr="00C40BD9">
        <w:rPr>
          <w:rFonts w:ascii="Verdana" w:hAnsi="Verdana" w:cs="Verdana"/>
          <w:sz w:val="18"/>
          <w:szCs w:val="18"/>
          <w:lang w:val="pt-BR"/>
        </w:rPr>
        <w:t>. E</w:t>
      </w:r>
      <w:r w:rsidR="00540E4A" w:rsidRPr="00C40BD9">
        <w:rPr>
          <w:rFonts w:ascii="Verdana" w:hAnsi="Verdana" w:cs="Verdana"/>
          <w:sz w:val="18"/>
          <w:szCs w:val="18"/>
          <w:lang w:val="pt-BR"/>
        </w:rPr>
        <w:t xml:space="preserve">m especial, o </w:t>
      </w:r>
      <w:r w:rsidRPr="00C40BD9">
        <w:rPr>
          <w:rFonts w:ascii="Verdana" w:hAnsi="Verdana" w:cs="Verdana"/>
          <w:sz w:val="18"/>
          <w:szCs w:val="18"/>
          <w:lang w:val="pt-BR"/>
        </w:rPr>
        <w:t>Estado també</w:t>
      </w:r>
      <w:r w:rsidR="00540E4A" w:rsidRPr="00C40BD9">
        <w:rPr>
          <w:rFonts w:ascii="Verdana" w:hAnsi="Verdana" w:cs="Verdana"/>
          <w:sz w:val="18"/>
          <w:szCs w:val="18"/>
          <w:lang w:val="pt-BR"/>
        </w:rPr>
        <w:t>m</w:t>
      </w:r>
      <w:r w:rsidRPr="00C40BD9">
        <w:rPr>
          <w:rFonts w:ascii="Verdana" w:hAnsi="Verdana" w:cs="Verdana"/>
          <w:sz w:val="18"/>
          <w:szCs w:val="18"/>
          <w:lang w:val="pt-BR"/>
        </w:rPr>
        <w:t xml:space="preserve"> </w:t>
      </w:r>
      <w:r w:rsidR="006770ED" w:rsidRPr="00C40BD9">
        <w:rPr>
          <w:rFonts w:ascii="Verdana" w:hAnsi="Verdana" w:cs="Verdana"/>
          <w:sz w:val="18"/>
          <w:szCs w:val="18"/>
          <w:lang w:val="pt-BR"/>
        </w:rPr>
        <w:t>deve</w:t>
      </w:r>
      <w:r w:rsidR="00540E4A" w:rsidRPr="00C40BD9">
        <w:rPr>
          <w:rFonts w:ascii="Verdana" w:hAnsi="Verdana" w:cs="Verdana"/>
          <w:sz w:val="18"/>
          <w:szCs w:val="18"/>
          <w:lang w:val="pt-BR"/>
        </w:rPr>
        <w:t>rá</w:t>
      </w:r>
      <w:r w:rsidRPr="00C40BD9">
        <w:rPr>
          <w:rFonts w:ascii="Verdana" w:hAnsi="Verdana" w:cs="Verdana"/>
          <w:sz w:val="18"/>
          <w:szCs w:val="18"/>
          <w:lang w:val="pt-BR"/>
        </w:rPr>
        <w:t>:</w:t>
      </w:r>
    </w:p>
    <w:p w:rsidR="003201B1" w:rsidRPr="00C40BD9" w:rsidRDefault="003201B1" w:rsidP="00A82FB4">
      <w:pPr>
        <w:autoSpaceDE w:val="0"/>
        <w:autoSpaceDN w:val="0"/>
        <w:adjustRightInd w:val="0"/>
        <w:spacing w:after="0" w:line="240" w:lineRule="auto"/>
        <w:ind w:left="993" w:right="855"/>
        <w:jc w:val="both"/>
        <w:rPr>
          <w:rFonts w:ascii="Verdana" w:hAnsi="Verdana" w:cs="Verdana"/>
          <w:iCs/>
          <w:sz w:val="18"/>
          <w:szCs w:val="18"/>
          <w:lang w:val="pt-BR"/>
        </w:rPr>
      </w:pPr>
    </w:p>
    <w:p w:rsidR="003201B1" w:rsidRPr="00C40BD9" w:rsidRDefault="0016684C" w:rsidP="00364197">
      <w:pPr>
        <w:numPr>
          <w:ilvl w:val="0"/>
          <w:numId w:val="16"/>
        </w:numPr>
        <w:autoSpaceDE w:val="0"/>
        <w:autoSpaceDN w:val="0"/>
        <w:adjustRightInd w:val="0"/>
        <w:spacing w:after="0" w:line="240" w:lineRule="auto"/>
        <w:ind w:left="1418" w:right="855" w:hanging="425"/>
        <w:jc w:val="both"/>
        <w:rPr>
          <w:rFonts w:ascii="Verdana" w:hAnsi="Verdana" w:cs="Verdana"/>
          <w:sz w:val="18"/>
          <w:szCs w:val="18"/>
          <w:lang w:val="pt-BR"/>
        </w:rPr>
      </w:pPr>
      <w:r w:rsidRPr="00C40BD9">
        <w:rPr>
          <w:rFonts w:ascii="Verdana" w:hAnsi="Verdana" w:cs="Verdana"/>
          <w:sz w:val="18"/>
          <w:szCs w:val="18"/>
          <w:lang w:val="pt-BR"/>
        </w:rPr>
        <w:t xml:space="preserve">assegurar o pleno acesso e a capacidade de agir dos familiares em todas as etapas dessas investigações, de acordo com a legislação interna e as normas da Convenção Americana </w:t>
      </w:r>
      <w:r w:rsidR="003201B1" w:rsidRPr="00C40BD9">
        <w:rPr>
          <w:rFonts w:ascii="Verdana" w:hAnsi="Verdana" w:cs="Verdana"/>
          <w:sz w:val="18"/>
          <w:szCs w:val="18"/>
          <w:lang w:val="pt-BR"/>
        </w:rPr>
        <w:t>[…]</w:t>
      </w:r>
      <w:r w:rsidRPr="00C40BD9">
        <w:rPr>
          <w:rFonts w:ascii="Verdana" w:hAnsi="Verdana" w:cs="Verdana"/>
          <w:sz w:val="18"/>
          <w:szCs w:val="18"/>
          <w:lang w:val="pt-BR"/>
        </w:rPr>
        <w:t>;</w:t>
      </w:r>
      <w:r w:rsidR="003201B1" w:rsidRPr="00C40BD9">
        <w:rPr>
          <w:rFonts w:ascii="Verdana" w:hAnsi="Verdana" w:cs="Verdana"/>
          <w:sz w:val="18"/>
          <w:szCs w:val="18"/>
          <w:lang w:val="pt-BR"/>
        </w:rPr>
        <w:t xml:space="preserve"> </w:t>
      </w:r>
      <w:r w:rsidR="00F633DD" w:rsidRPr="00C40BD9">
        <w:rPr>
          <w:rFonts w:ascii="Verdana" w:hAnsi="Verdana" w:cs="Verdana"/>
          <w:sz w:val="18"/>
          <w:szCs w:val="18"/>
          <w:lang w:val="pt-BR"/>
        </w:rPr>
        <w:t xml:space="preserve">e </w:t>
      </w:r>
    </w:p>
    <w:p w:rsidR="003201B1" w:rsidRPr="00C40BD9" w:rsidRDefault="0016684C" w:rsidP="00364197">
      <w:pPr>
        <w:numPr>
          <w:ilvl w:val="0"/>
          <w:numId w:val="16"/>
        </w:numPr>
        <w:autoSpaceDE w:val="0"/>
        <w:autoSpaceDN w:val="0"/>
        <w:adjustRightInd w:val="0"/>
        <w:spacing w:after="0" w:line="240" w:lineRule="auto"/>
        <w:ind w:left="1418" w:right="855" w:hanging="425"/>
        <w:jc w:val="both"/>
        <w:rPr>
          <w:rFonts w:ascii="Verdana" w:hAnsi="Verdana" w:cs="Verdana"/>
          <w:sz w:val="18"/>
          <w:szCs w:val="18"/>
          <w:lang w:val="pt-BR"/>
        </w:rPr>
      </w:pPr>
      <w:r w:rsidRPr="00C40BD9">
        <w:rPr>
          <w:rFonts w:ascii="Verdana" w:hAnsi="Verdana" w:cs="Verdana"/>
          <w:sz w:val="18"/>
          <w:szCs w:val="18"/>
          <w:lang w:val="pt-BR"/>
        </w:rPr>
        <w:lastRenderedPageBreak/>
        <w:t xml:space="preserve">abster-se de recorrer a qualquer obstáculo processual para eximir-se dessa obrigação, por tratar-se de prováveis execuções extrajudiciais e atos de tortura </w:t>
      </w:r>
      <w:r w:rsidR="003201B1" w:rsidRPr="00C40BD9">
        <w:rPr>
          <w:rFonts w:ascii="Verdana" w:hAnsi="Verdana" w:cs="Verdana"/>
          <w:sz w:val="18"/>
          <w:szCs w:val="18"/>
          <w:lang w:val="pt-BR"/>
        </w:rPr>
        <w:t>[…].</w:t>
      </w:r>
    </w:p>
    <w:p w:rsidR="003201B1" w:rsidRPr="00C40BD9" w:rsidRDefault="003201B1" w:rsidP="00A82FB4">
      <w:pPr>
        <w:autoSpaceDE w:val="0"/>
        <w:autoSpaceDN w:val="0"/>
        <w:adjustRightInd w:val="0"/>
        <w:spacing w:after="0" w:line="240" w:lineRule="auto"/>
        <w:ind w:left="993" w:right="855"/>
        <w:jc w:val="both"/>
        <w:rPr>
          <w:rFonts w:ascii="Verdana" w:hAnsi="Verdana" w:cs="Verdana"/>
          <w:sz w:val="18"/>
          <w:szCs w:val="18"/>
          <w:lang w:val="pt-BR"/>
        </w:rPr>
      </w:pPr>
    </w:p>
    <w:p w:rsidR="003201B1" w:rsidRPr="00C40BD9" w:rsidRDefault="003201B1" w:rsidP="00A82FB4">
      <w:pPr>
        <w:pStyle w:val="ListParagraph"/>
        <w:numPr>
          <w:ilvl w:val="0"/>
          <w:numId w:val="17"/>
        </w:numPr>
        <w:autoSpaceDE w:val="0"/>
        <w:autoSpaceDN w:val="0"/>
        <w:adjustRightInd w:val="0"/>
        <w:spacing w:after="0" w:line="240" w:lineRule="auto"/>
        <w:ind w:left="993" w:right="855" w:firstLine="0"/>
        <w:jc w:val="both"/>
        <w:rPr>
          <w:rFonts w:ascii="Verdana" w:hAnsi="Verdana" w:cs="Verdana"/>
          <w:iCs/>
          <w:sz w:val="18"/>
          <w:szCs w:val="18"/>
          <w:lang w:val="pt-BR"/>
        </w:rPr>
      </w:pPr>
      <w:r w:rsidRPr="00C40BD9">
        <w:rPr>
          <w:rFonts w:ascii="Verdana" w:hAnsi="Verdana" w:cs="Verdana"/>
          <w:sz w:val="18"/>
          <w:szCs w:val="18"/>
          <w:lang w:val="pt-BR"/>
        </w:rPr>
        <w:t xml:space="preserve"> </w:t>
      </w:r>
      <w:r w:rsidR="0016684C" w:rsidRPr="00C40BD9">
        <w:rPr>
          <w:rFonts w:ascii="Verdana" w:hAnsi="Verdana" w:cs="Verdana"/>
          <w:sz w:val="18"/>
          <w:szCs w:val="18"/>
          <w:lang w:val="pt-BR"/>
        </w:rPr>
        <w:t xml:space="preserve">Finalmente, </w:t>
      </w:r>
      <w:r w:rsidR="00364197">
        <w:rPr>
          <w:rFonts w:ascii="Verdana" w:hAnsi="Verdana" w:cs="Verdana"/>
          <w:sz w:val="18"/>
          <w:szCs w:val="18"/>
          <w:lang w:val="pt-BR"/>
        </w:rPr>
        <w:t xml:space="preserve">em relação aos </w:t>
      </w:r>
      <w:r w:rsidR="0016684C" w:rsidRPr="00C40BD9">
        <w:rPr>
          <w:rFonts w:ascii="Verdana" w:hAnsi="Verdana" w:cs="Verdana"/>
          <w:sz w:val="18"/>
          <w:szCs w:val="18"/>
          <w:lang w:val="pt-BR"/>
        </w:rPr>
        <w:t xml:space="preserve">fatos de violência sexual, tal como se dispôs em outras oportunidades relacionadas com esse tipo de caso, tanto a investigação como o processo penal </w:t>
      </w:r>
      <w:r w:rsidR="00364197">
        <w:rPr>
          <w:rFonts w:ascii="Verdana" w:hAnsi="Verdana" w:cs="Verdana"/>
          <w:sz w:val="18"/>
          <w:szCs w:val="18"/>
          <w:lang w:val="pt-BR"/>
        </w:rPr>
        <w:t xml:space="preserve">posterior </w:t>
      </w:r>
      <w:r w:rsidR="0016684C" w:rsidRPr="00C40BD9">
        <w:rPr>
          <w:rFonts w:ascii="Verdana" w:hAnsi="Verdana" w:cs="Verdana"/>
          <w:sz w:val="18"/>
          <w:szCs w:val="18"/>
          <w:lang w:val="pt-BR"/>
        </w:rPr>
        <w:t>deverão incluir uma perspectiva de gênero, conduzir linhas de investigação específicas a respeito da violência sexual, em conformidade com a legislação interna e, caso seja pertinente, a participação adequada durante a investigação e o julgamento em todas as etapas. A investigação também deverá ser realizada por funcionários capacitados em casos similares e em atenção a vítimas de discriminação e violência de gênero. Além disso, será necessário assegurar-se de que as pessoas encarregadas da investigação e do processo penal, bem como, caso seja cabível, outras pessoas envolvidas, como testemunhas, peritos ou familiares da vítima, disponham das devidas garantias de segurança</w:t>
      </w:r>
      <w:r w:rsidR="00727F43" w:rsidRPr="00C40BD9">
        <w:rPr>
          <w:rFonts w:ascii="Verdana" w:hAnsi="Verdana" w:cs="Verdana"/>
          <w:sz w:val="18"/>
          <w:szCs w:val="18"/>
          <w:lang w:val="pt-BR"/>
        </w:rPr>
        <w:t xml:space="preserve"> </w:t>
      </w:r>
      <w:r w:rsidRPr="00C40BD9">
        <w:rPr>
          <w:rFonts w:ascii="Verdana" w:hAnsi="Verdana" w:cs="Verdana"/>
          <w:sz w:val="18"/>
          <w:szCs w:val="18"/>
          <w:lang w:val="pt-BR"/>
        </w:rPr>
        <w:t>[…]</w:t>
      </w:r>
      <w:r w:rsidR="0094006E">
        <w:rPr>
          <w:rFonts w:ascii="Verdana" w:hAnsi="Verdana" w:cs="Verdana"/>
          <w:sz w:val="18"/>
          <w:szCs w:val="18"/>
          <w:lang w:val="pt-BR"/>
        </w:rPr>
        <w:t>.</w:t>
      </w:r>
      <w:r w:rsidR="00044AA0" w:rsidRPr="00C40BD9">
        <w:rPr>
          <w:rFonts w:ascii="Verdana" w:hAnsi="Verdana" w:cs="Verdana"/>
          <w:sz w:val="18"/>
          <w:szCs w:val="18"/>
          <w:lang w:val="pt-BR"/>
        </w:rPr>
        <w:t xml:space="preserve"> </w:t>
      </w:r>
    </w:p>
    <w:p w:rsidR="009D38EF" w:rsidRPr="00C40BD9" w:rsidRDefault="009D38EF" w:rsidP="00A82FB4">
      <w:pPr>
        <w:autoSpaceDE w:val="0"/>
        <w:autoSpaceDN w:val="0"/>
        <w:adjustRightInd w:val="0"/>
        <w:spacing w:after="0" w:line="240" w:lineRule="auto"/>
        <w:jc w:val="both"/>
        <w:rPr>
          <w:rFonts w:ascii="Verdana" w:hAnsi="Verdana" w:cs="Verdana"/>
          <w:sz w:val="20"/>
          <w:szCs w:val="20"/>
          <w:lang w:val="pt-BR"/>
        </w:rPr>
      </w:pPr>
    </w:p>
    <w:p w:rsidR="00A33994" w:rsidRPr="00C40BD9" w:rsidRDefault="0016684C" w:rsidP="00A82FB4">
      <w:pPr>
        <w:numPr>
          <w:ilvl w:val="0"/>
          <w:numId w:val="2"/>
        </w:numPr>
        <w:tabs>
          <w:tab w:val="clear" w:pos="1247"/>
        </w:tabs>
        <w:autoSpaceDE w:val="0"/>
        <w:autoSpaceDN w:val="0"/>
        <w:adjustRightInd w:val="0"/>
        <w:spacing w:after="0" w:line="240" w:lineRule="auto"/>
        <w:jc w:val="both"/>
        <w:rPr>
          <w:rFonts w:ascii="Verdana" w:hAnsi="Verdana" w:cs="Verdana"/>
          <w:b/>
          <w:sz w:val="20"/>
          <w:szCs w:val="20"/>
          <w:lang w:val="pt-BR"/>
        </w:rPr>
      </w:pPr>
      <w:r w:rsidRPr="00C40BD9">
        <w:rPr>
          <w:rFonts w:ascii="Verdana" w:hAnsi="Verdana" w:cs="Verdana"/>
          <w:sz w:val="20"/>
          <w:szCs w:val="20"/>
          <w:lang w:val="pt-BR"/>
        </w:rPr>
        <w:t>Do mesmo modo</w:t>
      </w:r>
      <w:r w:rsidR="00A33994" w:rsidRPr="00C40BD9">
        <w:rPr>
          <w:rFonts w:ascii="Verdana" w:hAnsi="Verdana" w:cs="Verdana"/>
          <w:sz w:val="20"/>
          <w:szCs w:val="20"/>
          <w:lang w:val="pt-BR"/>
        </w:rPr>
        <w:t xml:space="preserve">, </w:t>
      </w:r>
      <w:r w:rsidRPr="00C40BD9">
        <w:rPr>
          <w:rFonts w:ascii="Verdana" w:hAnsi="Verdana" w:cs="Verdana"/>
          <w:sz w:val="20"/>
          <w:szCs w:val="20"/>
          <w:lang w:val="pt-BR"/>
        </w:rPr>
        <w:t>o</w:t>
      </w:r>
      <w:r w:rsidR="00A33994" w:rsidRPr="00C40BD9">
        <w:rPr>
          <w:rFonts w:ascii="Verdana" w:hAnsi="Verdana" w:cs="Verdana"/>
          <w:sz w:val="20"/>
          <w:szCs w:val="20"/>
          <w:lang w:val="pt-BR"/>
        </w:rPr>
        <w:t xml:space="preserve"> P</w:t>
      </w:r>
      <w:r w:rsidRPr="00C40BD9">
        <w:rPr>
          <w:rFonts w:ascii="Verdana" w:hAnsi="Verdana" w:cs="Verdana"/>
          <w:sz w:val="20"/>
          <w:szCs w:val="20"/>
          <w:lang w:val="pt-BR"/>
        </w:rPr>
        <w:t>o</w:t>
      </w:r>
      <w:r w:rsidR="00A33994" w:rsidRPr="00C40BD9">
        <w:rPr>
          <w:rFonts w:ascii="Verdana" w:hAnsi="Verdana" w:cs="Verdana"/>
          <w:sz w:val="20"/>
          <w:szCs w:val="20"/>
          <w:lang w:val="pt-BR"/>
        </w:rPr>
        <w:t xml:space="preserve">nto Resolutivo 10 </w:t>
      </w:r>
      <w:r w:rsidR="00F633DD" w:rsidRPr="00C40BD9">
        <w:rPr>
          <w:rFonts w:ascii="Verdana" w:hAnsi="Verdana" w:cs="Verdana"/>
          <w:sz w:val="20"/>
          <w:szCs w:val="20"/>
          <w:lang w:val="pt-BR"/>
        </w:rPr>
        <w:t>da Sentença</w:t>
      </w:r>
      <w:r w:rsidR="00DE316A">
        <w:rPr>
          <w:rFonts w:ascii="Verdana" w:hAnsi="Verdana" w:cs="Verdana"/>
          <w:sz w:val="20"/>
          <w:szCs w:val="20"/>
          <w:lang w:val="pt-BR"/>
        </w:rPr>
        <w:t xml:space="preserve"> </w:t>
      </w:r>
      <w:r w:rsidR="00A33994" w:rsidRPr="00C40BD9">
        <w:rPr>
          <w:rFonts w:ascii="Verdana" w:hAnsi="Verdana" w:cs="Verdana"/>
          <w:sz w:val="20"/>
          <w:szCs w:val="20"/>
          <w:lang w:val="pt-BR"/>
        </w:rPr>
        <w:t>disp</w:t>
      </w:r>
      <w:r w:rsidRPr="00C40BD9">
        <w:rPr>
          <w:rFonts w:ascii="Verdana" w:hAnsi="Verdana" w:cs="Verdana"/>
          <w:sz w:val="20"/>
          <w:szCs w:val="20"/>
          <w:lang w:val="pt-BR"/>
        </w:rPr>
        <w:t xml:space="preserve">ôs </w:t>
      </w:r>
      <w:r w:rsidR="00A33994" w:rsidRPr="00C40BD9">
        <w:rPr>
          <w:rFonts w:ascii="Verdana" w:hAnsi="Verdana" w:cs="Verdana"/>
          <w:sz w:val="20"/>
          <w:szCs w:val="20"/>
          <w:lang w:val="pt-BR"/>
        </w:rPr>
        <w:t xml:space="preserve">que: </w:t>
      </w:r>
    </w:p>
    <w:p w:rsidR="00A33994" w:rsidRPr="00C40BD9" w:rsidRDefault="00A33994" w:rsidP="00A82FB4">
      <w:pPr>
        <w:autoSpaceDE w:val="0"/>
        <w:autoSpaceDN w:val="0"/>
        <w:adjustRightInd w:val="0"/>
        <w:spacing w:after="0" w:line="240" w:lineRule="auto"/>
        <w:ind w:left="993" w:right="855"/>
        <w:jc w:val="both"/>
        <w:rPr>
          <w:rFonts w:ascii="Verdana" w:hAnsi="Verdana" w:cs="Verdana"/>
          <w:sz w:val="20"/>
          <w:szCs w:val="20"/>
          <w:lang w:val="pt-BR"/>
        </w:rPr>
      </w:pPr>
    </w:p>
    <w:p w:rsidR="00A33994" w:rsidRPr="00C40BD9" w:rsidRDefault="00A33994" w:rsidP="00A82FB4">
      <w:pPr>
        <w:autoSpaceDE w:val="0"/>
        <w:autoSpaceDN w:val="0"/>
        <w:adjustRightInd w:val="0"/>
        <w:spacing w:after="0" w:line="240" w:lineRule="auto"/>
        <w:ind w:left="993" w:right="855"/>
        <w:jc w:val="both"/>
        <w:rPr>
          <w:rFonts w:ascii="Verdana" w:hAnsi="Verdana" w:cs="Verdana"/>
          <w:sz w:val="18"/>
          <w:szCs w:val="18"/>
          <w:lang w:val="pt-BR"/>
        </w:rPr>
      </w:pPr>
      <w:r w:rsidRPr="00C40BD9">
        <w:rPr>
          <w:rFonts w:ascii="Verdana" w:hAnsi="Verdana" w:cs="Verdana"/>
          <w:bCs/>
          <w:sz w:val="18"/>
          <w:szCs w:val="18"/>
          <w:lang w:val="pt-BR"/>
        </w:rPr>
        <w:t>10.</w:t>
      </w:r>
      <w:r w:rsidR="00DE316A">
        <w:rPr>
          <w:rFonts w:ascii="Verdana" w:hAnsi="Verdana" w:cs="Verdana"/>
          <w:bCs/>
          <w:sz w:val="18"/>
          <w:szCs w:val="18"/>
          <w:lang w:val="pt-BR"/>
        </w:rPr>
        <w:t xml:space="preserve"> </w:t>
      </w:r>
      <w:r w:rsidR="0016684C" w:rsidRPr="00C40BD9">
        <w:rPr>
          <w:rFonts w:ascii="Verdana" w:hAnsi="Verdana" w:cs="Verdana"/>
          <w:sz w:val="18"/>
          <w:szCs w:val="18"/>
          <w:lang w:val="pt-BR"/>
        </w:rPr>
        <w:t>O Estado deverá conduzir eficazmente a investigação em curso sobre os fatos relacionados às mortes ocorridas na incursão de 1994, com a devida diligência e em prazo razoável, para identificar, processar e, caso seja pertinente, punir os responsáveis, nos termos dos parágrafos 291 e 292 da presente Sentença. A respeito das mortes ocorridas na incursão de 1995, o Estado deverá iniciar ou reativar uma investigação eficaz a respeito desses fatos, nos termos dos parágrafos 291 e 292 da presente Sentença. O Estado deverá também, por intermédio do Procurador-Geral da República do Ministério Público Federal, avaliar se os fatos referentes às incursões de 1994 e 1995 devem ser objeto de solicitação de Incidente de Deslocamento de Competência, no sentido disposto no parágrafo 292 da presente Sentença</w:t>
      </w:r>
      <w:r w:rsidRPr="00C40BD9">
        <w:rPr>
          <w:rFonts w:ascii="Verdana" w:hAnsi="Verdana" w:cs="Verdana"/>
          <w:sz w:val="18"/>
          <w:szCs w:val="18"/>
          <w:lang w:val="pt-BR"/>
        </w:rPr>
        <w:t>.</w:t>
      </w:r>
    </w:p>
    <w:p w:rsidR="00A33994" w:rsidRPr="00C40BD9" w:rsidRDefault="00A33994" w:rsidP="00A82FB4">
      <w:pPr>
        <w:autoSpaceDE w:val="0"/>
        <w:autoSpaceDN w:val="0"/>
        <w:adjustRightInd w:val="0"/>
        <w:spacing w:after="0" w:line="240" w:lineRule="auto"/>
        <w:jc w:val="both"/>
        <w:rPr>
          <w:rFonts w:ascii="Verdana" w:hAnsi="Verdana" w:cs="Verdana"/>
          <w:sz w:val="18"/>
          <w:szCs w:val="18"/>
          <w:lang w:val="pt-BR"/>
        </w:rPr>
      </w:pPr>
    </w:p>
    <w:p w:rsidR="00351415" w:rsidRPr="00C40BD9" w:rsidRDefault="00351415" w:rsidP="00351415">
      <w:pPr>
        <w:autoSpaceDE w:val="0"/>
        <w:autoSpaceDN w:val="0"/>
        <w:adjustRightInd w:val="0"/>
        <w:spacing w:after="0" w:line="240" w:lineRule="auto"/>
        <w:jc w:val="both"/>
        <w:rPr>
          <w:rFonts w:ascii="Verdana" w:hAnsi="Verdana" w:cs="Verdana"/>
          <w:i/>
          <w:sz w:val="20"/>
          <w:szCs w:val="20"/>
          <w:lang w:val="pt-BR"/>
        </w:rPr>
      </w:pPr>
      <w:r w:rsidRPr="00C40BD9">
        <w:rPr>
          <w:rFonts w:ascii="Verdana" w:hAnsi="Verdana" w:cs="Verdana"/>
          <w:i/>
          <w:sz w:val="20"/>
          <w:szCs w:val="20"/>
          <w:lang w:val="pt-BR"/>
        </w:rPr>
        <w:t xml:space="preserve">A.1. Argumentos </w:t>
      </w:r>
      <w:r w:rsidR="00C06A9B" w:rsidRPr="00C40BD9">
        <w:rPr>
          <w:rFonts w:ascii="Verdana" w:hAnsi="Verdana" w:cs="Verdana"/>
          <w:i/>
          <w:sz w:val="20"/>
          <w:szCs w:val="20"/>
          <w:lang w:val="pt-BR"/>
        </w:rPr>
        <w:t xml:space="preserve">das </w:t>
      </w:r>
      <w:r w:rsidRPr="00C40BD9">
        <w:rPr>
          <w:rFonts w:ascii="Verdana" w:hAnsi="Verdana" w:cs="Verdana"/>
          <w:i/>
          <w:sz w:val="20"/>
          <w:szCs w:val="20"/>
          <w:lang w:val="pt-BR"/>
        </w:rPr>
        <w:t xml:space="preserve">partes </w:t>
      </w:r>
      <w:r w:rsidR="00F633DD" w:rsidRPr="00C40BD9">
        <w:rPr>
          <w:rFonts w:ascii="Verdana" w:hAnsi="Verdana" w:cs="Verdana"/>
          <w:i/>
          <w:sz w:val="20"/>
          <w:szCs w:val="20"/>
          <w:lang w:val="pt-BR"/>
        </w:rPr>
        <w:t>e</w:t>
      </w:r>
      <w:r w:rsidR="00DE316A">
        <w:rPr>
          <w:rFonts w:ascii="Verdana" w:hAnsi="Verdana" w:cs="Verdana"/>
          <w:i/>
          <w:sz w:val="20"/>
          <w:szCs w:val="20"/>
          <w:lang w:val="pt-BR"/>
        </w:rPr>
        <w:t xml:space="preserve"> </w:t>
      </w:r>
      <w:r w:rsidR="00F633DD" w:rsidRPr="00C40BD9">
        <w:rPr>
          <w:rFonts w:ascii="Verdana" w:hAnsi="Verdana" w:cs="Verdana"/>
          <w:i/>
          <w:sz w:val="20"/>
          <w:szCs w:val="20"/>
          <w:lang w:val="pt-BR"/>
        </w:rPr>
        <w:t xml:space="preserve">da </w:t>
      </w:r>
      <w:r w:rsidR="00C06A9B" w:rsidRPr="00C40BD9">
        <w:rPr>
          <w:rFonts w:ascii="Verdana" w:hAnsi="Verdana" w:cs="Verdana"/>
          <w:i/>
          <w:sz w:val="20"/>
          <w:szCs w:val="20"/>
          <w:lang w:val="pt-BR"/>
        </w:rPr>
        <w:t>Comissão</w:t>
      </w:r>
      <w:r w:rsidR="00DE316A">
        <w:rPr>
          <w:rFonts w:ascii="Verdana" w:hAnsi="Verdana" w:cs="Verdana"/>
          <w:i/>
          <w:sz w:val="20"/>
          <w:szCs w:val="20"/>
          <w:lang w:val="pt-BR"/>
        </w:rPr>
        <w:t xml:space="preserve"> </w:t>
      </w:r>
    </w:p>
    <w:p w:rsidR="00351415" w:rsidRPr="00C40BD9" w:rsidRDefault="00351415" w:rsidP="00A82FB4">
      <w:pPr>
        <w:autoSpaceDE w:val="0"/>
        <w:autoSpaceDN w:val="0"/>
        <w:adjustRightInd w:val="0"/>
        <w:spacing w:after="0" w:line="240" w:lineRule="auto"/>
        <w:jc w:val="both"/>
        <w:rPr>
          <w:rFonts w:ascii="Verdana" w:hAnsi="Verdana" w:cs="Verdana"/>
          <w:b/>
          <w:sz w:val="20"/>
          <w:szCs w:val="20"/>
          <w:lang w:val="pt-BR"/>
        </w:rPr>
      </w:pPr>
    </w:p>
    <w:p w:rsidR="0085449E" w:rsidRPr="00C40BD9" w:rsidRDefault="0016684C" w:rsidP="00A82FB4">
      <w:pPr>
        <w:numPr>
          <w:ilvl w:val="0"/>
          <w:numId w:val="2"/>
        </w:numPr>
        <w:tabs>
          <w:tab w:val="clear" w:pos="1247"/>
        </w:tabs>
        <w:autoSpaceDE w:val="0"/>
        <w:autoSpaceDN w:val="0"/>
        <w:adjustRightInd w:val="0"/>
        <w:spacing w:after="0" w:line="240" w:lineRule="auto"/>
        <w:jc w:val="both"/>
        <w:rPr>
          <w:rFonts w:ascii="Verdana" w:hAnsi="Verdana" w:cs="Verdana"/>
          <w:b/>
          <w:sz w:val="20"/>
          <w:szCs w:val="20"/>
          <w:lang w:val="pt-BR"/>
        </w:rPr>
      </w:pPr>
      <w:r w:rsidRPr="00C40BD9">
        <w:rPr>
          <w:rFonts w:ascii="Verdana" w:hAnsi="Verdana" w:cs="Verdana"/>
          <w:sz w:val="20"/>
          <w:szCs w:val="20"/>
          <w:lang w:val="pt-BR"/>
        </w:rPr>
        <w:t>O</w:t>
      </w:r>
      <w:r w:rsidR="000C2BED" w:rsidRPr="00C40BD9">
        <w:rPr>
          <w:rFonts w:ascii="Verdana" w:hAnsi="Verdana" w:cs="Verdana"/>
          <w:sz w:val="20"/>
          <w:szCs w:val="20"/>
          <w:lang w:val="pt-BR"/>
        </w:rPr>
        <w:t>s</w:t>
      </w:r>
      <w:r w:rsidR="000C2BED" w:rsidRPr="00C40BD9">
        <w:rPr>
          <w:rFonts w:ascii="Verdana" w:hAnsi="Verdana" w:cs="Verdana"/>
          <w:b/>
          <w:sz w:val="20"/>
          <w:szCs w:val="20"/>
          <w:lang w:val="pt-BR"/>
        </w:rPr>
        <w:t xml:space="preserve"> </w:t>
      </w:r>
      <w:r w:rsidR="000C2BED" w:rsidRPr="00C40BD9">
        <w:rPr>
          <w:rFonts w:ascii="Verdana" w:hAnsi="Verdana" w:cs="Verdana"/>
          <w:b/>
          <w:i/>
          <w:sz w:val="20"/>
          <w:szCs w:val="20"/>
          <w:lang w:val="pt-BR"/>
        </w:rPr>
        <w:t>representantes</w:t>
      </w:r>
      <w:r w:rsidR="000C2BED" w:rsidRPr="00C40BD9">
        <w:rPr>
          <w:rFonts w:ascii="Verdana" w:hAnsi="Verdana" w:cs="Verdana"/>
          <w:b/>
          <w:sz w:val="20"/>
          <w:szCs w:val="20"/>
          <w:lang w:val="pt-BR"/>
        </w:rPr>
        <w:t xml:space="preserve"> </w:t>
      </w:r>
      <w:r w:rsidR="00A318F7" w:rsidRPr="00C40BD9">
        <w:rPr>
          <w:rFonts w:ascii="Verdana" w:hAnsi="Verdana" w:cs="Verdana"/>
          <w:sz w:val="20"/>
          <w:szCs w:val="20"/>
          <w:lang w:val="pt-BR"/>
        </w:rPr>
        <w:t>solicitar</w:t>
      </w:r>
      <w:r w:rsidRPr="00C40BD9">
        <w:rPr>
          <w:rFonts w:ascii="Verdana" w:hAnsi="Verdana" w:cs="Verdana"/>
          <w:sz w:val="20"/>
          <w:szCs w:val="20"/>
          <w:lang w:val="pt-BR"/>
        </w:rPr>
        <w:t xml:space="preserve">am esclarecimentos a respeito do </w:t>
      </w:r>
      <w:r w:rsidR="005361B1" w:rsidRPr="00C40BD9">
        <w:rPr>
          <w:rFonts w:ascii="Verdana" w:hAnsi="Verdana" w:cs="Verdana"/>
          <w:sz w:val="20"/>
          <w:szCs w:val="20"/>
          <w:lang w:val="pt-BR"/>
        </w:rPr>
        <w:t>alcance d</w:t>
      </w:r>
      <w:r w:rsidRPr="00C40BD9">
        <w:rPr>
          <w:rFonts w:ascii="Verdana" w:hAnsi="Verdana" w:cs="Verdana"/>
          <w:sz w:val="20"/>
          <w:szCs w:val="20"/>
          <w:lang w:val="pt-BR"/>
        </w:rPr>
        <w:t>o</w:t>
      </w:r>
      <w:r w:rsidR="005361B1" w:rsidRPr="00C40BD9">
        <w:rPr>
          <w:rFonts w:ascii="Verdana" w:hAnsi="Verdana" w:cs="Verdana"/>
          <w:sz w:val="20"/>
          <w:szCs w:val="20"/>
          <w:lang w:val="pt-BR"/>
        </w:rPr>
        <w:t xml:space="preserve"> </w:t>
      </w:r>
      <w:r w:rsidR="000C0E5B" w:rsidRPr="00C40BD9">
        <w:rPr>
          <w:rFonts w:ascii="Verdana" w:hAnsi="Verdana" w:cs="Verdana"/>
          <w:sz w:val="20"/>
          <w:szCs w:val="20"/>
          <w:lang w:val="pt-BR"/>
        </w:rPr>
        <w:t>“obstáculo proces</w:t>
      </w:r>
      <w:r w:rsidRPr="00C40BD9">
        <w:rPr>
          <w:rFonts w:ascii="Verdana" w:hAnsi="Verdana" w:cs="Verdana"/>
          <w:sz w:val="20"/>
          <w:szCs w:val="20"/>
          <w:lang w:val="pt-BR"/>
        </w:rPr>
        <w:t>su</w:t>
      </w:r>
      <w:r w:rsidR="0085449E" w:rsidRPr="00C40BD9">
        <w:rPr>
          <w:rFonts w:ascii="Verdana" w:hAnsi="Verdana" w:cs="Verdana"/>
          <w:sz w:val="20"/>
          <w:szCs w:val="20"/>
          <w:lang w:val="pt-BR"/>
        </w:rPr>
        <w:t xml:space="preserve">al” </w:t>
      </w:r>
      <w:r w:rsidRPr="00C40BD9">
        <w:rPr>
          <w:rFonts w:ascii="Verdana" w:hAnsi="Verdana" w:cs="Verdana"/>
          <w:sz w:val="20"/>
          <w:szCs w:val="20"/>
          <w:lang w:val="pt-BR"/>
        </w:rPr>
        <w:t xml:space="preserve">a que se refere o </w:t>
      </w:r>
      <w:r w:rsidR="00C06A9B" w:rsidRPr="00C40BD9">
        <w:rPr>
          <w:rFonts w:ascii="Verdana" w:hAnsi="Verdana" w:cs="Verdana"/>
          <w:sz w:val="20"/>
          <w:szCs w:val="20"/>
          <w:lang w:val="pt-BR"/>
        </w:rPr>
        <w:t xml:space="preserve">parágrafo </w:t>
      </w:r>
      <w:r w:rsidR="00A318F7" w:rsidRPr="00C40BD9">
        <w:rPr>
          <w:rFonts w:ascii="Verdana" w:hAnsi="Verdana" w:cs="Verdana"/>
          <w:sz w:val="20"/>
          <w:szCs w:val="20"/>
          <w:lang w:val="pt-BR"/>
        </w:rPr>
        <w:t xml:space="preserve">292.b </w:t>
      </w:r>
      <w:r w:rsidR="00F633DD" w:rsidRPr="00C40BD9">
        <w:rPr>
          <w:rFonts w:ascii="Verdana" w:hAnsi="Verdana" w:cs="Verdana"/>
          <w:sz w:val="20"/>
          <w:szCs w:val="20"/>
          <w:lang w:val="pt-BR"/>
        </w:rPr>
        <w:t>da Sentença</w:t>
      </w:r>
      <w:r w:rsidR="00A318F7" w:rsidRPr="00C40BD9">
        <w:rPr>
          <w:rFonts w:ascii="Verdana" w:hAnsi="Verdana" w:cs="Verdana"/>
          <w:sz w:val="20"/>
          <w:szCs w:val="20"/>
          <w:lang w:val="pt-BR"/>
        </w:rPr>
        <w:t>, e</w:t>
      </w:r>
      <w:r w:rsidRPr="00C40BD9">
        <w:rPr>
          <w:rFonts w:ascii="Verdana" w:hAnsi="Verdana" w:cs="Verdana"/>
          <w:sz w:val="20"/>
          <w:szCs w:val="20"/>
          <w:lang w:val="pt-BR"/>
        </w:rPr>
        <w:t>m</w:t>
      </w:r>
      <w:r w:rsidR="00A318F7" w:rsidRPr="00C40BD9">
        <w:rPr>
          <w:rFonts w:ascii="Verdana" w:hAnsi="Verdana" w:cs="Verdana"/>
          <w:sz w:val="20"/>
          <w:szCs w:val="20"/>
          <w:lang w:val="pt-BR"/>
        </w:rPr>
        <w:t xml:space="preserve"> rela</w:t>
      </w:r>
      <w:r w:rsidR="00F633DD" w:rsidRPr="00C40BD9">
        <w:rPr>
          <w:rFonts w:ascii="Verdana" w:hAnsi="Verdana" w:cs="Verdana"/>
          <w:sz w:val="20"/>
          <w:szCs w:val="20"/>
          <w:lang w:val="pt-BR"/>
        </w:rPr>
        <w:t>ção</w:t>
      </w:r>
      <w:r w:rsidR="00A318F7" w:rsidRPr="00C40BD9">
        <w:rPr>
          <w:rFonts w:ascii="Verdana" w:hAnsi="Verdana" w:cs="Verdana"/>
          <w:sz w:val="20"/>
          <w:szCs w:val="20"/>
          <w:lang w:val="pt-BR"/>
        </w:rPr>
        <w:t xml:space="preserve"> </w:t>
      </w:r>
      <w:r w:rsidRPr="00C40BD9">
        <w:rPr>
          <w:rFonts w:ascii="Verdana" w:hAnsi="Verdana" w:cs="Verdana"/>
          <w:sz w:val="20"/>
          <w:szCs w:val="20"/>
          <w:lang w:val="pt-BR"/>
        </w:rPr>
        <w:t xml:space="preserve">às </w:t>
      </w:r>
      <w:r w:rsidR="0085449E" w:rsidRPr="00C40BD9">
        <w:rPr>
          <w:rFonts w:ascii="Verdana" w:hAnsi="Verdana" w:cs="Verdana"/>
          <w:sz w:val="20"/>
          <w:szCs w:val="20"/>
          <w:lang w:val="pt-BR"/>
        </w:rPr>
        <w:t>investiga</w:t>
      </w:r>
      <w:r w:rsidR="00F633DD" w:rsidRPr="00C40BD9">
        <w:rPr>
          <w:rFonts w:ascii="Verdana" w:hAnsi="Verdana" w:cs="Verdana"/>
          <w:sz w:val="20"/>
          <w:szCs w:val="20"/>
          <w:lang w:val="pt-BR"/>
        </w:rPr>
        <w:t>ções</w:t>
      </w:r>
      <w:r w:rsidR="0085449E" w:rsidRPr="00C40BD9">
        <w:rPr>
          <w:rFonts w:ascii="Verdana" w:hAnsi="Verdana" w:cs="Verdana"/>
          <w:sz w:val="20"/>
          <w:szCs w:val="20"/>
          <w:lang w:val="pt-BR"/>
        </w:rPr>
        <w:t xml:space="preserve"> </w:t>
      </w:r>
      <w:r w:rsidR="00C06A9B" w:rsidRPr="00C40BD9">
        <w:rPr>
          <w:rFonts w:ascii="Verdana" w:hAnsi="Verdana" w:cs="Verdana"/>
          <w:sz w:val="20"/>
          <w:szCs w:val="20"/>
          <w:lang w:val="pt-BR"/>
        </w:rPr>
        <w:t xml:space="preserve">dos </w:t>
      </w:r>
      <w:r w:rsidRPr="00C40BD9">
        <w:rPr>
          <w:rFonts w:ascii="Verdana" w:hAnsi="Verdana" w:cs="Verdana"/>
          <w:sz w:val="20"/>
          <w:szCs w:val="20"/>
          <w:lang w:val="pt-BR"/>
        </w:rPr>
        <w:t xml:space="preserve">atos </w:t>
      </w:r>
      <w:r w:rsidR="0085449E" w:rsidRPr="00C40BD9">
        <w:rPr>
          <w:rFonts w:ascii="Verdana" w:hAnsi="Verdana" w:cs="Verdana"/>
          <w:sz w:val="20"/>
          <w:szCs w:val="20"/>
          <w:lang w:val="pt-BR"/>
        </w:rPr>
        <w:t xml:space="preserve">de </w:t>
      </w:r>
      <w:r w:rsidR="00C06A9B" w:rsidRPr="00C40BD9">
        <w:rPr>
          <w:rFonts w:ascii="Verdana" w:hAnsi="Verdana" w:cs="Verdana"/>
          <w:sz w:val="20"/>
          <w:szCs w:val="20"/>
          <w:lang w:val="pt-BR"/>
        </w:rPr>
        <w:t>violência</w:t>
      </w:r>
      <w:r w:rsidR="00DE316A">
        <w:rPr>
          <w:rFonts w:ascii="Verdana" w:hAnsi="Verdana" w:cs="Verdana"/>
          <w:sz w:val="20"/>
          <w:szCs w:val="20"/>
          <w:lang w:val="pt-BR"/>
        </w:rPr>
        <w:t xml:space="preserve"> </w:t>
      </w:r>
      <w:r w:rsidR="0085449E" w:rsidRPr="00C40BD9">
        <w:rPr>
          <w:rFonts w:ascii="Verdana" w:hAnsi="Verdana" w:cs="Verdana"/>
          <w:sz w:val="20"/>
          <w:szCs w:val="20"/>
          <w:lang w:val="pt-BR"/>
        </w:rPr>
        <w:t>sexual</w:t>
      </w:r>
      <w:r w:rsidR="00A779B0" w:rsidRPr="00C40BD9">
        <w:rPr>
          <w:rFonts w:ascii="Verdana" w:hAnsi="Verdana" w:cs="Verdana"/>
          <w:sz w:val="20"/>
          <w:szCs w:val="20"/>
          <w:lang w:val="pt-BR"/>
        </w:rPr>
        <w:t>. Seg</w:t>
      </w:r>
      <w:r w:rsidRPr="00C40BD9">
        <w:rPr>
          <w:rFonts w:ascii="Verdana" w:hAnsi="Verdana" w:cs="Verdana"/>
          <w:sz w:val="20"/>
          <w:szCs w:val="20"/>
          <w:lang w:val="pt-BR"/>
        </w:rPr>
        <w:t xml:space="preserve">undo os </w:t>
      </w:r>
      <w:r w:rsidR="00486FED" w:rsidRPr="00C40BD9">
        <w:rPr>
          <w:rFonts w:ascii="Verdana" w:hAnsi="Verdana" w:cs="Verdana"/>
          <w:sz w:val="20"/>
          <w:szCs w:val="20"/>
          <w:lang w:val="pt-BR"/>
        </w:rPr>
        <w:t xml:space="preserve">representantes, </w:t>
      </w:r>
      <w:r w:rsidRPr="00C40BD9">
        <w:rPr>
          <w:rFonts w:ascii="Verdana" w:hAnsi="Verdana" w:cs="Verdana"/>
          <w:sz w:val="20"/>
          <w:szCs w:val="20"/>
          <w:lang w:val="pt-BR"/>
        </w:rPr>
        <w:t>o</w:t>
      </w:r>
      <w:r w:rsidR="00486FED" w:rsidRPr="00C40BD9">
        <w:rPr>
          <w:rFonts w:ascii="Verdana" w:hAnsi="Verdana" w:cs="Verdana"/>
          <w:sz w:val="20"/>
          <w:szCs w:val="20"/>
          <w:lang w:val="pt-BR"/>
        </w:rPr>
        <w:t xml:space="preserve"> </w:t>
      </w:r>
      <w:r w:rsidR="00C06A9B" w:rsidRPr="00C40BD9">
        <w:rPr>
          <w:rFonts w:ascii="Verdana" w:hAnsi="Verdana" w:cs="Verdana"/>
          <w:sz w:val="20"/>
          <w:szCs w:val="20"/>
          <w:lang w:val="pt-BR"/>
        </w:rPr>
        <w:t>parágrafo</w:t>
      </w:r>
      <w:r w:rsidR="00DE316A">
        <w:rPr>
          <w:rFonts w:ascii="Verdana" w:hAnsi="Verdana" w:cs="Verdana"/>
          <w:sz w:val="20"/>
          <w:szCs w:val="20"/>
          <w:lang w:val="pt-BR"/>
        </w:rPr>
        <w:t xml:space="preserve"> </w:t>
      </w:r>
      <w:r w:rsidR="00486FED" w:rsidRPr="00C40BD9">
        <w:rPr>
          <w:rFonts w:ascii="Verdana" w:hAnsi="Verdana" w:cs="Verdana"/>
          <w:sz w:val="20"/>
          <w:szCs w:val="20"/>
          <w:lang w:val="pt-BR"/>
        </w:rPr>
        <w:t xml:space="preserve">mencionado se aplica tanto </w:t>
      </w:r>
      <w:r w:rsidRPr="00C40BD9">
        <w:rPr>
          <w:rFonts w:ascii="Verdana" w:hAnsi="Verdana" w:cs="Verdana"/>
          <w:sz w:val="20"/>
          <w:szCs w:val="20"/>
          <w:lang w:val="pt-BR"/>
        </w:rPr>
        <w:t xml:space="preserve">às </w:t>
      </w:r>
      <w:r w:rsidR="00486FED" w:rsidRPr="00C40BD9">
        <w:rPr>
          <w:rFonts w:ascii="Verdana" w:hAnsi="Verdana" w:cs="Verdana"/>
          <w:sz w:val="20"/>
          <w:szCs w:val="20"/>
          <w:lang w:val="pt-BR"/>
        </w:rPr>
        <w:t>investiga</w:t>
      </w:r>
      <w:r w:rsidR="00F633DD" w:rsidRPr="00C40BD9">
        <w:rPr>
          <w:rFonts w:ascii="Verdana" w:hAnsi="Verdana" w:cs="Verdana"/>
          <w:sz w:val="20"/>
          <w:szCs w:val="20"/>
          <w:lang w:val="pt-BR"/>
        </w:rPr>
        <w:t>ções</w:t>
      </w:r>
      <w:r w:rsidR="00486FED" w:rsidRPr="00C40BD9">
        <w:rPr>
          <w:rFonts w:ascii="Verdana" w:hAnsi="Verdana" w:cs="Verdana"/>
          <w:sz w:val="20"/>
          <w:szCs w:val="20"/>
          <w:lang w:val="pt-BR"/>
        </w:rPr>
        <w:t xml:space="preserve"> relativas </w:t>
      </w:r>
      <w:r w:rsidRPr="00C40BD9">
        <w:rPr>
          <w:rFonts w:ascii="Verdana" w:hAnsi="Verdana" w:cs="Verdana"/>
          <w:sz w:val="20"/>
          <w:szCs w:val="20"/>
          <w:lang w:val="pt-BR"/>
        </w:rPr>
        <w:t>às mortes</w:t>
      </w:r>
      <w:r w:rsidR="00DE316A">
        <w:rPr>
          <w:rFonts w:ascii="Verdana" w:hAnsi="Verdana" w:cs="Verdana"/>
          <w:sz w:val="20"/>
          <w:szCs w:val="20"/>
          <w:lang w:val="pt-BR"/>
        </w:rPr>
        <w:t xml:space="preserve"> </w:t>
      </w:r>
      <w:r w:rsidRPr="00C40BD9">
        <w:rPr>
          <w:rFonts w:ascii="Verdana" w:hAnsi="Verdana" w:cs="Verdana"/>
          <w:sz w:val="20"/>
          <w:szCs w:val="20"/>
          <w:lang w:val="pt-BR"/>
        </w:rPr>
        <w:t>ocorridas</w:t>
      </w:r>
      <w:r w:rsidR="00DE316A">
        <w:rPr>
          <w:rFonts w:ascii="Verdana" w:hAnsi="Verdana" w:cs="Verdana"/>
          <w:sz w:val="20"/>
          <w:szCs w:val="20"/>
          <w:lang w:val="pt-BR"/>
        </w:rPr>
        <w:t xml:space="preserve"> </w:t>
      </w:r>
      <w:r w:rsidR="00486FED" w:rsidRPr="00C40BD9">
        <w:rPr>
          <w:rFonts w:ascii="Verdana" w:hAnsi="Verdana" w:cs="Verdana"/>
          <w:sz w:val="20"/>
          <w:szCs w:val="20"/>
          <w:lang w:val="pt-BR"/>
        </w:rPr>
        <w:t>nas incurs</w:t>
      </w:r>
      <w:r w:rsidRPr="00C40BD9">
        <w:rPr>
          <w:rFonts w:ascii="Verdana" w:hAnsi="Verdana" w:cs="Verdana"/>
          <w:sz w:val="20"/>
          <w:szCs w:val="20"/>
          <w:lang w:val="pt-BR"/>
        </w:rPr>
        <w:t xml:space="preserve">ões </w:t>
      </w:r>
      <w:r w:rsidR="00486FED" w:rsidRPr="00C40BD9">
        <w:rPr>
          <w:rFonts w:ascii="Verdana" w:hAnsi="Verdana" w:cs="Verdana"/>
          <w:sz w:val="20"/>
          <w:szCs w:val="20"/>
          <w:lang w:val="pt-BR"/>
        </w:rPr>
        <w:t xml:space="preserve">de 1994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00486FED" w:rsidRPr="00C40BD9">
        <w:rPr>
          <w:rFonts w:ascii="Verdana" w:hAnsi="Verdana" w:cs="Verdana"/>
          <w:sz w:val="20"/>
          <w:szCs w:val="20"/>
          <w:lang w:val="pt-BR"/>
        </w:rPr>
        <w:t xml:space="preserve">1995, como </w:t>
      </w:r>
      <w:r w:rsidRPr="00C40BD9">
        <w:rPr>
          <w:rFonts w:ascii="Verdana" w:hAnsi="Verdana" w:cs="Verdana"/>
          <w:sz w:val="20"/>
          <w:szCs w:val="20"/>
          <w:lang w:val="pt-BR"/>
        </w:rPr>
        <w:t xml:space="preserve">às </w:t>
      </w:r>
      <w:r w:rsidR="00486FED" w:rsidRPr="00C40BD9">
        <w:rPr>
          <w:rFonts w:ascii="Verdana" w:hAnsi="Verdana" w:cs="Verdana"/>
          <w:sz w:val="20"/>
          <w:szCs w:val="20"/>
          <w:lang w:val="pt-BR"/>
        </w:rPr>
        <w:t>investiga</w:t>
      </w:r>
      <w:r w:rsidR="00F633DD" w:rsidRPr="00C40BD9">
        <w:rPr>
          <w:rFonts w:ascii="Verdana" w:hAnsi="Verdana" w:cs="Verdana"/>
          <w:sz w:val="20"/>
          <w:szCs w:val="20"/>
          <w:lang w:val="pt-BR"/>
        </w:rPr>
        <w:t>ções</w:t>
      </w:r>
      <w:r w:rsidR="00486FED" w:rsidRPr="00C40BD9">
        <w:rPr>
          <w:rFonts w:ascii="Verdana" w:hAnsi="Verdana" w:cs="Verdana"/>
          <w:sz w:val="20"/>
          <w:szCs w:val="20"/>
          <w:lang w:val="pt-BR"/>
        </w:rPr>
        <w:t xml:space="preserve"> </w:t>
      </w:r>
      <w:r w:rsidR="00C06A9B" w:rsidRPr="00C40BD9">
        <w:rPr>
          <w:rFonts w:ascii="Verdana" w:hAnsi="Verdana" w:cs="Verdana"/>
          <w:sz w:val="20"/>
          <w:szCs w:val="20"/>
          <w:lang w:val="pt-BR"/>
        </w:rPr>
        <w:t xml:space="preserve">dos </w:t>
      </w:r>
      <w:r w:rsidRPr="00C40BD9">
        <w:rPr>
          <w:rFonts w:ascii="Verdana" w:hAnsi="Verdana" w:cs="Verdana"/>
          <w:sz w:val="20"/>
          <w:szCs w:val="20"/>
          <w:lang w:val="pt-BR"/>
        </w:rPr>
        <w:t xml:space="preserve">atos </w:t>
      </w:r>
      <w:r w:rsidR="00486FED" w:rsidRPr="00C40BD9">
        <w:rPr>
          <w:rFonts w:ascii="Verdana" w:hAnsi="Verdana" w:cs="Verdana"/>
          <w:sz w:val="20"/>
          <w:szCs w:val="20"/>
          <w:lang w:val="pt-BR"/>
        </w:rPr>
        <w:t xml:space="preserve">de </w:t>
      </w:r>
      <w:r w:rsidR="00C06A9B" w:rsidRPr="00C40BD9">
        <w:rPr>
          <w:rFonts w:ascii="Verdana" w:hAnsi="Verdana" w:cs="Verdana"/>
          <w:sz w:val="20"/>
          <w:szCs w:val="20"/>
          <w:lang w:val="pt-BR"/>
        </w:rPr>
        <w:t>violência</w:t>
      </w:r>
      <w:r w:rsidR="00DE316A">
        <w:rPr>
          <w:rFonts w:ascii="Verdana" w:hAnsi="Verdana" w:cs="Verdana"/>
          <w:sz w:val="20"/>
          <w:szCs w:val="20"/>
          <w:lang w:val="pt-BR"/>
        </w:rPr>
        <w:t xml:space="preserve"> </w:t>
      </w:r>
      <w:r w:rsidR="00486FED" w:rsidRPr="00C40BD9">
        <w:rPr>
          <w:rFonts w:ascii="Verdana" w:hAnsi="Verdana" w:cs="Verdana"/>
          <w:sz w:val="20"/>
          <w:szCs w:val="20"/>
          <w:lang w:val="pt-BR"/>
        </w:rPr>
        <w:t xml:space="preserve">sexual a que se refere </w:t>
      </w:r>
      <w:r w:rsidRPr="00C40BD9">
        <w:rPr>
          <w:rFonts w:ascii="Verdana" w:hAnsi="Verdana" w:cs="Verdana"/>
          <w:sz w:val="20"/>
          <w:szCs w:val="20"/>
          <w:lang w:val="pt-BR"/>
        </w:rPr>
        <w:t>o</w:t>
      </w:r>
      <w:r w:rsidR="00486FED" w:rsidRPr="00C40BD9">
        <w:rPr>
          <w:rFonts w:ascii="Verdana" w:hAnsi="Verdana" w:cs="Verdana"/>
          <w:sz w:val="20"/>
          <w:szCs w:val="20"/>
          <w:lang w:val="pt-BR"/>
        </w:rPr>
        <w:t xml:space="preserve"> </w:t>
      </w:r>
      <w:r w:rsidR="00C06A9B" w:rsidRPr="00C40BD9">
        <w:rPr>
          <w:rFonts w:ascii="Verdana" w:hAnsi="Verdana" w:cs="Verdana"/>
          <w:sz w:val="20"/>
          <w:szCs w:val="20"/>
          <w:lang w:val="pt-BR"/>
        </w:rPr>
        <w:t>parágrafo</w:t>
      </w:r>
      <w:r w:rsidR="00DE316A">
        <w:rPr>
          <w:rFonts w:ascii="Verdana" w:hAnsi="Verdana" w:cs="Verdana"/>
          <w:sz w:val="20"/>
          <w:szCs w:val="20"/>
          <w:lang w:val="pt-BR"/>
        </w:rPr>
        <w:t xml:space="preserve"> </w:t>
      </w:r>
      <w:r w:rsidR="00486FED" w:rsidRPr="00C40BD9">
        <w:rPr>
          <w:rFonts w:ascii="Verdana" w:hAnsi="Verdana" w:cs="Verdana"/>
          <w:sz w:val="20"/>
          <w:szCs w:val="20"/>
          <w:lang w:val="pt-BR"/>
        </w:rPr>
        <w:t xml:space="preserve">293. </w:t>
      </w:r>
      <w:r w:rsidRPr="00C40BD9">
        <w:rPr>
          <w:rFonts w:ascii="Verdana" w:hAnsi="Verdana" w:cs="Verdana"/>
          <w:sz w:val="20"/>
          <w:szCs w:val="20"/>
          <w:lang w:val="pt-BR"/>
        </w:rPr>
        <w:t xml:space="preserve">Isso </w:t>
      </w:r>
      <w:r w:rsidR="00486FED" w:rsidRPr="00C40BD9">
        <w:rPr>
          <w:rFonts w:ascii="Verdana" w:hAnsi="Verdana" w:cs="Verdana"/>
          <w:sz w:val="20"/>
          <w:szCs w:val="20"/>
          <w:lang w:val="pt-BR"/>
        </w:rPr>
        <w:t>porque a reda</w:t>
      </w:r>
      <w:r w:rsidR="00F633DD" w:rsidRPr="00C40BD9">
        <w:rPr>
          <w:rFonts w:ascii="Verdana" w:hAnsi="Verdana" w:cs="Verdana"/>
          <w:sz w:val="20"/>
          <w:szCs w:val="20"/>
          <w:lang w:val="pt-BR"/>
        </w:rPr>
        <w:t>ção</w:t>
      </w:r>
      <w:r w:rsidR="00486FED" w:rsidRPr="00C40BD9">
        <w:rPr>
          <w:rFonts w:ascii="Verdana" w:hAnsi="Verdana" w:cs="Verdana"/>
          <w:sz w:val="20"/>
          <w:szCs w:val="20"/>
          <w:lang w:val="pt-BR"/>
        </w:rPr>
        <w:t xml:space="preserve"> </w:t>
      </w:r>
      <w:r w:rsidRPr="00C40BD9">
        <w:rPr>
          <w:rFonts w:ascii="Verdana" w:hAnsi="Verdana" w:cs="Verdana"/>
          <w:sz w:val="20"/>
          <w:szCs w:val="20"/>
          <w:lang w:val="pt-BR"/>
        </w:rPr>
        <w:t xml:space="preserve">faz referência às </w:t>
      </w:r>
      <w:r w:rsidR="00A51A01" w:rsidRPr="00C40BD9">
        <w:rPr>
          <w:rFonts w:ascii="Verdana" w:hAnsi="Verdana" w:cs="Verdana"/>
          <w:sz w:val="20"/>
          <w:szCs w:val="20"/>
          <w:lang w:val="pt-BR"/>
        </w:rPr>
        <w:t>investiga</w:t>
      </w:r>
      <w:r w:rsidR="00F633DD" w:rsidRPr="00C40BD9">
        <w:rPr>
          <w:rFonts w:ascii="Verdana" w:hAnsi="Verdana" w:cs="Verdana"/>
          <w:sz w:val="20"/>
          <w:szCs w:val="20"/>
          <w:lang w:val="pt-BR"/>
        </w:rPr>
        <w:t>ções</w:t>
      </w:r>
      <w:r w:rsidR="00A51A01" w:rsidRPr="00C40BD9">
        <w:rPr>
          <w:rFonts w:ascii="Verdana" w:hAnsi="Verdana" w:cs="Verdana"/>
          <w:sz w:val="20"/>
          <w:szCs w:val="20"/>
          <w:lang w:val="pt-BR"/>
        </w:rPr>
        <w:t xml:space="preserve"> </w:t>
      </w:r>
      <w:r w:rsidR="00C06A9B" w:rsidRPr="00C40BD9">
        <w:rPr>
          <w:rFonts w:ascii="Verdana" w:hAnsi="Verdana" w:cs="Verdana"/>
          <w:sz w:val="20"/>
          <w:szCs w:val="20"/>
          <w:lang w:val="pt-BR"/>
        </w:rPr>
        <w:t xml:space="preserve">das </w:t>
      </w:r>
      <w:r w:rsidR="00486FED" w:rsidRPr="00C40BD9">
        <w:rPr>
          <w:rFonts w:ascii="Verdana" w:hAnsi="Verdana" w:cs="Verdana"/>
          <w:sz w:val="20"/>
          <w:szCs w:val="20"/>
          <w:lang w:val="pt-BR"/>
        </w:rPr>
        <w:t>pro</w:t>
      </w:r>
      <w:r w:rsidRPr="00C40BD9">
        <w:rPr>
          <w:rFonts w:ascii="Verdana" w:hAnsi="Verdana" w:cs="Verdana"/>
          <w:sz w:val="20"/>
          <w:szCs w:val="20"/>
          <w:lang w:val="pt-BR"/>
        </w:rPr>
        <w:t xml:space="preserve">váveis </w:t>
      </w:r>
      <w:r w:rsidR="00C06A9B" w:rsidRPr="00C40BD9">
        <w:rPr>
          <w:rFonts w:ascii="Verdana" w:hAnsi="Verdana" w:cs="Verdana"/>
          <w:sz w:val="20"/>
          <w:szCs w:val="20"/>
          <w:lang w:val="pt-BR"/>
        </w:rPr>
        <w:t>execuções</w:t>
      </w:r>
      <w:r w:rsidR="00DE316A">
        <w:rPr>
          <w:rFonts w:ascii="Verdana" w:hAnsi="Verdana" w:cs="Verdana"/>
          <w:sz w:val="20"/>
          <w:szCs w:val="20"/>
          <w:lang w:val="pt-BR"/>
        </w:rPr>
        <w:t xml:space="preserve"> </w:t>
      </w:r>
      <w:r w:rsidR="00486FED" w:rsidRPr="00C40BD9">
        <w:rPr>
          <w:rFonts w:ascii="Verdana" w:hAnsi="Verdana" w:cs="Verdana"/>
          <w:sz w:val="20"/>
          <w:szCs w:val="20"/>
          <w:lang w:val="pt-BR"/>
        </w:rPr>
        <w:t>extrajudici</w:t>
      </w:r>
      <w:r w:rsidR="00C06A9B" w:rsidRPr="00C40BD9">
        <w:rPr>
          <w:rFonts w:ascii="Verdana" w:hAnsi="Verdana" w:cs="Verdana"/>
          <w:sz w:val="20"/>
          <w:szCs w:val="20"/>
          <w:lang w:val="pt-BR"/>
        </w:rPr>
        <w:t>ais</w:t>
      </w:r>
      <w:r w:rsidR="00DE316A">
        <w:rPr>
          <w:rFonts w:ascii="Verdana" w:hAnsi="Verdana" w:cs="Verdana"/>
          <w:sz w:val="20"/>
          <w:szCs w:val="20"/>
          <w:lang w:val="pt-BR"/>
        </w:rPr>
        <w:t xml:space="preserve">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00C06A9B" w:rsidRPr="00C40BD9">
        <w:rPr>
          <w:rFonts w:ascii="Verdana" w:hAnsi="Verdana" w:cs="Verdana"/>
          <w:sz w:val="20"/>
          <w:szCs w:val="20"/>
          <w:lang w:val="pt-BR"/>
        </w:rPr>
        <w:t>atos</w:t>
      </w:r>
      <w:r w:rsidR="00DE316A">
        <w:rPr>
          <w:rFonts w:ascii="Verdana" w:hAnsi="Verdana" w:cs="Verdana"/>
          <w:sz w:val="20"/>
          <w:szCs w:val="20"/>
          <w:lang w:val="pt-BR"/>
        </w:rPr>
        <w:t xml:space="preserve"> </w:t>
      </w:r>
      <w:r w:rsidR="00E10F1D" w:rsidRPr="00C40BD9">
        <w:rPr>
          <w:rFonts w:ascii="Verdana" w:hAnsi="Verdana" w:cs="Verdana"/>
          <w:sz w:val="20"/>
          <w:szCs w:val="20"/>
          <w:lang w:val="pt-BR"/>
        </w:rPr>
        <w:t>de tortura</w:t>
      </w:r>
      <w:r w:rsidRPr="00C40BD9">
        <w:rPr>
          <w:rFonts w:ascii="Verdana" w:hAnsi="Verdana" w:cs="Verdana"/>
          <w:sz w:val="20"/>
          <w:szCs w:val="20"/>
          <w:lang w:val="pt-BR"/>
        </w:rPr>
        <w:t xml:space="preserve">, nas quais estaria incluída a </w:t>
      </w:r>
      <w:r w:rsidR="00A51A01" w:rsidRPr="00C40BD9">
        <w:rPr>
          <w:rFonts w:ascii="Verdana" w:hAnsi="Verdana" w:cs="Verdana"/>
          <w:sz w:val="20"/>
          <w:szCs w:val="20"/>
          <w:lang w:val="pt-BR"/>
        </w:rPr>
        <w:t>investiga</w:t>
      </w:r>
      <w:r w:rsidR="00F633DD" w:rsidRPr="00C40BD9">
        <w:rPr>
          <w:rFonts w:ascii="Verdana" w:hAnsi="Verdana" w:cs="Verdana"/>
          <w:sz w:val="20"/>
          <w:szCs w:val="20"/>
          <w:lang w:val="pt-BR"/>
        </w:rPr>
        <w:t>ção</w:t>
      </w:r>
      <w:r w:rsidR="00A51A01" w:rsidRPr="00C40BD9">
        <w:rPr>
          <w:rFonts w:ascii="Verdana" w:hAnsi="Verdana" w:cs="Verdana"/>
          <w:sz w:val="20"/>
          <w:szCs w:val="20"/>
          <w:lang w:val="pt-BR"/>
        </w:rPr>
        <w:t xml:space="preserve"> </w:t>
      </w:r>
      <w:r w:rsidR="00C06A9B" w:rsidRPr="00C40BD9">
        <w:rPr>
          <w:rFonts w:ascii="Verdana" w:hAnsi="Verdana" w:cs="Verdana"/>
          <w:sz w:val="20"/>
          <w:szCs w:val="20"/>
          <w:lang w:val="pt-BR"/>
        </w:rPr>
        <w:t>dos atos</w:t>
      </w:r>
      <w:r w:rsidR="00DE316A">
        <w:rPr>
          <w:rFonts w:ascii="Verdana" w:hAnsi="Verdana" w:cs="Verdana"/>
          <w:sz w:val="20"/>
          <w:szCs w:val="20"/>
          <w:lang w:val="pt-BR"/>
        </w:rPr>
        <w:t xml:space="preserve"> </w:t>
      </w:r>
      <w:r w:rsidR="00A51A01" w:rsidRPr="00C40BD9">
        <w:rPr>
          <w:rFonts w:ascii="Verdana" w:hAnsi="Verdana" w:cs="Verdana"/>
          <w:sz w:val="20"/>
          <w:szCs w:val="20"/>
          <w:lang w:val="pt-BR"/>
        </w:rPr>
        <w:t xml:space="preserve">de </w:t>
      </w:r>
      <w:r w:rsidR="00C06A9B" w:rsidRPr="00C40BD9">
        <w:rPr>
          <w:rFonts w:ascii="Verdana" w:hAnsi="Verdana" w:cs="Verdana"/>
          <w:sz w:val="20"/>
          <w:szCs w:val="20"/>
          <w:lang w:val="pt-BR"/>
        </w:rPr>
        <w:t>violência</w:t>
      </w:r>
      <w:r w:rsidR="00DE316A">
        <w:rPr>
          <w:rFonts w:ascii="Verdana" w:hAnsi="Verdana" w:cs="Verdana"/>
          <w:sz w:val="20"/>
          <w:szCs w:val="20"/>
          <w:lang w:val="pt-BR"/>
        </w:rPr>
        <w:t xml:space="preserve"> </w:t>
      </w:r>
      <w:r w:rsidR="00A51A01" w:rsidRPr="00C40BD9">
        <w:rPr>
          <w:rFonts w:ascii="Verdana" w:hAnsi="Verdana" w:cs="Verdana"/>
          <w:sz w:val="20"/>
          <w:szCs w:val="20"/>
          <w:lang w:val="pt-BR"/>
        </w:rPr>
        <w:t xml:space="preserve">sexual praticados contra L.R.J., </w:t>
      </w:r>
      <w:r w:rsidR="00A51A01" w:rsidRPr="00E81DC6">
        <w:rPr>
          <w:rFonts w:ascii="Verdana" w:hAnsi="Verdana" w:cs="Verdana"/>
          <w:sz w:val="20"/>
          <w:szCs w:val="20"/>
          <w:lang w:val="pt-BR"/>
        </w:rPr>
        <w:t>C.S.S</w:t>
      </w:r>
      <w:r w:rsidR="00E81DC6">
        <w:rPr>
          <w:rFonts w:ascii="Verdana" w:hAnsi="Verdana" w:cs="Verdana"/>
          <w:sz w:val="20"/>
          <w:szCs w:val="20"/>
          <w:lang w:val="pt-BR"/>
        </w:rPr>
        <w:t>.</w:t>
      </w:r>
      <w:r w:rsidR="00A51A01" w:rsidRPr="00C40BD9">
        <w:rPr>
          <w:rFonts w:ascii="Verdana" w:hAnsi="Verdana" w:cs="Verdana"/>
          <w:sz w:val="20"/>
          <w:szCs w:val="20"/>
          <w:lang w:val="pt-BR"/>
        </w:rPr>
        <w:t xml:space="preserve">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00A51A01" w:rsidRPr="00C40BD9">
        <w:rPr>
          <w:rFonts w:ascii="Verdana" w:hAnsi="Verdana" w:cs="Verdana"/>
          <w:sz w:val="20"/>
          <w:szCs w:val="20"/>
          <w:lang w:val="pt-BR"/>
        </w:rPr>
        <w:t>J.F.C</w:t>
      </w:r>
      <w:r w:rsidR="00D32CA8">
        <w:rPr>
          <w:rFonts w:ascii="Verdana" w:hAnsi="Verdana" w:cs="Verdana"/>
          <w:sz w:val="20"/>
          <w:szCs w:val="20"/>
          <w:lang w:val="pt-BR"/>
        </w:rPr>
        <w:t>.</w:t>
      </w:r>
      <w:r w:rsidR="0085449E" w:rsidRPr="00C40BD9">
        <w:rPr>
          <w:rFonts w:ascii="Verdana" w:hAnsi="Verdana" w:cs="Verdana"/>
          <w:sz w:val="20"/>
          <w:szCs w:val="20"/>
          <w:lang w:val="pt-BR"/>
        </w:rPr>
        <w:t xml:space="preserve"> </w:t>
      </w:r>
      <w:r w:rsidR="006A4FF3" w:rsidRPr="00C40BD9">
        <w:rPr>
          <w:rFonts w:ascii="Verdana" w:hAnsi="Verdana" w:cs="Verdana"/>
          <w:sz w:val="20"/>
          <w:szCs w:val="20"/>
          <w:lang w:val="pt-BR"/>
        </w:rPr>
        <w:t>Acerca de</w:t>
      </w:r>
      <w:r w:rsidRPr="00C40BD9">
        <w:rPr>
          <w:rFonts w:ascii="Verdana" w:hAnsi="Verdana" w:cs="Verdana"/>
          <w:sz w:val="20"/>
          <w:szCs w:val="20"/>
          <w:lang w:val="pt-BR"/>
        </w:rPr>
        <w:t>sse</w:t>
      </w:r>
      <w:r w:rsidR="006A4FF3" w:rsidRPr="00C40BD9">
        <w:rPr>
          <w:rFonts w:ascii="Verdana" w:hAnsi="Verdana" w:cs="Verdana"/>
          <w:sz w:val="20"/>
          <w:szCs w:val="20"/>
          <w:lang w:val="pt-BR"/>
        </w:rPr>
        <w:t xml:space="preserve"> pedido, </w:t>
      </w:r>
      <w:r w:rsidRPr="00C40BD9">
        <w:rPr>
          <w:rFonts w:ascii="Verdana" w:hAnsi="Verdana" w:cs="Verdana"/>
          <w:sz w:val="20"/>
          <w:szCs w:val="20"/>
          <w:lang w:val="pt-BR"/>
        </w:rPr>
        <w:t xml:space="preserve">o </w:t>
      </w:r>
      <w:r w:rsidR="006A4FF3" w:rsidRPr="00C40BD9">
        <w:rPr>
          <w:rFonts w:ascii="Verdana" w:hAnsi="Verdana" w:cs="Verdana"/>
          <w:sz w:val="20"/>
          <w:szCs w:val="20"/>
          <w:lang w:val="pt-BR"/>
        </w:rPr>
        <w:t xml:space="preserve">Estado </w:t>
      </w:r>
      <w:r w:rsidRPr="00C40BD9">
        <w:rPr>
          <w:rFonts w:ascii="Verdana" w:hAnsi="Verdana" w:cs="Verdana"/>
          <w:sz w:val="20"/>
          <w:szCs w:val="20"/>
          <w:lang w:val="pt-BR"/>
        </w:rPr>
        <w:t xml:space="preserve">declarou </w:t>
      </w:r>
      <w:r w:rsidR="00A318F7" w:rsidRPr="00C40BD9">
        <w:rPr>
          <w:rFonts w:ascii="Verdana" w:hAnsi="Verdana" w:cs="Verdana"/>
          <w:sz w:val="20"/>
          <w:szCs w:val="20"/>
          <w:lang w:val="pt-BR"/>
        </w:rPr>
        <w:t xml:space="preserve">que a </w:t>
      </w:r>
      <w:r w:rsidR="00C06A9B" w:rsidRPr="00C40BD9">
        <w:rPr>
          <w:rFonts w:ascii="Verdana" w:hAnsi="Verdana" w:cs="Verdana"/>
          <w:sz w:val="20"/>
          <w:szCs w:val="20"/>
          <w:lang w:val="pt-BR"/>
        </w:rPr>
        <w:t>solicitação</w:t>
      </w:r>
      <w:r w:rsidR="00DE316A">
        <w:rPr>
          <w:rFonts w:ascii="Verdana" w:hAnsi="Verdana" w:cs="Verdana"/>
          <w:sz w:val="20"/>
          <w:szCs w:val="20"/>
          <w:lang w:val="pt-BR"/>
        </w:rPr>
        <w:t xml:space="preserve"> </w:t>
      </w:r>
      <w:r w:rsidR="00A318F7" w:rsidRPr="00C40BD9">
        <w:rPr>
          <w:rFonts w:ascii="Verdana" w:hAnsi="Verdana" w:cs="Verdana"/>
          <w:sz w:val="20"/>
          <w:szCs w:val="20"/>
          <w:lang w:val="pt-BR"/>
        </w:rPr>
        <w:t>d</w:t>
      </w:r>
      <w:r w:rsidR="00C06A9B" w:rsidRPr="00C40BD9">
        <w:rPr>
          <w:rFonts w:ascii="Verdana" w:hAnsi="Verdana" w:cs="Verdana"/>
          <w:sz w:val="20"/>
          <w:szCs w:val="20"/>
          <w:lang w:val="pt-BR"/>
        </w:rPr>
        <w:t xml:space="preserve">os representantes </w:t>
      </w:r>
      <w:r w:rsidR="00CC70AA" w:rsidRPr="00C40BD9">
        <w:rPr>
          <w:rFonts w:ascii="Verdana" w:hAnsi="Verdana" w:cs="Verdana"/>
          <w:sz w:val="20"/>
          <w:szCs w:val="20"/>
          <w:lang w:val="pt-BR"/>
        </w:rPr>
        <w:t>busca incorporar elementos n</w:t>
      </w:r>
      <w:r w:rsidRPr="00C40BD9">
        <w:rPr>
          <w:rFonts w:ascii="Verdana" w:hAnsi="Verdana" w:cs="Verdana"/>
          <w:sz w:val="20"/>
          <w:szCs w:val="20"/>
          <w:lang w:val="pt-BR"/>
        </w:rPr>
        <w:t>o</w:t>
      </w:r>
      <w:r w:rsidR="00CC70AA" w:rsidRPr="00C40BD9">
        <w:rPr>
          <w:rFonts w:ascii="Verdana" w:hAnsi="Verdana" w:cs="Verdana"/>
          <w:sz w:val="20"/>
          <w:szCs w:val="20"/>
          <w:lang w:val="pt-BR"/>
        </w:rPr>
        <w:t xml:space="preserve">vos </w:t>
      </w:r>
      <w:r w:rsidRPr="00C40BD9">
        <w:rPr>
          <w:rFonts w:ascii="Verdana" w:hAnsi="Verdana" w:cs="Verdana"/>
          <w:sz w:val="20"/>
          <w:szCs w:val="20"/>
          <w:lang w:val="pt-BR"/>
        </w:rPr>
        <w:t xml:space="preserve">à </w:t>
      </w:r>
      <w:r w:rsidR="00F633DD" w:rsidRPr="00C40BD9">
        <w:rPr>
          <w:rFonts w:ascii="Verdana" w:hAnsi="Verdana" w:cs="Verdana"/>
          <w:sz w:val="20"/>
          <w:szCs w:val="20"/>
          <w:lang w:val="pt-BR"/>
        </w:rPr>
        <w:t>Sentença</w:t>
      </w:r>
      <w:r w:rsidR="00CC19D5" w:rsidRPr="00C40BD9">
        <w:rPr>
          <w:rFonts w:ascii="Verdana" w:hAnsi="Verdana" w:cs="Verdana"/>
          <w:sz w:val="20"/>
          <w:szCs w:val="20"/>
          <w:lang w:val="pt-BR"/>
        </w:rPr>
        <w:t>, raz</w:t>
      </w:r>
      <w:r w:rsidRPr="00C40BD9">
        <w:rPr>
          <w:rFonts w:ascii="Verdana" w:hAnsi="Verdana" w:cs="Verdana"/>
          <w:sz w:val="20"/>
          <w:szCs w:val="20"/>
          <w:lang w:val="pt-BR"/>
        </w:rPr>
        <w:t xml:space="preserve">ão pela qual </w:t>
      </w:r>
      <w:r w:rsidR="006770ED" w:rsidRPr="00C40BD9">
        <w:rPr>
          <w:rFonts w:ascii="Verdana" w:hAnsi="Verdana" w:cs="Verdana"/>
          <w:sz w:val="20"/>
          <w:szCs w:val="20"/>
          <w:lang w:val="pt-BR"/>
        </w:rPr>
        <w:t>deve</w:t>
      </w:r>
      <w:r w:rsidR="00DE316A">
        <w:rPr>
          <w:rFonts w:ascii="Verdana" w:hAnsi="Verdana" w:cs="Verdana"/>
          <w:sz w:val="20"/>
          <w:szCs w:val="20"/>
          <w:lang w:val="pt-BR"/>
        </w:rPr>
        <w:t xml:space="preserve"> </w:t>
      </w:r>
      <w:r w:rsidR="00FE04E9" w:rsidRPr="00C40BD9">
        <w:rPr>
          <w:rFonts w:ascii="Verdana" w:hAnsi="Verdana" w:cs="Verdana"/>
          <w:sz w:val="20"/>
          <w:szCs w:val="20"/>
          <w:lang w:val="pt-BR"/>
        </w:rPr>
        <w:t xml:space="preserve">ser </w:t>
      </w:r>
      <w:r w:rsidR="00D32CA8">
        <w:rPr>
          <w:rFonts w:ascii="Verdana" w:hAnsi="Verdana" w:cs="Verdana"/>
          <w:sz w:val="20"/>
          <w:szCs w:val="20"/>
          <w:lang w:val="pt-BR"/>
        </w:rPr>
        <w:t>rejeitada.</w:t>
      </w:r>
      <w:r w:rsidR="00AE49CE" w:rsidRPr="00C40BD9">
        <w:rPr>
          <w:rFonts w:ascii="Verdana" w:hAnsi="Verdana" w:cs="Verdana"/>
          <w:sz w:val="20"/>
          <w:szCs w:val="20"/>
          <w:lang w:val="pt-BR"/>
        </w:rPr>
        <w:t xml:space="preserve"> </w:t>
      </w:r>
    </w:p>
    <w:p w:rsidR="00F80CA4" w:rsidRPr="00C40BD9" w:rsidRDefault="00F80CA4" w:rsidP="00A82FB4">
      <w:pPr>
        <w:autoSpaceDE w:val="0"/>
        <w:autoSpaceDN w:val="0"/>
        <w:adjustRightInd w:val="0"/>
        <w:spacing w:after="0" w:line="240" w:lineRule="auto"/>
        <w:jc w:val="both"/>
        <w:rPr>
          <w:rFonts w:ascii="Verdana" w:hAnsi="Verdana" w:cs="Verdana"/>
          <w:sz w:val="20"/>
          <w:szCs w:val="20"/>
          <w:lang w:val="pt-BR"/>
        </w:rPr>
      </w:pPr>
    </w:p>
    <w:p w:rsidR="006574B1" w:rsidRPr="00C40BD9" w:rsidRDefault="008855B0" w:rsidP="00A82FB4">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pt-BR"/>
        </w:rPr>
      </w:pPr>
      <w:r w:rsidRPr="00C40BD9">
        <w:rPr>
          <w:rFonts w:ascii="Verdana" w:hAnsi="Verdana" w:cs="Verdana"/>
          <w:sz w:val="20"/>
          <w:szCs w:val="20"/>
          <w:lang w:val="pt-BR"/>
        </w:rPr>
        <w:t>O</w:t>
      </w:r>
      <w:r w:rsidR="006574B1" w:rsidRPr="00C40BD9">
        <w:rPr>
          <w:rFonts w:ascii="Verdana" w:hAnsi="Verdana" w:cs="Verdana"/>
          <w:sz w:val="20"/>
          <w:szCs w:val="20"/>
          <w:lang w:val="pt-BR"/>
        </w:rPr>
        <w:t xml:space="preserve"> </w:t>
      </w:r>
      <w:r w:rsidR="006574B1" w:rsidRPr="00C40BD9">
        <w:rPr>
          <w:rFonts w:ascii="Verdana" w:hAnsi="Verdana" w:cs="Verdana"/>
          <w:b/>
          <w:i/>
          <w:sz w:val="20"/>
          <w:szCs w:val="20"/>
          <w:lang w:val="pt-BR"/>
        </w:rPr>
        <w:t>Estado</w:t>
      </w:r>
      <w:r w:rsidR="006A4FF3" w:rsidRPr="00C40BD9">
        <w:rPr>
          <w:rFonts w:ascii="Verdana" w:hAnsi="Verdana" w:cs="Verdana"/>
          <w:sz w:val="20"/>
          <w:szCs w:val="20"/>
          <w:lang w:val="pt-BR"/>
        </w:rPr>
        <w:t>,</w:t>
      </w:r>
      <w:r w:rsidR="006A4FF3" w:rsidRPr="00C40BD9">
        <w:rPr>
          <w:rFonts w:ascii="Verdana" w:hAnsi="Verdana" w:cs="Verdana"/>
          <w:b/>
          <w:i/>
          <w:sz w:val="20"/>
          <w:szCs w:val="20"/>
          <w:lang w:val="pt-BR"/>
        </w:rPr>
        <w:t xml:space="preserve"> </w:t>
      </w:r>
      <w:r w:rsidR="006A4FF3" w:rsidRPr="00C40BD9">
        <w:rPr>
          <w:rFonts w:ascii="Verdana" w:hAnsi="Verdana" w:cs="Verdana"/>
          <w:sz w:val="20"/>
          <w:szCs w:val="20"/>
          <w:lang w:val="pt-BR"/>
        </w:rPr>
        <w:t>por su</w:t>
      </w:r>
      <w:r w:rsidRPr="00C40BD9">
        <w:rPr>
          <w:rFonts w:ascii="Verdana" w:hAnsi="Verdana" w:cs="Verdana"/>
          <w:sz w:val="20"/>
          <w:szCs w:val="20"/>
          <w:lang w:val="pt-BR"/>
        </w:rPr>
        <w:t>a</w:t>
      </w:r>
      <w:r w:rsidR="006A4FF3" w:rsidRPr="00C40BD9">
        <w:rPr>
          <w:rFonts w:ascii="Verdana" w:hAnsi="Verdana" w:cs="Verdana"/>
          <w:sz w:val="20"/>
          <w:szCs w:val="20"/>
          <w:lang w:val="pt-BR"/>
        </w:rPr>
        <w:t xml:space="preserve"> </w:t>
      </w:r>
      <w:r w:rsidR="004513B2" w:rsidRPr="00C40BD9">
        <w:rPr>
          <w:rFonts w:ascii="Verdana" w:hAnsi="Verdana" w:cs="Verdana"/>
          <w:sz w:val="20"/>
          <w:szCs w:val="20"/>
          <w:lang w:val="pt-BR"/>
        </w:rPr>
        <w:t>vez</w:t>
      </w:r>
      <w:r w:rsidR="006A4FF3" w:rsidRPr="00C40BD9">
        <w:rPr>
          <w:rFonts w:ascii="Verdana" w:hAnsi="Verdana" w:cs="Verdana"/>
          <w:sz w:val="20"/>
          <w:szCs w:val="20"/>
          <w:lang w:val="pt-BR"/>
        </w:rPr>
        <w:t>, solicit</w:t>
      </w:r>
      <w:r w:rsidRPr="00C40BD9">
        <w:rPr>
          <w:rFonts w:ascii="Verdana" w:hAnsi="Verdana" w:cs="Verdana"/>
          <w:sz w:val="20"/>
          <w:szCs w:val="20"/>
          <w:lang w:val="pt-BR"/>
        </w:rPr>
        <w:t>ou</w:t>
      </w:r>
      <w:r w:rsidR="006A4FF3" w:rsidRPr="00C40BD9">
        <w:rPr>
          <w:rFonts w:ascii="Verdana" w:hAnsi="Verdana" w:cs="Verdana"/>
          <w:sz w:val="20"/>
          <w:szCs w:val="20"/>
          <w:lang w:val="pt-BR"/>
        </w:rPr>
        <w:t xml:space="preserve"> </w:t>
      </w:r>
      <w:r w:rsidR="007558A5" w:rsidRPr="00C40BD9">
        <w:rPr>
          <w:rFonts w:ascii="Verdana" w:hAnsi="Verdana" w:cs="Verdana"/>
          <w:sz w:val="20"/>
          <w:szCs w:val="20"/>
          <w:lang w:val="pt-BR"/>
        </w:rPr>
        <w:t xml:space="preserve">que se esclarecessem as </w:t>
      </w:r>
      <w:r w:rsidRPr="00C40BD9">
        <w:rPr>
          <w:rFonts w:ascii="Verdana" w:hAnsi="Verdana" w:cs="Verdana"/>
          <w:sz w:val="20"/>
          <w:szCs w:val="20"/>
          <w:lang w:val="pt-BR"/>
        </w:rPr>
        <w:t>razões p</w:t>
      </w:r>
      <w:r w:rsidR="007558A5" w:rsidRPr="00C40BD9">
        <w:rPr>
          <w:rFonts w:ascii="Verdana" w:hAnsi="Verdana" w:cs="Verdana"/>
          <w:sz w:val="20"/>
          <w:szCs w:val="20"/>
          <w:lang w:val="pt-BR"/>
        </w:rPr>
        <w:t xml:space="preserve">elas </w:t>
      </w:r>
      <w:r w:rsidRPr="00C40BD9">
        <w:rPr>
          <w:rFonts w:ascii="Verdana" w:hAnsi="Verdana" w:cs="Verdana"/>
          <w:sz w:val="20"/>
          <w:szCs w:val="20"/>
          <w:lang w:val="pt-BR"/>
        </w:rPr>
        <w:t>q</w:t>
      </w:r>
      <w:r w:rsidR="006A4FF3" w:rsidRPr="00C40BD9">
        <w:rPr>
          <w:rFonts w:ascii="Verdana" w:hAnsi="Verdana" w:cs="Verdana"/>
          <w:sz w:val="20"/>
          <w:szCs w:val="20"/>
          <w:lang w:val="pt-BR"/>
        </w:rPr>
        <w:t>u</w:t>
      </w:r>
      <w:r w:rsidR="00C06A9B" w:rsidRPr="00C40BD9">
        <w:rPr>
          <w:rFonts w:ascii="Verdana" w:hAnsi="Verdana" w:cs="Verdana"/>
          <w:sz w:val="20"/>
          <w:szCs w:val="20"/>
          <w:lang w:val="pt-BR"/>
        </w:rPr>
        <w:t>ais</w:t>
      </w:r>
      <w:r w:rsidR="00DE316A">
        <w:rPr>
          <w:rFonts w:ascii="Verdana" w:hAnsi="Verdana" w:cs="Verdana"/>
          <w:sz w:val="20"/>
          <w:szCs w:val="20"/>
          <w:lang w:val="pt-BR"/>
        </w:rPr>
        <w:t xml:space="preserve"> </w:t>
      </w:r>
      <w:r w:rsidRPr="00C40BD9">
        <w:rPr>
          <w:rFonts w:ascii="Verdana" w:hAnsi="Verdana" w:cs="Verdana"/>
          <w:sz w:val="20"/>
          <w:szCs w:val="20"/>
          <w:lang w:val="pt-BR"/>
        </w:rPr>
        <w:t>o</w:t>
      </w:r>
      <w:r w:rsidR="00F911DB" w:rsidRPr="00C40BD9">
        <w:rPr>
          <w:rFonts w:ascii="Verdana" w:hAnsi="Verdana" w:cs="Verdana"/>
          <w:sz w:val="20"/>
          <w:szCs w:val="20"/>
          <w:lang w:val="pt-BR"/>
        </w:rPr>
        <w:t xml:space="preserve"> Tribunal </w:t>
      </w:r>
      <w:r w:rsidR="007558A5" w:rsidRPr="00C40BD9">
        <w:rPr>
          <w:rFonts w:ascii="Verdana" w:hAnsi="Verdana" w:cs="Verdana"/>
          <w:sz w:val="20"/>
          <w:szCs w:val="20"/>
          <w:lang w:val="pt-BR"/>
        </w:rPr>
        <w:t xml:space="preserve">ordenou que não fossem aplicados </w:t>
      </w:r>
      <w:r w:rsidR="00F911DB" w:rsidRPr="00C40BD9">
        <w:rPr>
          <w:rFonts w:ascii="Verdana" w:hAnsi="Verdana" w:cs="Verdana"/>
          <w:sz w:val="20"/>
          <w:szCs w:val="20"/>
          <w:lang w:val="pt-BR"/>
        </w:rPr>
        <w:t xml:space="preserve">“obstáculos </w:t>
      </w:r>
      <w:r w:rsidR="007558A5" w:rsidRPr="00C40BD9">
        <w:rPr>
          <w:rFonts w:ascii="Verdana" w:hAnsi="Verdana" w:cs="Verdana"/>
          <w:sz w:val="20"/>
          <w:szCs w:val="20"/>
          <w:lang w:val="pt-BR"/>
        </w:rPr>
        <w:t>processuais</w:t>
      </w:r>
      <w:r w:rsidRPr="00C40BD9">
        <w:rPr>
          <w:rFonts w:ascii="Verdana" w:hAnsi="Verdana" w:cs="Verdana"/>
          <w:sz w:val="20"/>
          <w:szCs w:val="20"/>
          <w:lang w:val="pt-BR"/>
        </w:rPr>
        <w:t xml:space="preserve">”, como </w:t>
      </w:r>
      <w:r w:rsidR="00F911DB" w:rsidRPr="00C40BD9">
        <w:rPr>
          <w:rFonts w:ascii="Verdana" w:hAnsi="Verdana" w:cs="Verdana"/>
          <w:sz w:val="20"/>
          <w:szCs w:val="20"/>
          <w:lang w:val="pt-BR"/>
        </w:rPr>
        <w:t>a prescri</w:t>
      </w:r>
      <w:r w:rsidR="00F633DD" w:rsidRPr="00C40BD9">
        <w:rPr>
          <w:rFonts w:ascii="Verdana" w:hAnsi="Verdana" w:cs="Verdana"/>
          <w:sz w:val="20"/>
          <w:szCs w:val="20"/>
          <w:lang w:val="pt-BR"/>
        </w:rPr>
        <w:t>ção</w:t>
      </w:r>
      <w:r w:rsidR="00F911DB" w:rsidRPr="00C40BD9">
        <w:rPr>
          <w:rFonts w:ascii="Verdana" w:hAnsi="Verdana" w:cs="Verdana"/>
          <w:sz w:val="20"/>
          <w:szCs w:val="20"/>
          <w:lang w:val="pt-BR"/>
        </w:rPr>
        <w:t xml:space="preserve">, </w:t>
      </w:r>
      <w:r w:rsidR="007558A5" w:rsidRPr="00C40BD9">
        <w:rPr>
          <w:rFonts w:ascii="Verdana" w:hAnsi="Verdana" w:cs="Verdana"/>
          <w:sz w:val="20"/>
          <w:szCs w:val="20"/>
          <w:lang w:val="pt-BR"/>
        </w:rPr>
        <w:t xml:space="preserve">às possíveis </w:t>
      </w:r>
      <w:r w:rsidR="00C06A9B" w:rsidRPr="00C40BD9">
        <w:rPr>
          <w:rFonts w:ascii="Verdana" w:hAnsi="Verdana" w:cs="Verdana"/>
          <w:sz w:val="20"/>
          <w:szCs w:val="20"/>
          <w:lang w:val="pt-BR"/>
        </w:rPr>
        <w:t>execuções</w:t>
      </w:r>
      <w:r w:rsidR="00DE316A">
        <w:rPr>
          <w:rFonts w:ascii="Verdana" w:hAnsi="Verdana" w:cs="Verdana"/>
          <w:sz w:val="20"/>
          <w:szCs w:val="20"/>
          <w:lang w:val="pt-BR"/>
        </w:rPr>
        <w:t xml:space="preserve"> </w:t>
      </w:r>
      <w:r w:rsidR="00F911DB" w:rsidRPr="00C40BD9">
        <w:rPr>
          <w:rFonts w:ascii="Verdana" w:hAnsi="Verdana" w:cs="Verdana"/>
          <w:sz w:val="20"/>
          <w:szCs w:val="20"/>
          <w:lang w:val="pt-BR"/>
        </w:rPr>
        <w:t>extrajudici</w:t>
      </w:r>
      <w:r w:rsidR="00C06A9B" w:rsidRPr="00C40BD9">
        <w:rPr>
          <w:rFonts w:ascii="Verdana" w:hAnsi="Verdana" w:cs="Verdana"/>
          <w:sz w:val="20"/>
          <w:szCs w:val="20"/>
          <w:lang w:val="pt-BR"/>
        </w:rPr>
        <w:t>ais</w:t>
      </w:r>
      <w:r w:rsidR="00DE316A">
        <w:rPr>
          <w:rFonts w:ascii="Verdana" w:hAnsi="Verdana" w:cs="Verdana"/>
          <w:sz w:val="20"/>
          <w:szCs w:val="20"/>
          <w:lang w:val="pt-BR"/>
        </w:rPr>
        <w:t xml:space="preserve">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00C06A9B" w:rsidRPr="00C40BD9">
        <w:rPr>
          <w:rFonts w:ascii="Verdana" w:hAnsi="Verdana" w:cs="Verdana"/>
          <w:sz w:val="20"/>
          <w:szCs w:val="20"/>
          <w:lang w:val="pt-BR"/>
        </w:rPr>
        <w:t>atos</w:t>
      </w:r>
      <w:r w:rsidR="00DE316A">
        <w:rPr>
          <w:rFonts w:ascii="Verdana" w:hAnsi="Verdana" w:cs="Verdana"/>
          <w:sz w:val="20"/>
          <w:szCs w:val="20"/>
          <w:lang w:val="pt-BR"/>
        </w:rPr>
        <w:t xml:space="preserve"> </w:t>
      </w:r>
      <w:r w:rsidR="00F911DB" w:rsidRPr="00C40BD9">
        <w:rPr>
          <w:rFonts w:ascii="Verdana" w:hAnsi="Verdana" w:cs="Verdana"/>
          <w:sz w:val="20"/>
          <w:szCs w:val="20"/>
          <w:lang w:val="pt-BR"/>
        </w:rPr>
        <w:t>de tortura.</w:t>
      </w:r>
      <w:r w:rsidR="00F53503" w:rsidRPr="00C40BD9">
        <w:rPr>
          <w:rFonts w:ascii="Verdana" w:hAnsi="Verdana" w:cs="Verdana"/>
          <w:b/>
          <w:sz w:val="20"/>
          <w:szCs w:val="20"/>
          <w:lang w:val="pt-BR"/>
        </w:rPr>
        <w:t xml:space="preserve"> </w:t>
      </w:r>
      <w:r w:rsidR="007558A5" w:rsidRPr="00C40BD9">
        <w:rPr>
          <w:rFonts w:ascii="Verdana" w:hAnsi="Verdana" w:cs="Verdana"/>
          <w:sz w:val="20"/>
          <w:szCs w:val="20"/>
          <w:lang w:val="pt-BR"/>
        </w:rPr>
        <w:t xml:space="preserve">Sustentou </w:t>
      </w:r>
      <w:r w:rsidR="00F53503" w:rsidRPr="00C40BD9">
        <w:rPr>
          <w:rFonts w:ascii="Verdana" w:hAnsi="Verdana" w:cs="Verdana"/>
          <w:sz w:val="20"/>
          <w:szCs w:val="20"/>
          <w:lang w:val="pt-BR"/>
        </w:rPr>
        <w:t>que referir</w:t>
      </w:r>
      <w:r w:rsidR="007558A5" w:rsidRPr="00C40BD9">
        <w:rPr>
          <w:rFonts w:ascii="Verdana" w:hAnsi="Verdana" w:cs="Verdana"/>
          <w:sz w:val="20"/>
          <w:szCs w:val="20"/>
          <w:lang w:val="pt-BR"/>
        </w:rPr>
        <w:t>-</w:t>
      </w:r>
      <w:r w:rsidR="00F53503" w:rsidRPr="00C40BD9">
        <w:rPr>
          <w:rFonts w:ascii="Verdana" w:hAnsi="Verdana" w:cs="Verdana"/>
          <w:sz w:val="20"/>
          <w:szCs w:val="20"/>
          <w:lang w:val="pt-BR"/>
        </w:rPr>
        <w:t>se s</w:t>
      </w:r>
      <w:r w:rsidR="007558A5" w:rsidRPr="00C40BD9">
        <w:rPr>
          <w:rFonts w:ascii="Verdana" w:hAnsi="Verdana" w:cs="Verdana"/>
          <w:sz w:val="20"/>
          <w:szCs w:val="20"/>
          <w:lang w:val="pt-BR"/>
        </w:rPr>
        <w:t xml:space="preserve">omente </w:t>
      </w:r>
      <w:r w:rsidR="008B6768">
        <w:rPr>
          <w:rFonts w:ascii="Verdana" w:hAnsi="Verdana" w:cs="Verdana"/>
          <w:sz w:val="20"/>
          <w:szCs w:val="20"/>
          <w:lang w:val="pt-BR"/>
        </w:rPr>
        <w:t>à</w:t>
      </w:r>
      <w:r w:rsidR="007558A5" w:rsidRPr="00C40BD9">
        <w:rPr>
          <w:rFonts w:ascii="Verdana" w:hAnsi="Verdana" w:cs="Verdana"/>
          <w:sz w:val="20"/>
          <w:szCs w:val="20"/>
          <w:lang w:val="pt-BR"/>
        </w:rPr>
        <w:t xml:space="preserve"> sua </w:t>
      </w:r>
      <w:r w:rsidR="00970B13" w:rsidRPr="00C40BD9">
        <w:rPr>
          <w:rFonts w:ascii="Verdana" w:hAnsi="Verdana" w:cs="Verdana"/>
          <w:sz w:val="20"/>
          <w:szCs w:val="20"/>
          <w:lang w:val="pt-BR"/>
        </w:rPr>
        <w:t>jurisprudência</w:t>
      </w:r>
      <w:r w:rsidR="00DE316A">
        <w:rPr>
          <w:rFonts w:ascii="Verdana" w:hAnsi="Verdana" w:cs="Verdana"/>
          <w:sz w:val="20"/>
          <w:szCs w:val="20"/>
          <w:lang w:val="pt-BR"/>
        </w:rPr>
        <w:t xml:space="preserve"> </w:t>
      </w:r>
      <w:r w:rsidR="007558A5" w:rsidRPr="00C40BD9">
        <w:rPr>
          <w:rFonts w:ascii="Verdana" w:hAnsi="Verdana" w:cs="Verdana"/>
          <w:sz w:val="20"/>
          <w:szCs w:val="20"/>
          <w:lang w:val="pt-BR"/>
        </w:rPr>
        <w:t xml:space="preserve">não é </w:t>
      </w:r>
      <w:r w:rsidR="00F53503" w:rsidRPr="00C40BD9">
        <w:rPr>
          <w:rFonts w:ascii="Verdana" w:hAnsi="Verdana" w:cs="Verdana"/>
          <w:sz w:val="20"/>
          <w:szCs w:val="20"/>
          <w:lang w:val="pt-BR"/>
        </w:rPr>
        <w:t>suficiente</w:t>
      </w:r>
      <w:r w:rsidR="00CC19D5" w:rsidRPr="00C40BD9">
        <w:rPr>
          <w:rFonts w:ascii="Verdana" w:hAnsi="Verdana" w:cs="Verdana"/>
          <w:sz w:val="20"/>
          <w:szCs w:val="20"/>
          <w:lang w:val="pt-BR"/>
        </w:rPr>
        <w:t xml:space="preserve"> </w:t>
      </w:r>
      <w:r w:rsidR="00F53503" w:rsidRPr="00C40BD9">
        <w:rPr>
          <w:rFonts w:ascii="Verdana" w:hAnsi="Verdana" w:cs="Verdana"/>
          <w:sz w:val="20"/>
          <w:szCs w:val="20"/>
          <w:lang w:val="pt-BR"/>
        </w:rPr>
        <w:t xml:space="preserve">para determinar </w:t>
      </w:r>
      <w:r w:rsidR="00CA07DC" w:rsidRPr="00C40BD9">
        <w:rPr>
          <w:rFonts w:ascii="Verdana" w:hAnsi="Verdana" w:cs="Verdana"/>
          <w:sz w:val="20"/>
          <w:szCs w:val="20"/>
          <w:lang w:val="pt-BR"/>
        </w:rPr>
        <w:t xml:space="preserve">por </w:t>
      </w:r>
      <w:r w:rsidR="007558A5" w:rsidRPr="00C40BD9">
        <w:rPr>
          <w:rFonts w:ascii="Verdana" w:hAnsi="Verdana" w:cs="Verdana"/>
          <w:sz w:val="20"/>
          <w:szCs w:val="20"/>
          <w:lang w:val="pt-BR"/>
        </w:rPr>
        <w:t xml:space="preserve">que o </w:t>
      </w:r>
      <w:r w:rsidR="00E10134" w:rsidRPr="00C40BD9">
        <w:rPr>
          <w:rFonts w:ascii="Verdana" w:hAnsi="Verdana" w:cs="Verdana"/>
          <w:sz w:val="20"/>
          <w:szCs w:val="20"/>
          <w:lang w:val="pt-BR"/>
        </w:rPr>
        <w:t xml:space="preserve">caso </w:t>
      </w:r>
      <w:r w:rsidR="007558A5" w:rsidRPr="00C40BD9">
        <w:rPr>
          <w:rFonts w:ascii="Verdana" w:hAnsi="Verdana" w:cs="Verdana"/>
          <w:sz w:val="20"/>
          <w:szCs w:val="20"/>
          <w:lang w:val="pt-BR"/>
        </w:rPr>
        <w:t xml:space="preserve">em questão é </w:t>
      </w:r>
      <w:r w:rsidR="00CA07DC" w:rsidRPr="00C40BD9">
        <w:rPr>
          <w:rFonts w:ascii="Verdana" w:hAnsi="Verdana" w:cs="Verdana"/>
          <w:sz w:val="20"/>
          <w:szCs w:val="20"/>
          <w:lang w:val="pt-BR"/>
        </w:rPr>
        <w:t>considerado</w:t>
      </w:r>
      <w:r w:rsidR="00E10134" w:rsidRPr="00C40BD9">
        <w:rPr>
          <w:rFonts w:ascii="Verdana" w:hAnsi="Verdana" w:cs="Verdana"/>
          <w:sz w:val="20"/>
          <w:szCs w:val="20"/>
          <w:lang w:val="pt-BR"/>
        </w:rPr>
        <w:t xml:space="preserve"> </w:t>
      </w:r>
      <w:r w:rsidR="006770ED" w:rsidRPr="00C40BD9">
        <w:rPr>
          <w:rFonts w:ascii="Verdana" w:hAnsi="Verdana" w:cs="Verdana"/>
          <w:sz w:val="20"/>
          <w:szCs w:val="20"/>
          <w:lang w:val="pt-BR"/>
        </w:rPr>
        <w:t>uma</w:t>
      </w:r>
      <w:r w:rsidR="00DE316A">
        <w:rPr>
          <w:rFonts w:ascii="Verdana" w:hAnsi="Verdana" w:cs="Verdana"/>
          <w:sz w:val="20"/>
          <w:szCs w:val="20"/>
          <w:lang w:val="pt-BR"/>
        </w:rPr>
        <w:t xml:space="preserve"> </w:t>
      </w:r>
      <w:r w:rsidR="00E10134" w:rsidRPr="00C40BD9">
        <w:rPr>
          <w:rFonts w:ascii="Verdana" w:hAnsi="Verdana" w:cs="Verdana"/>
          <w:sz w:val="20"/>
          <w:szCs w:val="20"/>
          <w:lang w:val="pt-BR"/>
        </w:rPr>
        <w:t>“grave viola</w:t>
      </w:r>
      <w:r w:rsidR="00F633DD" w:rsidRPr="00C40BD9">
        <w:rPr>
          <w:rFonts w:ascii="Verdana" w:hAnsi="Verdana" w:cs="Verdana"/>
          <w:sz w:val="20"/>
          <w:szCs w:val="20"/>
          <w:lang w:val="pt-BR"/>
        </w:rPr>
        <w:t>ção</w:t>
      </w:r>
      <w:r w:rsidR="00E10134" w:rsidRPr="00C40BD9">
        <w:rPr>
          <w:rFonts w:ascii="Verdana" w:hAnsi="Verdana" w:cs="Verdana"/>
          <w:sz w:val="20"/>
          <w:szCs w:val="20"/>
          <w:lang w:val="pt-BR"/>
        </w:rPr>
        <w:t xml:space="preserve"> </w:t>
      </w:r>
      <w:r w:rsidR="007558A5" w:rsidRPr="00C40BD9">
        <w:rPr>
          <w:rFonts w:ascii="Verdana" w:hAnsi="Verdana" w:cs="Verdana"/>
          <w:sz w:val="20"/>
          <w:szCs w:val="20"/>
          <w:lang w:val="pt-BR"/>
        </w:rPr>
        <w:t xml:space="preserve">dos </w:t>
      </w:r>
      <w:r w:rsidR="000814BE" w:rsidRPr="00C40BD9">
        <w:rPr>
          <w:rFonts w:ascii="Verdana" w:hAnsi="Verdana" w:cs="Verdana"/>
          <w:sz w:val="20"/>
          <w:szCs w:val="20"/>
          <w:lang w:val="pt-BR"/>
        </w:rPr>
        <w:t>direitos</w:t>
      </w:r>
      <w:r w:rsidR="00DE316A">
        <w:rPr>
          <w:rFonts w:ascii="Verdana" w:hAnsi="Verdana" w:cs="Verdana"/>
          <w:sz w:val="20"/>
          <w:szCs w:val="20"/>
          <w:lang w:val="pt-BR"/>
        </w:rPr>
        <w:t xml:space="preserve"> </w:t>
      </w:r>
      <w:r w:rsidR="00E10134" w:rsidRPr="00C40BD9">
        <w:rPr>
          <w:rFonts w:ascii="Verdana" w:hAnsi="Verdana" w:cs="Verdana"/>
          <w:sz w:val="20"/>
          <w:szCs w:val="20"/>
          <w:lang w:val="pt-BR"/>
        </w:rPr>
        <w:t>humanos”</w:t>
      </w:r>
      <w:r w:rsidR="003414DF" w:rsidRPr="00C40BD9">
        <w:rPr>
          <w:rFonts w:ascii="Verdana" w:hAnsi="Verdana" w:cs="Verdana"/>
          <w:sz w:val="20"/>
          <w:szCs w:val="20"/>
          <w:lang w:val="pt-BR"/>
        </w:rPr>
        <w:t>. Seg</w:t>
      </w:r>
      <w:r w:rsidR="007558A5" w:rsidRPr="00C40BD9">
        <w:rPr>
          <w:rFonts w:ascii="Verdana" w:hAnsi="Verdana" w:cs="Verdana"/>
          <w:sz w:val="20"/>
          <w:szCs w:val="20"/>
          <w:lang w:val="pt-BR"/>
        </w:rPr>
        <w:t xml:space="preserve">undo o </w:t>
      </w:r>
      <w:r w:rsidR="003414DF" w:rsidRPr="00C40BD9">
        <w:rPr>
          <w:rFonts w:ascii="Verdana" w:hAnsi="Verdana" w:cs="Verdana"/>
          <w:sz w:val="20"/>
          <w:szCs w:val="20"/>
          <w:lang w:val="pt-BR"/>
        </w:rPr>
        <w:t xml:space="preserve">Estado, a </w:t>
      </w:r>
      <w:r w:rsidR="00F633DD" w:rsidRPr="00C40BD9">
        <w:rPr>
          <w:rFonts w:ascii="Verdana" w:hAnsi="Verdana" w:cs="Verdana"/>
          <w:sz w:val="20"/>
          <w:szCs w:val="20"/>
          <w:lang w:val="pt-BR"/>
        </w:rPr>
        <w:t>Sentença</w:t>
      </w:r>
      <w:r w:rsidR="00DE316A">
        <w:rPr>
          <w:rFonts w:ascii="Verdana" w:hAnsi="Verdana" w:cs="Verdana"/>
          <w:sz w:val="20"/>
          <w:szCs w:val="20"/>
          <w:lang w:val="pt-BR"/>
        </w:rPr>
        <w:t xml:space="preserve"> </w:t>
      </w:r>
      <w:r w:rsidR="003414DF" w:rsidRPr="00C40BD9">
        <w:rPr>
          <w:rFonts w:ascii="Verdana" w:hAnsi="Verdana" w:cs="Verdana"/>
          <w:sz w:val="20"/>
          <w:szCs w:val="20"/>
          <w:lang w:val="pt-BR"/>
        </w:rPr>
        <w:t>n</w:t>
      </w:r>
      <w:r w:rsidR="007558A5" w:rsidRPr="00C40BD9">
        <w:rPr>
          <w:rFonts w:ascii="Verdana" w:hAnsi="Verdana" w:cs="Verdana"/>
          <w:sz w:val="20"/>
          <w:szCs w:val="20"/>
          <w:lang w:val="pt-BR"/>
        </w:rPr>
        <w:t>ã</w:t>
      </w:r>
      <w:r w:rsidR="003414DF" w:rsidRPr="00C40BD9">
        <w:rPr>
          <w:rFonts w:ascii="Verdana" w:hAnsi="Verdana" w:cs="Verdana"/>
          <w:sz w:val="20"/>
          <w:szCs w:val="20"/>
          <w:lang w:val="pt-BR"/>
        </w:rPr>
        <w:t xml:space="preserve">o explicita os fundamentos para considerar que </w:t>
      </w:r>
      <w:r w:rsidR="007558A5" w:rsidRPr="00C40BD9">
        <w:rPr>
          <w:rFonts w:ascii="Verdana" w:hAnsi="Verdana" w:cs="Verdana"/>
          <w:sz w:val="20"/>
          <w:szCs w:val="20"/>
          <w:lang w:val="pt-BR"/>
        </w:rPr>
        <w:t>ess</w:t>
      </w:r>
      <w:r w:rsidR="00C04922" w:rsidRPr="00C40BD9">
        <w:rPr>
          <w:rFonts w:ascii="Verdana" w:hAnsi="Verdana" w:cs="Verdana"/>
          <w:sz w:val="20"/>
          <w:szCs w:val="20"/>
          <w:lang w:val="pt-BR"/>
        </w:rPr>
        <w:t>a</w:t>
      </w:r>
      <w:r w:rsidR="007558A5" w:rsidRPr="00C40BD9">
        <w:rPr>
          <w:rFonts w:ascii="Verdana" w:hAnsi="Verdana" w:cs="Verdana"/>
          <w:sz w:val="20"/>
          <w:szCs w:val="20"/>
          <w:lang w:val="pt-BR"/>
        </w:rPr>
        <w:t xml:space="preserve">s prováveis </w:t>
      </w:r>
      <w:r w:rsidR="00C06A9B" w:rsidRPr="00C40BD9">
        <w:rPr>
          <w:rFonts w:ascii="Verdana" w:hAnsi="Verdana" w:cs="Verdana"/>
          <w:sz w:val="20"/>
          <w:szCs w:val="20"/>
          <w:lang w:val="pt-BR"/>
        </w:rPr>
        <w:t>execuções</w:t>
      </w:r>
      <w:r w:rsidR="00DE316A">
        <w:rPr>
          <w:rFonts w:ascii="Verdana" w:hAnsi="Verdana" w:cs="Verdana"/>
          <w:sz w:val="20"/>
          <w:szCs w:val="20"/>
          <w:lang w:val="pt-BR"/>
        </w:rPr>
        <w:t xml:space="preserve"> </w:t>
      </w:r>
      <w:r w:rsidR="003414DF" w:rsidRPr="00C40BD9">
        <w:rPr>
          <w:rFonts w:ascii="Verdana" w:hAnsi="Verdana" w:cs="Verdana"/>
          <w:sz w:val="20"/>
          <w:szCs w:val="20"/>
          <w:lang w:val="pt-BR"/>
        </w:rPr>
        <w:t>extrajudici</w:t>
      </w:r>
      <w:r w:rsidR="00C06A9B" w:rsidRPr="00C40BD9">
        <w:rPr>
          <w:rFonts w:ascii="Verdana" w:hAnsi="Verdana" w:cs="Verdana"/>
          <w:sz w:val="20"/>
          <w:szCs w:val="20"/>
          <w:lang w:val="pt-BR"/>
        </w:rPr>
        <w:t>ais</w:t>
      </w:r>
      <w:r w:rsidR="00DE316A">
        <w:rPr>
          <w:rFonts w:ascii="Verdana" w:hAnsi="Verdana" w:cs="Verdana"/>
          <w:sz w:val="20"/>
          <w:szCs w:val="20"/>
          <w:lang w:val="pt-BR"/>
        </w:rPr>
        <w:t xml:space="preserve">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00C06A9B" w:rsidRPr="00C40BD9">
        <w:rPr>
          <w:rFonts w:ascii="Verdana" w:hAnsi="Verdana" w:cs="Verdana"/>
          <w:sz w:val="20"/>
          <w:szCs w:val="20"/>
          <w:lang w:val="pt-BR"/>
        </w:rPr>
        <w:t>atos</w:t>
      </w:r>
      <w:r w:rsidR="00DE316A">
        <w:rPr>
          <w:rFonts w:ascii="Verdana" w:hAnsi="Verdana" w:cs="Verdana"/>
          <w:sz w:val="20"/>
          <w:szCs w:val="20"/>
          <w:lang w:val="pt-BR"/>
        </w:rPr>
        <w:t xml:space="preserve"> </w:t>
      </w:r>
      <w:r w:rsidR="003414DF" w:rsidRPr="00C40BD9">
        <w:rPr>
          <w:rFonts w:ascii="Verdana" w:hAnsi="Verdana" w:cs="Verdana"/>
          <w:sz w:val="20"/>
          <w:szCs w:val="20"/>
          <w:lang w:val="pt-BR"/>
        </w:rPr>
        <w:t xml:space="preserve">de tortura </w:t>
      </w:r>
      <w:r w:rsidR="007558A5" w:rsidRPr="00C40BD9">
        <w:rPr>
          <w:rFonts w:ascii="Verdana" w:hAnsi="Verdana" w:cs="Verdana"/>
          <w:sz w:val="20"/>
          <w:szCs w:val="20"/>
          <w:lang w:val="pt-BR"/>
        </w:rPr>
        <w:t xml:space="preserve">sejam </w:t>
      </w:r>
      <w:r w:rsidR="003414DF" w:rsidRPr="00C40BD9">
        <w:rPr>
          <w:rFonts w:ascii="Verdana" w:hAnsi="Verdana" w:cs="Verdana"/>
          <w:sz w:val="20"/>
          <w:szCs w:val="20"/>
          <w:lang w:val="pt-BR"/>
        </w:rPr>
        <w:t>imprescrit</w:t>
      </w:r>
      <w:r w:rsidR="007558A5" w:rsidRPr="00C40BD9">
        <w:rPr>
          <w:rFonts w:ascii="Verdana" w:hAnsi="Verdana" w:cs="Verdana"/>
          <w:sz w:val="20"/>
          <w:szCs w:val="20"/>
          <w:lang w:val="pt-BR"/>
        </w:rPr>
        <w:t xml:space="preserve">íveis ou que não sejam </w:t>
      </w:r>
      <w:r w:rsidR="00C04922" w:rsidRPr="00C40BD9">
        <w:rPr>
          <w:rFonts w:ascii="Verdana" w:hAnsi="Verdana" w:cs="Verdana"/>
          <w:sz w:val="20"/>
          <w:szCs w:val="20"/>
          <w:lang w:val="pt-BR"/>
        </w:rPr>
        <w:t xml:space="preserve">abrigados pela coisa julgada e demais </w:t>
      </w:r>
      <w:r w:rsidR="00CC70AA" w:rsidRPr="00C40BD9">
        <w:rPr>
          <w:rFonts w:ascii="Verdana" w:hAnsi="Verdana" w:cs="Verdana"/>
          <w:sz w:val="20"/>
          <w:szCs w:val="20"/>
          <w:lang w:val="pt-BR"/>
        </w:rPr>
        <w:t>obstáculos</w:t>
      </w:r>
      <w:r w:rsidR="003414DF" w:rsidRPr="00C40BD9">
        <w:rPr>
          <w:rFonts w:ascii="Verdana" w:hAnsi="Verdana" w:cs="Verdana"/>
          <w:sz w:val="20"/>
          <w:szCs w:val="20"/>
          <w:lang w:val="pt-BR"/>
        </w:rPr>
        <w:t xml:space="preserve"> de </w:t>
      </w:r>
      <w:r w:rsidR="006770ED" w:rsidRPr="00C40BD9">
        <w:rPr>
          <w:rFonts w:ascii="Verdana" w:hAnsi="Verdana" w:cs="Verdana"/>
          <w:sz w:val="20"/>
          <w:szCs w:val="20"/>
          <w:lang w:val="pt-BR"/>
        </w:rPr>
        <w:t>direito</w:t>
      </w:r>
      <w:r w:rsidR="00DE316A">
        <w:rPr>
          <w:rFonts w:ascii="Verdana" w:hAnsi="Verdana" w:cs="Verdana"/>
          <w:sz w:val="20"/>
          <w:szCs w:val="20"/>
          <w:lang w:val="pt-BR"/>
        </w:rPr>
        <w:t xml:space="preserve"> </w:t>
      </w:r>
      <w:r w:rsidR="003414DF" w:rsidRPr="00C40BD9">
        <w:rPr>
          <w:rFonts w:ascii="Verdana" w:hAnsi="Verdana" w:cs="Verdana"/>
          <w:sz w:val="20"/>
          <w:szCs w:val="20"/>
          <w:lang w:val="pt-BR"/>
        </w:rPr>
        <w:t>interno.</w:t>
      </w:r>
      <w:r w:rsidR="00180BA1" w:rsidRPr="00C40BD9">
        <w:rPr>
          <w:rFonts w:ascii="Verdana" w:hAnsi="Verdana" w:cs="Verdana"/>
          <w:sz w:val="20"/>
          <w:szCs w:val="20"/>
          <w:lang w:val="pt-BR"/>
        </w:rPr>
        <w:t xml:space="preserve"> A</w:t>
      </w:r>
      <w:r w:rsidR="00C04922" w:rsidRPr="00C40BD9">
        <w:rPr>
          <w:rFonts w:ascii="Verdana" w:hAnsi="Verdana" w:cs="Verdana"/>
          <w:sz w:val="20"/>
          <w:szCs w:val="20"/>
          <w:lang w:val="pt-BR"/>
        </w:rPr>
        <w:t>lém disso</w:t>
      </w:r>
      <w:r w:rsidR="00180BA1" w:rsidRPr="00C40BD9">
        <w:rPr>
          <w:rFonts w:ascii="Verdana" w:hAnsi="Verdana" w:cs="Verdana"/>
          <w:sz w:val="20"/>
          <w:szCs w:val="20"/>
          <w:lang w:val="pt-BR"/>
        </w:rPr>
        <w:t>, argument</w:t>
      </w:r>
      <w:r w:rsidR="00C04922" w:rsidRPr="00C40BD9">
        <w:rPr>
          <w:rFonts w:ascii="Verdana" w:hAnsi="Verdana" w:cs="Verdana"/>
          <w:sz w:val="20"/>
          <w:szCs w:val="20"/>
          <w:lang w:val="pt-BR"/>
        </w:rPr>
        <w:t xml:space="preserve">ou que os crimes </w:t>
      </w:r>
      <w:r w:rsidR="00180BA1" w:rsidRPr="00C40BD9">
        <w:rPr>
          <w:rFonts w:ascii="Verdana" w:hAnsi="Verdana" w:cs="Verdana"/>
          <w:sz w:val="20"/>
          <w:szCs w:val="20"/>
          <w:lang w:val="pt-BR"/>
        </w:rPr>
        <w:t>de lesa</w:t>
      </w:r>
      <w:r w:rsidR="00C04922" w:rsidRPr="00C40BD9">
        <w:rPr>
          <w:rFonts w:ascii="Verdana" w:hAnsi="Verdana" w:cs="Verdana"/>
          <w:sz w:val="20"/>
          <w:szCs w:val="20"/>
          <w:lang w:val="pt-BR"/>
        </w:rPr>
        <w:t>-</w:t>
      </w:r>
      <w:r w:rsidR="00180BA1" w:rsidRPr="00C40BD9">
        <w:rPr>
          <w:rFonts w:ascii="Verdana" w:hAnsi="Verdana" w:cs="Verdana"/>
          <w:sz w:val="20"/>
          <w:szCs w:val="20"/>
          <w:lang w:val="pt-BR"/>
        </w:rPr>
        <w:t>humanidad</w:t>
      </w:r>
      <w:r w:rsidR="00C04922" w:rsidRPr="00C40BD9">
        <w:rPr>
          <w:rFonts w:ascii="Verdana" w:hAnsi="Verdana" w:cs="Verdana"/>
          <w:sz w:val="20"/>
          <w:szCs w:val="20"/>
          <w:lang w:val="pt-BR"/>
        </w:rPr>
        <w:t>e</w:t>
      </w:r>
      <w:r w:rsidR="00180BA1" w:rsidRPr="00C40BD9">
        <w:rPr>
          <w:rFonts w:ascii="Verdana" w:hAnsi="Verdana" w:cs="Verdana"/>
          <w:sz w:val="20"/>
          <w:szCs w:val="20"/>
          <w:lang w:val="pt-BR"/>
        </w:rPr>
        <w:t xml:space="preserve"> </w:t>
      </w:r>
      <w:r w:rsidR="00C04922" w:rsidRPr="00C40BD9">
        <w:rPr>
          <w:rFonts w:ascii="Verdana" w:hAnsi="Verdana" w:cs="Verdana"/>
          <w:sz w:val="20"/>
          <w:szCs w:val="20"/>
          <w:lang w:val="pt-BR"/>
        </w:rPr>
        <w:t xml:space="preserve">estão sujeitos à </w:t>
      </w:r>
      <w:r w:rsidR="00180BA1" w:rsidRPr="00C40BD9">
        <w:rPr>
          <w:rFonts w:ascii="Verdana" w:hAnsi="Verdana" w:cs="Verdana"/>
          <w:sz w:val="20"/>
          <w:szCs w:val="20"/>
          <w:lang w:val="pt-BR"/>
        </w:rPr>
        <w:t>jurisdi</w:t>
      </w:r>
      <w:r w:rsidR="00F633DD" w:rsidRPr="00C40BD9">
        <w:rPr>
          <w:rFonts w:ascii="Verdana" w:hAnsi="Verdana" w:cs="Verdana"/>
          <w:sz w:val="20"/>
          <w:szCs w:val="20"/>
          <w:lang w:val="pt-BR"/>
        </w:rPr>
        <w:t>ção</w:t>
      </w:r>
      <w:r w:rsidR="00180BA1" w:rsidRPr="00C40BD9">
        <w:rPr>
          <w:rFonts w:ascii="Verdana" w:hAnsi="Verdana" w:cs="Verdana"/>
          <w:sz w:val="20"/>
          <w:szCs w:val="20"/>
          <w:lang w:val="pt-BR"/>
        </w:rPr>
        <w:t xml:space="preserve"> d</w:t>
      </w:r>
      <w:r w:rsidR="00C04922" w:rsidRPr="00C40BD9">
        <w:rPr>
          <w:rFonts w:ascii="Verdana" w:hAnsi="Verdana" w:cs="Verdana"/>
          <w:sz w:val="20"/>
          <w:szCs w:val="20"/>
          <w:lang w:val="pt-BR"/>
        </w:rPr>
        <w:t>o</w:t>
      </w:r>
      <w:r w:rsidR="00180BA1" w:rsidRPr="00C40BD9">
        <w:rPr>
          <w:rFonts w:ascii="Verdana" w:hAnsi="Verdana" w:cs="Verdana"/>
          <w:sz w:val="20"/>
          <w:szCs w:val="20"/>
          <w:lang w:val="pt-BR"/>
        </w:rPr>
        <w:t xml:space="preserve"> Tribunal Penal Internacional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00180BA1" w:rsidRPr="00C40BD9">
        <w:rPr>
          <w:rFonts w:ascii="Verdana" w:hAnsi="Verdana" w:cs="Verdana"/>
          <w:sz w:val="20"/>
          <w:szCs w:val="20"/>
          <w:lang w:val="pt-BR"/>
        </w:rPr>
        <w:t xml:space="preserve">de </w:t>
      </w:r>
      <w:r w:rsidR="00C04922" w:rsidRPr="00C40BD9">
        <w:rPr>
          <w:rFonts w:ascii="Verdana" w:hAnsi="Verdana" w:cs="Verdana"/>
          <w:sz w:val="20"/>
          <w:szCs w:val="20"/>
          <w:lang w:val="pt-BR"/>
        </w:rPr>
        <w:t xml:space="preserve">outros tribunais </w:t>
      </w:r>
      <w:r w:rsidR="00180BA1" w:rsidRPr="00C40BD9">
        <w:rPr>
          <w:rFonts w:ascii="Verdana" w:hAnsi="Verdana" w:cs="Verdana"/>
          <w:sz w:val="20"/>
          <w:szCs w:val="20"/>
          <w:lang w:val="pt-BR"/>
        </w:rPr>
        <w:t>internacion</w:t>
      </w:r>
      <w:r w:rsidR="00C06A9B" w:rsidRPr="00C40BD9">
        <w:rPr>
          <w:rFonts w:ascii="Verdana" w:hAnsi="Verdana" w:cs="Verdana"/>
          <w:sz w:val="20"/>
          <w:szCs w:val="20"/>
          <w:lang w:val="pt-BR"/>
        </w:rPr>
        <w:t>ais</w:t>
      </w:r>
      <w:r w:rsidR="00C04922" w:rsidRPr="00C40BD9">
        <w:rPr>
          <w:rFonts w:ascii="Verdana" w:hAnsi="Verdana" w:cs="Verdana"/>
          <w:sz w:val="20"/>
          <w:szCs w:val="20"/>
          <w:lang w:val="pt-BR"/>
        </w:rPr>
        <w:t>,</w:t>
      </w:r>
      <w:r w:rsidR="00C06A9B" w:rsidRPr="00C40BD9">
        <w:rPr>
          <w:rFonts w:ascii="Verdana" w:hAnsi="Verdana" w:cs="Verdana"/>
          <w:sz w:val="20"/>
          <w:szCs w:val="20"/>
          <w:lang w:val="pt-BR"/>
        </w:rPr>
        <w:t xml:space="preserve"> </w:t>
      </w:r>
      <w:r w:rsidR="00180BA1" w:rsidRPr="00C40BD9">
        <w:rPr>
          <w:rFonts w:ascii="Verdana" w:hAnsi="Verdana" w:cs="Verdana"/>
          <w:sz w:val="20"/>
          <w:szCs w:val="20"/>
          <w:lang w:val="pt-BR"/>
        </w:rPr>
        <w:t>que n</w:t>
      </w:r>
      <w:r w:rsidR="00C04922" w:rsidRPr="00C40BD9">
        <w:rPr>
          <w:rFonts w:ascii="Verdana" w:hAnsi="Verdana" w:cs="Verdana"/>
          <w:sz w:val="20"/>
          <w:szCs w:val="20"/>
          <w:lang w:val="pt-BR"/>
        </w:rPr>
        <w:t>ã</w:t>
      </w:r>
      <w:r w:rsidR="00180BA1" w:rsidRPr="00C40BD9">
        <w:rPr>
          <w:rFonts w:ascii="Verdana" w:hAnsi="Verdana" w:cs="Verdana"/>
          <w:sz w:val="20"/>
          <w:szCs w:val="20"/>
          <w:lang w:val="pt-BR"/>
        </w:rPr>
        <w:t>o t</w:t>
      </w:r>
      <w:r w:rsidR="00C04922" w:rsidRPr="00C40BD9">
        <w:rPr>
          <w:rFonts w:ascii="Verdana" w:hAnsi="Verdana" w:cs="Verdana"/>
          <w:sz w:val="20"/>
          <w:szCs w:val="20"/>
          <w:lang w:val="pt-BR"/>
        </w:rPr>
        <w:t xml:space="preserve">êm </w:t>
      </w:r>
      <w:r w:rsidR="00180BA1" w:rsidRPr="00C40BD9">
        <w:rPr>
          <w:rFonts w:ascii="Verdana" w:hAnsi="Verdana" w:cs="Verdana"/>
          <w:sz w:val="20"/>
          <w:szCs w:val="20"/>
          <w:lang w:val="pt-BR"/>
        </w:rPr>
        <w:t>a capacidad</w:t>
      </w:r>
      <w:r w:rsidR="00C04922" w:rsidRPr="00C40BD9">
        <w:rPr>
          <w:rFonts w:ascii="Verdana" w:hAnsi="Verdana" w:cs="Verdana"/>
          <w:sz w:val="20"/>
          <w:szCs w:val="20"/>
          <w:lang w:val="pt-BR"/>
        </w:rPr>
        <w:t>e</w:t>
      </w:r>
      <w:r w:rsidR="00180BA1" w:rsidRPr="00C40BD9">
        <w:rPr>
          <w:rFonts w:ascii="Verdana" w:hAnsi="Verdana" w:cs="Verdana"/>
          <w:sz w:val="20"/>
          <w:szCs w:val="20"/>
          <w:lang w:val="pt-BR"/>
        </w:rPr>
        <w:t xml:space="preserve"> </w:t>
      </w:r>
      <w:r w:rsidR="007E644F">
        <w:rPr>
          <w:rFonts w:ascii="Verdana" w:hAnsi="Verdana" w:cs="Verdana"/>
          <w:sz w:val="20"/>
          <w:szCs w:val="20"/>
          <w:lang w:val="pt-BR"/>
        </w:rPr>
        <w:t>para</w:t>
      </w:r>
      <w:r w:rsidR="00180BA1" w:rsidRPr="00C40BD9">
        <w:rPr>
          <w:rFonts w:ascii="Verdana" w:hAnsi="Verdana" w:cs="Verdana"/>
          <w:sz w:val="20"/>
          <w:szCs w:val="20"/>
          <w:lang w:val="pt-BR"/>
        </w:rPr>
        <w:t xml:space="preserve"> impor aos legisladores domésticos </w:t>
      </w:r>
      <w:r w:rsidR="00D32CA8">
        <w:rPr>
          <w:rFonts w:ascii="Verdana" w:hAnsi="Verdana" w:cs="Verdana"/>
          <w:sz w:val="20"/>
          <w:szCs w:val="20"/>
          <w:lang w:val="pt-BR"/>
        </w:rPr>
        <w:t xml:space="preserve">a obrigação </w:t>
      </w:r>
      <w:r w:rsidR="00180BA1" w:rsidRPr="00C40BD9">
        <w:rPr>
          <w:rFonts w:ascii="Verdana" w:hAnsi="Verdana" w:cs="Verdana"/>
          <w:sz w:val="20"/>
          <w:szCs w:val="20"/>
          <w:lang w:val="pt-BR"/>
        </w:rPr>
        <w:t xml:space="preserve">de </w:t>
      </w:r>
      <w:r w:rsidR="00C80F4D" w:rsidRPr="00C40BD9">
        <w:rPr>
          <w:rFonts w:ascii="Verdana" w:hAnsi="Verdana" w:cs="Verdana"/>
          <w:sz w:val="20"/>
          <w:szCs w:val="20"/>
          <w:lang w:val="pt-BR"/>
        </w:rPr>
        <w:t>n</w:t>
      </w:r>
      <w:r w:rsidR="00C04922" w:rsidRPr="00C40BD9">
        <w:rPr>
          <w:rFonts w:ascii="Verdana" w:hAnsi="Verdana" w:cs="Verdana"/>
          <w:sz w:val="20"/>
          <w:szCs w:val="20"/>
          <w:lang w:val="pt-BR"/>
        </w:rPr>
        <w:t>ã</w:t>
      </w:r>
      <w:r w:rsidR="00C80F4D" w:rsidRPr="00C40BD9">
        <w:rPr>
          <w:rFonts w:ascii="Verdana" w:hAnsi="Verdana" w:cs="Verdana"/>
          <w:sz w:val="20"/>
          <w:szCs w:val="20"/>
          <w:lang w:val="pt-BR"/>
        </w:rPr>
        <w:t>o aplicar</w:t>
      </w:r>
      <w:r w:rsidR="00180BA1" w:rsidRPr="00C40BD9">
        <w:rPr>
          <w:rFonts w:ascii="Verdana" w:hAnsi="Verdana" w:cs="Verdana"/>
          <w:sz w:val="20"/>
          <w:szCs w:val="20"/>
          <w:lang w:val="pt-BR"/>
        </w:rPr>
        <w:t xml:space="preserve"> a prescri</w:t>
      </w:r>
      <w:r w:rsidR="00F633DD" w:rsidRPr="00C40BD9">
        <w:rPr>
          <w:rFonts w:ascii="Verdana" w:hAnsi="Verdana" w:cs="Verdana"/>
          <w:sz w:val="20"/>
          <w:szCs w:val="20"/>
          <w:lang w:val="pt-BR"/>
        </w:rPr>
        <w:t>ção</w:t>
      </w:r>
      <w:r w:rsidR="00180BA1" w:rsidRPr="00C40BD9">
        <w:rPr>
          <w:rFonts w:ascii="Verdana" w:hAnsi="Verdana" w:cs="Verdana"/>
          <w:sz w:val="20"/>
          <w:szCs w:val="20"/>
          <w:lang w:val="pt-BR"/>
        </w:rPr>
        <w:t xml:space="preserve"> </w:t>
      </w:r>
      <w:r w:rsidR="000814BE" w:rsidRPr="00C40BD9">
        <w:rPr>
          <w:rFonts w:ascii="Verdana" w:hAnsi="Verdana" w:cs="Verdana"/>
          <w:sz w:val="20"/>
          <w:szCs w:val="20"/>
          <w:lang w:val="pt-BR"/>
        </w:rPr>
        <w:t>n</w:t>
      </w:r>
      <w:r w:rsidR="00C04922" w:rsidRPr="00C40BD9">
        <w:rPr>
          <w:rFonts w:ascii="Verdana" w:hAnsi="Verdana" w:cs="Verdana"/>
          <w:sz w:val="20"/>
          <w:szCs w:val="20"/>
          <w:lang w:val="pt-BR"/>
        </w:rPr>
        <w:t xml:space="preserve">o processo </w:t>
      </w:r>
      <w:r w:rsidR="00180BA1" w:rsidRPr="00C40BD9">
        <w:rPr>
          <w:rFonts w:ascii="Verdana" w:hAnsi="Verdana" w:cs="Verdana"/>
          <w:sz w:val="20"/>
          <w:szCs w:val="20"/>
          <w:lang w:val="pt-BR"/>
        </w:rPr>
        <w:t>penal intern</w:t>
      </w:r>
      <w:r w:rsidR="00C04922" w:rsidRPr="00C40BD9">
        <w:rPr>
          <w:rFonts w:ascii="Verdana" w:hAnsi="Verdana" w:cs="Verdana"/>
          <w:sz w:val="20"/>
          <w:szCs w:val="20"/>
          <w:lang w:val="pt-BR"/>
        </w:rPr>
        <w:t>o</w:t>
      </w:r>
      <w:r w:rsidR="00D32CA8">
        <w:rPr>
          <w:rFonts w:ascii="Verdana" w:hAnsi="Verdana" w:cs="Verdana"/>
          <w:sz w:val="20"/>
          <w:szCs w:val="20"/>
          <w:lang w:val="pt-BR"/>
        </w:rPr>
        <w:t>.</w:t>
      </w:r>
      <w:r w:rsidR="00F53503" w:rsidRPr="00C40BD9">
        <w:rPr>
          <w:rFonts w:ascii="Verdana" w:hAnsi="Verdana" w:cs="Verdana"/>
          <w:sz w:val="20"/>
          <w:szCs w:val="20"/>
          <w:lang w:val="pt-BR"/>
        </w:rPr>
        <w:t xml:space="preserve"> </w:t>
      </w:r>
      <w:r w:rsidR="00F86BC7" w:rsidRPr="00C40BD9">
        <w:rPr>
          <w:rFonts w:ascii="Verdana" w:hAnsi="Verdana" w:cs="Verdana"/>
          <w:sz w:val="20"/>
          <w:szCs w:val="20"/>
          <w:lang w:val="pt-BR"/>
        </w:rPr>
        <w:t>A</w:t>
      </w:r>
      <w:r w:rsidR="00C04922" w:rsidRPr="00C40BD9">
        <w:rPr>
          <w:rFonts w:ascii="Verdana" w:hAnsi="Verdana" w:cs="Verdana"/>
          <w:sz w:val="20"/>
          <w:szCs w:val="20"/>
          <w:lang w:val="pt-BR"/>
        </w:rPr>
        <w:t xml:space="preserve"> esse respeito, </w:t>
      </w:r>
      <w:r w:rsidR="00C06A9B" w:rsidRPr="00C40BD9">
        <w:rPr>
          <w:rFonts w:ascii="Verdana" w:hAnsi="Verdana" w:cs="Verdana"/>
          <w:sz w:val="20"/>
          <w:szCs w:val="20"/>
          <w:lang w:val="pt-BR"/>
        </w:rPr>
        <w:t xml:space="preserve">os representantes </w:t>
      </w:r>
      <w:r w:rsidR="00C04922" w:rsidRPr="00C40BD9">
        <w:rPr>
          <w:rFonts w:ascii="Verdana" w:hAnsi="Verdana" w:cs="Verdana"/>
          <w:sz w:val="20"/>
          <w:szCs w:val="20"/>
          <w:lang w:val="pt-BR"/>
        </w:rPr>
        <w:t xml:space="preserve">se pronunciaram no </w:t>
      </w:r>
      <w:r w:rsidR="00E10134" w:rsidRPr="00C40BD9">
        <w:rPr>
          <w:rFonts w:ascii="Verdana" w:hAnsi="Verdana" w:cs="Verdana"/>
          <w:sz w:val="20"/>
          <w:szCs w:val="20"/>
          <w:lang w:val="pt-BR"/>
        </w:rPr>
        <w:t xml:space="preserve">sentido de </w:t>
      </w:r>
      <w:r w:rsidR="00E10134" w:rsidRPr="00C40BD9">
        <w:rPr>
          <w:rFonts w:ascii="Verdana" w:hAnsi="Verdana" w:cs="Verdana"/>
          <w:sz w:val="20"/>
          <w:szCs w:val="20"/>
          <w:lang w:val="pt-BR"/>
        </w:rPr>
        <w:lastRenderedPageBreak/>
        <w:t xml:space="preserve">que </w:t>
      </w:r>
      <w:r w:rsidR="00C04922" w:rsidRPr="00C40BD9">
        <w:rPr>
          <w:rFonts w:ascii="Verdana" w:hAnsi="Verdana" w:cs="Verdana"/>
          <w:sz w:val="20"/>
          <w:szCs w:val="20"/>
          <w:lang w:val="pt-BR"/>
        </w:rPr>
        <w:t xml:space="preserve">o </w:t>
      </w:r>
      <w:r w:rsidR="00C80F4D" w:rsidRPr="00C40BD9">
        <w:rPr>
          <w:rFonts w:ascii="Verdana" w:hAnsi="Verdana" w:cs="Verdana"/>
          <w:sz w:val="20"/>
          <w:szCs w:val="20"/>
          <w:lang w:val="pt-BR"/>
        </w:rPr>
        <w:t xml:space="preserve">Brasil </w:t>
      </w:r>
      <w:r w:rsidR="00E10134" w:rsidRPr="00C40BD9">
        <w:rPr>
          <w:rFonts w:ascii="Verdana" w:hAnsi="Verdana" w:cs="Verdana"/>
          <w:sz w:val="20"/>
          <w:szCs w:val="20"/>
          <w:lang w:val="pt-BR"/>
        </w:rPr>
        <w:t>n</w:t>
      </w:r>
      <w:r w:rsidR="00C04922" w:rsidRPr="00C40BD9">
        <w:rPr>
          <w:rFonts w:ascii="Verdana" w:hAnsi="Verdana" w:cs="Verdana"/>
          <w:sz w:val="20"/>
          <w:szCs w:val="20"/>
          <w:lang w:val="pt-BR"/>
        </w:rPr>
        <w:t>ã</w:t>
      </w:r>
      <w:r w:rsidR="00E10134" w:rsidRPr="00C40BD9">
        <w:rPr>
          <w:rFonts w:ascii="Verdana" w:hAnsi="Verdana" w:cs="Verdana"/>
          <w:sz w:val="20"/>
          <w:szCs w:val="20"/>
          <w:lang w:val="pt-BR"/>
        </w:rPr>
        <w:t>o estar</w:t>
      </w:r>
      <w:r w:rsidR="00C04922" w:rsidRPr="00C40BD9">
        <w:rPr>
          <w:rFonts w:ascii="Verdana" w:hAnsi="Verdana" w:cs="Verdana"/>
          <w:sz w:val="20"/>
          <w:szCs w:val="20"/>
          <w:lang w:val="pt-BR"/>
        </w:rPr>
        <w:t>i</w:t>
      </w:r>
      <w:r w:rsidR="00E10134" w:rsidRPr="00C40BD9">
        <w:rPr>
          <w:rFonts w:ascii="Verdana" w:hAnsi="Verdana" w:cs="Verdana"/>
          <w:sz w:val="20"/>
          <w:szCs w:val="20"/>
          <w:lang w:val="pt-BR"/>
        </w:rPr>
        <w:t xml:space="preserve">a solicitando </w:t>
      </w:r>
      <w:r w:rsidR="006770ED" w:rsidRPr="00C40BD9">
        <w:rPr>
          <w:rFonts w:ascii="Verdana" w:hAnsi="Verdana" w:cs="Verdana"/>
          <w:sz w:val="20"/>
          <w:szCs w:val="20"/>
          <w:lang w:val="pt-BR"/>
        </w:rPr>
        <w:t>uma</w:t>
      </w:r>
      <w:r w:rsidR="00DE316A">
        <w:rPr>
          <w:rFonts w:ascii="Verdana" w:hAnsi="Verdana" w:cs="Verdana"/>
          <w:sz w:val="20"/>
          <w:szCs w:val="20"/>
          <w:lang w:val="pt-BR"/>
        </w:rPr>
        <w:t xml:space="preserve"> </w:t>
      </w:r>
      <w:r w:rsidR="00E10134" w:rsidRPr="00C40BD9">
        <w:rPr>
          <w:rFonts w:ascii="Verdana" w:hAnsi="Verdana" w:cs="Verdana"/>
          <w:sz w:val="20"/>
          <w:szCs w:val="20"/>
          <w:lang w:val="pt-BR"/>
        </w:rPr>
        <w:t>interpreta</w:t>
      </w:r>
      <w:r w:rsidR="00F633DD" w:rsidRPr="00C40BD9">
        <w:rPr>
          <w:rFonts w:ascii="Verdana" w:hAnsi="Verdana" w:cs="Verdana"/>
          <w:sz w:val="20"/>
          <w:szCs w:val="20"/>
          <w:lang w:val="pt-BR"/>
        </w:rPr>
        <w:t>ção</w:t>
      </w:r>
      <w:r w:rsidR="00E10134" w:rsidRPr="00C40BD9">
        <w:rPr>
          <w:rFonts w:ascii="Verdana" w:hAnsi="Verdana" w:cs="Verdana"/>
          <w:sz w:val="20"/>
          <w:szCs w:val="20"/>
          <w:lang w:val="pt-BR"/>
        </w:rPr>
        <w:t xml:space="preserve"> </w:t>
      </w:r>
      <w:r w:rsidR="00F633DD" w:rsidRPr="00C40BD9">
        <w:rPr>
          <w:rFonts w:ascii="Verdana" w:hAnsi="Verdana" w:cs="Verdana"/>
          <w:sz w:val="20"/>
          <w:szCs w:val="20"/>
          <w:lang w:val="pt-BR"/>
        </w:rPr>
        <w:t>da Sentença</w:t>
      </w:r>
      <w:r w:rsidR="00E10134" w:rsidRPr="00C40BD9">
        <w:rPr>
          <w:rFonts w:ascii="Verdana" w:hAnsi="Verdana" w:cs="Verdana"/>
          <w:sz w:val="20"/>
          <w:szCs w:val="20"/>
          <w:lang w:val="pt-BR"/>
        </w:rPr>
        <w:t xml:space="preserve">, </w:t>
      </w:r>
      <w:r w:rsidR="00C04922" w:rsidRPr="00C40BD9">
        <w:rPr>
          <w:rFonts w:ascii="Verdana" w:hAnsi="Verdana" w:cs="Verdana"/>
          <w:sz w:val="20"/>
          <w:szCs w:val="20"/>
          <w:lang w:val="pt-BR"/>
        </w:rPr>
        <w:t>mas q</w:t>
      </w:r>
      <w:r w:rsidR="00E10134" w:rsidRPr="00C40BD9">
        <w:rPr>
          <w:rFonts w:ascii="Verdana" w:hAnsi="Verdana" w:cs="Verdana"/>
          <w:sz w:val="20"/>
          <w:szCs w:val="20"/>
          <w:lang w:val="pt-BR"/>
        </w:rPr>
        <w:t xml:space="preserve">uestionando a </w:t>
      </w:r>
      <w:r w:rsidR="00C04922" w:rsidRPr="00C40BD9">
        <w:rPr>
          <w:rFonts w:ascii="Verdana" w:hAnsi="Verdana" w:cs="Verdana"/>
          <w:sz w:val="20"/>
          <w:szCs w:val="20"/>
          <w:lang w:val="pt-BR"/>
        </w:rPr>
        <w:t>decisão</w:t>
      </w:r>
      <w:r w:rsidR="00DE316A">
        <w:rPr>
          <w:rFonts w:ascii="Verdana" w:hAnsi="Verdana" w:cs="Verdana"/>
          <w:sz w:val="20"/>
          <w:szCs w:val="20"/>
          <w:lang w:val="pt-BR"/>
        </w:rPr>
        <w:t xml:space="preserve"> </w:t>
      </w:r>
      <w:r w:rsidR="00E10134" w:rsidRPr="00C40BD9">
        <w:rPr>
          <w:rFonts w:ascii="Verdana" w:hAnsi="Verdana" w:cs="Verdana"/>
          <w:sz w:val="20"/>
          <w:szCs w:val="20"/>
          <w:lang w:val="pt-BR"/>
        </w:rPr>
        <w:t>fundamentada por esta Corte</w:t>
      </w:r>
      <w:r w:rsidR="00D32CA8">
        <w:rPr>
          <w:rFonts w:ascii="Verdana" w:hAnsi="Verdana" w:cs="Verdana"/>
          <w:sz w:val="20"/>
          <w:szCs w:val="20"/>
          <w:lang w:val="pt-BR"/>
        </w:rPr>
        <w:t>.</w:t>
      </w:r>
      <w:r w:rsidR="00E10134" w:rsidRPr="00C40BD9">
        <w:rPr>
          <w:rFonts w:ascii="Verdana" w:hAnsi="Verdana" w:cs="Verdana"/>
          <w:sz w:val="20"/>
          <w:szCs w:val="20"/>
          <w:lang w:val="pt-BR"/>
        </w:rPr>
        <w:t xml:space="preserve"> </w:t>
      </w:r>
    </w:p>
    <w:p w:rsidR="0085449E" w:rsidRPr="00C40BD9" w:rsidRDefault="0085449E" w:rsidP="00A82FB4">
      <w:pPr>
        <w:autoSpaceDE w:val="0"/>
        <w:autoSpaceDN w:val="0"/>
        <w:adjustRightInd w:val="0"/>
        <w:spacing w:after="0" w:line="240" w:lineRule="auto"/>
        <w:jc w:val="both"/>
        <w:rPr>
          <w:rFonts w:ascii="Verdana" w:hAnsi="Verdana" w:cs="Verdana"/>
          <w:sz w:val="20"/>
          <w:szCs w:val="20"/>
          <w:lang w:val="pt-BR"/>
        </w:rPr>
      </w:pPr>
    </w:p>
    <w:p w:rsidR="008275D2" w:rsidRPr="00C40BD9" w:rsidRDefault="00C04922" w:rsidP="00A82FB4">
      <w:pPr>
        <w:numPr>
          <w:ilvl w:val="0"/>
          <w:numId w:val="2"/>
        </w:numPr>
        <w:tabs>
          <w:tab w:val="clear" w:pos="1247"/>
        </w:tabs>
        <w:autoSpaceDE w:val="0"/>
        <w:autoSpaceDN w:val="0"/>
        <w:adjustRightInd w:val="0"/>
        <w:spacing w:after="0" w:line="240" w:lineRule="auto"/>
        <w:jc w:val="both"/>
        <w:rPr>
          <w:rFonts w:ascii="Verdana" w:hAnsi="Verdana" w:cs="Verdana"/>
          <w:b/>
          <w:sz w:val="20"/>
          <w:szCs w:val="20"/>
          <w:lang w:val="pt-BR"/>
        </w:rPr>
      </w:pPr>
      <w:r w:rsidRPr="00C40BD9">
        <w:rPr>
          <w:rFonts w:ascii="Verdana" w:hAnsi="Verdana" w:cs="Verdana"/>
          <w:sz w:val="20"/>
          <w:szCs w:val="20"/>
          <w:lang w:val="pt-BR"/>
        </w:rPr>
        <w:t>A</w:t>
      </w:r>
      <w:r w:rsidR="0085449E" w:rsidRPr="00C40BD9">
        <w:rPr>
          <w:rFonts w:ascii="Verdana" w:hAnsi="Verdana" w:cs="Verdana"/>
          <w:sz w:val="20"/>
          <w:szCs w:val="20"/>
          <w:lang w:val="pt-BR"/>
        </w:rPr>
        <w:t xml:space="preserve"> </w:t>
      </w:r>
      <w:r w:rsidR="00C06A9B" w:rsidRPr="005C28D2">
        <w:rPr>
          <w:rFonts w:ascii="Verdana" w:hAnsi="Verdana" w:cs="Verdana"/>
          <w:b/>
          <w:i/>
          <w:sz w:val="20"/>
          <w:szCs w:val="20"/>
          <w:lang w:val="pt-BR"/>
        </w:rPr>
        <w:t>Comissão</w:t>
      </w:r>
      <w:r w:rsidR="00DE316A">
        <w:rPr>
          <w:rFonts w:ascii="Verdana" w:hAnsi="Verdana" w:cs="Verdana"/>
          <w:b/>
          <w:i/>
          <w:sz w:val="20"/>
          <w:szCs w:val="20"/>
          <w:lang w:val="pt-BR"/>
        </w:rPr>
        <w:t xml:space="preserve"> </w:t>
      </w:r>
      <w:r w:rsidRPr="00C40BD9">
        <w:rPr>
          <w:rFonts w:ascii="Verdana" w:hAnsi="Verdana" w:cs="Verdana"/>
          <w:sz w:val="20"/>
          <w:szCs w:val="20"/>
          <w:lang w:val="pt-BR"/>
        </w:rPr>
        <w:t xml:space="preserve">reconheceu que a </w:t>
      </w:r>
      <w:r w:rsidR="00F633DD" w:rsidRPr="00C40BD9">
        <w:rPr>
          <w:rFonts w:ascii="Verdana" w:hAnsi="Verdana" w:cs="Verdana"/>
          <w:sz w:val="20"/>
          <w:szCs w:val="20"/>
          <w:lang w:val="pt-BR"/>
        </w:rPr>
        <w:t>Sentença</w:t>
      </w:r>
      <w:r w:rsidR="00DE316A">
        <w:rPr>
          <w:rFonts w:ascii="Verdana" w:hAnsi="Verdana" w:cs="Verdana"/>
          <w:sz w:val="20"/>
          <w:szCs w:val="20"/>
          <w:lang w:val="pt-BR"/>
        </w:rPr>
        <w:t xml:space="preserve"> </w:t>
      </w:r>
      <w:r w:rsidR="00F633DD" w:rsidRPr="00C40BD9">
        <w:rPr>
          <w:rFonts w:ascii="Verdana" w:hAnsi="Verdana" w:cs="Verdana"/>
          <w:sz w:val="20"/>
          <w:szCs w:val="20"/>
          <w:lang w:val="pt-BR"/>
        </w:rPr>
        <w:t xml:space="preserve">da </w:t>
      </w:r>
      <w:r w:rsidR="00F911DB" w:rsidRPr="00C40BD9">
        <w:rPr>
          <w:rFonts w:ascii="Verdana" w:hAnsi="Verdana" w:cs="Verdana"/>
          <w:sz w:val="20"/>
          <w:szCs w:val="20"/>
          <w:lang w:val="pt-BR"/>
        </w:rPr>
        <w:t xml:space="preserve">Corte </w:t>
      </w:r>
      <w:r w:rsidRPr="00C40BD9">
        <w:rPr>
          <w:rFonts w:ascii="Verdana" w:hAnsi="Verdana" w:cs="Verdana"/>
          <w:sz w:val="20"/>
          <w:szCs w:val="20"/>
          <w:lang w:val="pt-BR"/>
        </w:rPr>
        <w:t xml:space="preserve">já dispôs que a </w:t>
      </w:r>
      <w:r w:rsidR="00C06A9B" w:rsidRPr="00C40BD9">
        <w:rPr>
          <w:rFonts w:ascii="Verdana" w:eastAsiaTheme="minorHAnsi" w:hAnsi="Verdana" w:cs="Cambria"/>
          <w:sz w:val="20"/>
          <w:szCs w:val="20"/>
          <w:lang w:val="pt-BR"/>
        </w:rPr>
        <w:t>violência</w:t>
      </w:r>
      <w:r w:rsidR="00DE316A">
        <w:rPr>
          <w:rFonts w:ascii="Verdana" w:eastAsiaTheme="minorHAnsi" w:hAnsi="Verdana" w:cs="Cambria"/>
          <w:sz w:val="20"/>
          <w:szCs w:val="20"/>
          <w:lang w:val="pt-BR"/>
        </w:rPr>
        <w:t xml:space="preserve"> </w:t>
      </w:r>
      <w:r w:rsidR="00F6454B" w:rsidRPr="00C40BD9">
        <w:rPr>
          <w:rFonts w:ascii="Verdana" w:eastAsiaTheme="minorHAnsi" w:hAnsi="Verdana" w:cs="Cambria"/>
          <w:sz w:val="20"/>
          <w:szCs w:val="20"/>
          <w:lang w:val="pt-BR"/>
        </w:rPr>
        <w:t>sexual</w:t>
      </w:r>
      <w:r w:rsidR="008275D2" w:rsidRPr="00C40BD9">
        <w:rPr>
          <w:rFonts w:ascii="Verdana" w:eastAsiaTheme="minorHAnsi" w:hAnsi="Verdana" w:cs="Cambria"/>
          <w:sz w:val="20"/>
          <w:szCs w:val="20"/>
          <w:lang w:val="pt-BR"/>
        </w:rPr>
        <w:t xml:space="preserve"> </w:t>
      </w:r>
      <w:r w:rsidR="00F6454B" w:rsidRPr="00C40BD9">
        <w:rPr>
          <w:rFonts w:ascii="Verdana" w:eastAsiaTheme="minorHAnsi" w:hAnsi="Verdana" w:cs="Cambria"/>
          <w:sz w:val="20"/>
          <w:szCs w:val="20"/>
          <w:lang w:val="pt-BR"/>
        </w:rPr>
        <w:t xml:space="preserve">cometida </w:t>
      </w:r>
      <w:r w:rsidRPr="00C40BD9">
        <w:rPr>
          <w:rFonts w:ascii="Verdana" w:eastAsiaTheme="minorHAnsi" w:hAnsi="Verdana" w:cs="Cambria"/>
          <w:sz w:val="20"/>
          <w:szCs w:val="20"/>
          <w:lang w:val="pt-BR"/>
        </w:rPr>
        <w:t xml:space="preserve">no </w:t>
      </w:r>
      <w:r w:rsidR="00F6454B" w:rsidRPr="00C40BD9">
        <w:rPr>
          <w:rFonts w:ascii="Verdana" w:eastAsiaTheme="minorHAnsi" w:hAnsi="Verdana" w:cs="Cambria"/>
          <w:sz w:val="20"/>
          <w:szCs w:val="20"/>
          <w:lang w:val="pt-BR"/>
        </w:rPr>
        <w:t xml:space="preserve">presente caso </w:t>
      </w:r>
      <w:r w:rsidRPr="00C40BD9">
        <w:rPr>
          <w:rFonts w:ascii="Verdana" w:eastAsiaTheme="minorHAnsi" w:hAnsi="Verdana" w:cs="Cambria"/>
          <w:sz w:val="20"/>
          <w:szCs w:val="20"/>
          <w:lang w:val="pt-BR"/>
        </w:rPr>
        <w:t xml:space="preserve">constituiu um </w:t>
      </w:r>
      <w:r w:rsidR="00F6454B" w:rsidRPr="00C40BD9">
        <w:rPr>
          <w:rFonts w:ascii="Verdana" w:eastAsiaTheme="minorHAnsi" w:hAnsi="Verdana" w:cs="Cambria"/>
          <w:sz w:val="20"/>
          <w:szCs w:val="20"/>
          <w:lang w:val="pt-BR"/>
        </w:rPr>
        <w:t xml:space="preserve">“delito especialmente grave” </w:t>
      </w:r>
      <w:r w:rsidR="00F633DD" w:rsidRPr="00C40BD9">
        <w:rPr>
          <w:rFonts w:ascii="Verdana" w:eastAsiaTheme="minorHAnsi" w:hAnsi="Verdana" w:cs="Cambria"/>
          <w:sz w:val="20"/>
          <w:szCs w:val="20"/>
          <w:lang w:val="pt-BR"/>
        </w:rPr>
        <w:t>e</w:t>
      </w:r>
      <w:r w:rsidR="00DE316A">
        <w:rPr>
          <w:rFonts w:ascii="Verdana" w:eastAsiaTheme="minorHAnsi" w:hAnsi="Verdana" w:cs="Cambria"/>
          <w:sz w:val="20"/>
          <w:szCs w:val="20"/>
          <w:lang w:val="pt-BR"/>
        </w:rPr>
        <w:t xml:space="preserve"> </w:t>
      </w:r>
      <w:r w:rsidRPr="00C40BD9">
        <w:rPr>
          <w:rFonts w:ascii="Verdana" w:eastAsiaTheme="minorHAnsi" w:hAnsi="Verdana" w:cs="Cambria"/>
          <w:sz w:val="20"/>
          <w:szCs w:val="20"/>
          <w:lang w:val="pt-BR"/>
        </w:rPr>
        <w:t xml:space="preserve">estabeleceu </w:t>
      </w:r>
      <w:r w:rsidR="00F6454B" w:rsidRPr="00C40BD9">
        <w:rPr>
          <w:rFonts w:ascii="Verdana" w:eastAsiaTheme="minorHAnsi" w:hAnsi="Verdana" w:cs="Cambria"/>
          <w:sz w:val="20"/>
          <w:szCs w:val="20"/>
          <w:lang w:val="pt-BR"/>
        </w:rPr>
        <w:t>a responsabilidad</w:t>
      </w:r>
      <w:r w:rsidRPr="00C40BD9">
        <w:rPr>
          <w:rFonts w:ascii="Verdana" w:eastAsiaTheme="minorHAnsi" w:hAnsi="Verdana" w:cs="Cambria"/>
          <w:sz w:val="20"/>
          <w:szCs w:val="20"/>
          <w:lang w:val="pt-BR"/>
        </w:rPr>
        <w:t>e</w:t>
      </w:r>
      <w:r w:rsidR="00F6454B" w:rsidRPr="00C40BD9">
        <w:rPr>
          <w:rFonts w:ascii="Verdana" w:eastAsiaTheme="minorHAnsi" w:hAnsi="Verdana" w:cs="Cambria"/>
          <w:sz w:val="20"/>
          <w:szCs w:val="20"/>
          <w:lang w:val="pt-BR"/>
        </w:rPr>
        <w:t xml:space="preserve"> </w:t>
      </w:r>
      <w:r w:rsidR="00970B13" w:rsidRPr="00C40BD9">
        <w:rPr>
          <w:rFonts w:ascii="Verdana" w:eastAsiaTheme="minorHAnsi" w:hAnsi="Verdana" w:cs="Cambria"/>
          <w:sz w:val="20"/>
          <w:szCs w:val="20"/>
          <w:lang w:val="pt-BR"/>
        </w:rPr>
        <w:t xml:space="preserve">do Estado </w:t>
      </w:r>
      <w:r w:rsidR="00F6454B" w:rsidRPr="00C40BD9">
        <w:rPr>
          <w:rFonts w:ascii="Verdana" w:eastAsiaTheme="minorHAnsi" w:hAnsi="Verdana" w:cs="Cambria"/>
          <w:sz w:val="20"/>
          <w:szCs w:val="20"/>
          <w:lang w:val="pt-BR"/>
        </w:rPr>
        <w:t>p</w:t>
      </w:r>
      <w:r w:rsidRPr="00C40BD9">
        <w:rPr>
          <w:rFonts w:ascii="Verdana" w:eastAsiaTheme="minorHAnsi" w:hAnsi="Verdana" w:cs="Cambria"/>
          <w:sz w:val="20"/>
          <w:szCs w:val="20"/>
          <w:lang w:val="pt-BR"/>
        </w:rPr>
        <w:t>e</w:t>
      </w:r>
      <w:r w:rsidR="00F6454B" w:rsidRPr="00C40BD9">
        <w:rPr>
          <w:rFonts w:ascii="Verdana" w:eastAsiaTheme="minorHAnsi" w:hAnsi="Verdana" w:cs="Cambria"/>
          <w:sz w:val="20"/>
          <w:szCs w:val="20"/>
          <w:lang w:val="pt-BR"/>
        </w:rPr>
        <w:t>la “completa falta de atua</w:t>
      </w:r>
      <w:r w:rsidR="00F633DD" w:rsidRPr="00C40BD9">
        <w:rPr>
          <w:rFonts w:ascii="Verdana" w:eastAsiaTheme="minorHAnsi" w:hAnsi="Verdana" w:cs="Cambria"/>
          <w:sz w:val="20"/>
          <w:szCs w:val="20"/>
          <w:lang w:val="pt-BR"/>
        </w:rPr>
        <w:t>ção</w:t>
      </w:r>
      <w:r w:rsidR="00F6454B" w:rsidRPr="00C40BD9">
        <w:rPr>
          <w:rFonts w:ascii="Verdana" w:eastAsiaTheme="minorHAnsi" w:hAnsi="Verdana" w:cs="Cambria"/>
          <w:sz w:val="20"/>
          <w:szCs w:val="20"/>
          <w:lang w:val="pt-BR"/>
        </w:rPr>
        <w:t xml:space="preserve"> estatal </w:t>
      </w:r>
      <w:r w:rsidR="00084B13" w:rsidRPr="00C40BD9">
        <w:rPr>
          <w:rFonts w:ascii="Verdana" w:eastAsiaTheme="minorHAnsi" w:hAnsi="Verdana" w:cs="Cambria"/>
          <w:sz w:val="20"/>
          <w:szCs w:val="20"/>
          <w:lang w:val="pt-BR"/>
        </w:rPr>
        <w:t xml:space="preserve">a respeito dos estupros e </w:t>
      </w:r>
      <w:r w:rsidR="00F6454B" w:rsidRPr="00C40BD9">
        <w:rPr>
          <w:rFonts w:ascii="Verdana" w:eastAsiaTheme="minorHAnsi" w:hAnsi="Verdana" w:cs="Cambria"/>
          <w:sz w:val="20"/>
          <w:szCs w:val="20"/>
          <w:lang w:val="pt-BR"/>
        </w:rPr>
        <w:t>pos</w:t>
      </w:r>
      <w:r w:rsidR="00084B13" w:rsidRPr="00C40BD9">
        <w:rPr>
          <w:rFonts w:ascii="Verdana" w:eastAsiaTheme="minorHAnsi" w:hAnsi="Verdana" w:cs="Cambria"/>
          <w:sz w:val="20"/>
          <w:szCs w:val="20"/>
          <w:lang w:val="pt-BR"/>
        </w:rPr>
        <w:t xml:space="preserve">síveis </w:t>
      </w:r>
      <w:r w:rsidR="00C06A9B" w:rsidRPr="00C40BD9">
        <w:rPr>
          <w:rFonts w:ascii="Verdana" w:eastAsiaTheme="minorHAnsi" w:hAnsi="Verdana" w:cs="Cambria"/>
          <w:sz w:val="20"/>
          <w:szCs w:val="20"/>
          <w:lang w:val="pt-BR"/>
        </w:rPr>
        <w:t>atos</w:t>
      </w:r>
      <w:r w:rsidR="00DE316A">
        <w:rPr>
          <w:rFonts w:ascii="Verdana" w:eastAsiaTheme="minorHAnsi" w:hAnsi="Verdana" w:cs="Cambria"/>
          <w:sz w:val="20"/>
          <w:szCs w:val="20"/>
          <w:lang w:val="pt-BR"/>
        </w:rPr>
        <w:t xml:space="preserve"> </w:t>
      </w:r>
      <w:r w:rsidR="00F6454B" w:rsidRPr="00C40BD9">
        <w:rPr>
          <w:rFonts w:ascii="Verdana" w:eastAsiaTheme="minorHAnsi" w:hAnsi="Verdana" w:cs="Cambria"/>
          <w:sz w:val="20"/>
          <w:szCs w:val="20"/>
          <w:lang w:val="pt-BR"/>
        </w:rPr>
        <w:t xml:space="preserve">de tortura” contra </w:t>
      </w:r>
      <w:r w:rsidR="00C06A9B" w:rsidRPr="00C40BD9">
        <w:rPr>
          <w:rFonts w:ascii="Verdana" w:eastAsiaTheme="minorHAnsi" w:hAnsi="Verdana" w:cs="Cambria"/>
          <w:sz w:val="20"/>
          <w:szCs w:val="20"/>
          <w:lang w:val="pt-BR"/>
        </w:rPr>
        <w:t xml:space="preserve">as </w:t>
      </w:r>
      <w:r w:rsidR="00F6454B" w:rsidRPr="00C40BD9">
        <w:rPr>
          <w:rFonts w:ascii="Verdana" w:eastAsiaTheme="minorHAnsi" w:hAnsi="Verdana" w:cs="Cambria"/>
          <w:sz w:val="20"/>
          <w:szCs w:val="20"/>
          <w:lang w:val="pt-BR"/>
        </w:rPr>
        <w:t>tr</w:t>
      </w:r>
      <w:r w:rsidR="00084B13" w:rsidRPr="00C40BD9">
        <w:rPr>
          <w:rFonts w:ascii="Verdana" w:eastAsiaTheme="minorHAnsi" w:hAnsi="Verdana" w:cs="Cambria"/>
          <w:sz w:val="20"/>
          <w:szCs w:val="20"/>
          <w:lang w:val="pt-BR"/>
        </w:rPr>
        <w:t>ê</w:t>
      </w:r>
      <w:r w:rsidR="00F6454B" w:rsidRPr="00C40BD9">
        <w:rPr>
          <w:rFonts w:ascii="Verdana" w:eastAsiaTheme="minorHAnsi" w:hAnsi="Verdana" w:cs="Cambria"/>
          <w:sz w:val="20"/>
          <w:szCs w:val="20"/>
          <w:lang w:val="pt-BR"/>
        </w:rPr>
        <w:t xml:space="preserve">s </w:t>
      </w:r>
      <w:r w:rsidR="00C06A9B" w:rsidRPr="00C40BD9">
        <w:rPr>
          <w:rFonts w:ascii="Verdana" w:eastAsiaTheme="minorHAnsi" w:hAnsi="Verdana" w:cs="Cambria"/>
          <w:sz w:val="20"/>
          <w:szCs w:val="20"/>
          <w:lang w:val="pt-BR"/>
        </w:rPr>
        <w:t>vítimas</w:t>
      </w:r>
      <w:r w:rsidR="00F6454B" w:rsidRPr="00C40BD9">
        <w:rPr>
          <w:rFonts w:ascii="Verdana" w:eastAsiaTheme="minorHAnsi" w:hAnsi="Verdana" w:cs="Cambria"/>
          <w:sz w:val="20"/>
          <w:szCs w:val="20"/>
          <w:lang w:val="pt-BR"/>
        </w:rPr>
        <w:t xml:space="preserve">, </w:t>
      </w:r>
      <w:r w:rsidR="00F633DD" w:rsidRPr="00C40BD9">
        <w:rPr>
          <w:rFonts w:ascii="Verdana" w:eastAsiaTheme="minorHAnsi" w:hAnsi="Verdana" w:cs="Cambria"/>
          <w:sz w:val="20"/>
          <w:szCs w:val="20"/>
          <w:lang w:val="pt-BR"/>
        </w:rPr>
        <w:t>e</w:t>
      </w:r>
      <w:r w:rsidR="007E644F">
        <w:rPr>
          <w:rFonts w:ascii="Verdana" w:eastAsiaTheme="minorHAnsi" w:hAnsi="Verdana" w:cs="Cambria"/>
          <w:sz w:val="20"/>
          <w:szCs w:val="20"/>
          <w:lang w:val="pt-BR"/>
        </w:rPr>
        <w:t>,</w:t>
      </w:r>
      <w:r w:rsidR="00DE316A">
        <w:rPr>
          <w:rFonts w:ascii="Verdana" w:eastAsiaTheme="minorHAnsi" w:hAnsi="Verdana" w:cs="Cambria"/>
          <w:sz w:val="20"/>
          <w:szCs w:val="20"/>
          <w:lang w:val="pt-BR"/>
        </w:rPr>
        <w:t xml:space="preserve"> </w:t>
      </w:r>
      <w:r w:rsidR="00084B13" w:rsidRPr="00C40BD9">
        <w:rPr>
          <w:rFonts w:ascii="Verdana" w:eastAsiaTheme="minorHAnsi" w:hAnsi="Verdana" w:cs="Cambria"/>
          <w:sz w:val="20"/>
          <w:szCs w:val="20"/>
          <w:lang w:val="pt-BR"/>
        </w:rPr>
        <w:t>com isso</w:t>
      </w:r>
      <w:r w:rsidR="007E644F">
        <w:rPr>
          <w:rFonts w:ascii="Verdana" w:eastAsiaTheme="minorHAnsi" w:hAnsi="Verdana" w:cs="Cambria"/>
          <w:sz w:val="20"/>
          <w:szCs w:val="20"/>
          <w:lang w:val="pt-BR"/>
        </w:rPr>
        <w:t>,</w:t>
      </w:r>
      <w:r w:rsidR="00084B13" w:rsidRPr="00C40BD9">
        <w:rPr>
          <w:rFonts w:ascii="Verdana" w:eastAsiaTheme="minorHAnsi" w:hAnsi="Verdana" w:cs="Cambria"/>
          <w:sz w:val="20"/>
          <w:szCs w:val="20"/>
          <w:lang w:val="pt-BR"/>
        </w:rPr>
        <w:t xml:space="preserve"> </w:t>
      </w:r>
      <w:r w:rsidR="00F6454B" w:rsidRPr="00C40BD9">
        <w:rPr>
          <w:rFonts w:ascii="Verdana" w:eastAsiaTheme="minorHAnsi" w:hAnsi="Verdana" w:cs="Cambria"/>
          <w:sz w:val="20"/>
          <w:szCs w:val="20"/>
          <w:lang w:val="pt-BR"/>
        </w:rPr>
        <w:t>viola</w:t>
      </w:r>
      <w:r w:rsidR="00F633DD" w:rsidRPr="00C40BD9">
        <w:rPr>
          <w:rFonts w:ascii="Verdana" w:eastAsiaTheme="minorHAnsi" w:hAnsi="Verdana" w:cs="Cambria"/>
          <w:sz w:val="20"/>
          <w:szCs w:val="20"/>
          <w:lang w:val="pt-BR"/>
        </w:rPr>
        <w:t>ções</w:t>
      </w:r>
      <w:r w:rsidR="00F6454B" w:rsidRPr="00C40BD9">
        <w:rPr>
          <w:rFonts w:ascii="Verdana" w:eastAsiaTheme="minorHAnsi" w:hAnsi="Verdana" w:cs="Cambria"/>
          <w:sz w:val="20"/>
          <w:szCs w:val="20"/>
          <w:lang w:val="pt-BR"/>
        </w:rPr>
        <w:t xml:space="preserve"> </w:t>
      </w:r>
      <w:r w:rsidR="00084B13" w:rsidRPr="00C40BD9">
        <w:rPr>
          <w:rFonts w:ascii="Verdana" w:eastAsiaTheme="minorHAnsi" w:hAnsi="Verdana" w:cs="Cambria"/>
          <w:sz w:val="20"/>
          <w:szCs w:val="20"/>
          <w:lang w:val="pt-BR"/>
        </w:rPr>
        <w:t>d</w:t>
      </w:r>
      <w:r w:rsidR="00C06A9B" w:rsidRPr="00C40BD9">
        <w:rPr>
          <w:rFonts w:ascii="Verdana" w:eastAsiaTheme="minorHAnsi" w:hAnsi="Verdana" w:cs="Cambria"/>
          <w:sz w:val="20"/>
          <w:szCs w:val="20"/>
          <w:lang w:val="pt-BR"/>
        </w:rPr>
        <w:t xml:space="preserve">os artigos </w:t>
      </w:r>
      <w:r w:rsidR="00F6454B" w:rsidRPr="00C40BD9">
        <w:rPr>
          <w:rFonts w:ascii="Verdana" w:eastAsiaTheme="minorHAnsi" w:hAnsi="Verdana" w:cs="Cambria"/>
          <w:sz w:val="20"/>
          <w:szCs w:val="20"/>
          <w:lang w:val="pt-BR"/>
        </w:rPr>
        <w:t xml:space="preserve">8.1 </w:t>
      </w:r>
      <w:r w:rsidR="00F633DD" w:rsidRPr="00C40BD9">
        <w:rPr>
          <w:rFonts w:ascii="Verdana" w:eastAsiaTheme="minorHAnsi" w:hAnsi="Verdana" w:cs="Cambria"/>
          <w:sz w:val="20"/>
          <w:szCs w:val="20"/>
          <w:lang w:val="pt-BR"/>
        </w:rPr>
        <w:t xml:space="preserve">da </w:t>
      </w:r>
      <w:r w:rsidR="00F6454B" w:rsidRPr="00C40BD9">
        <w:rPr>
          <w:rFonts w:ascii="Verdana" w:eastAsiaTheme="minorHAnsi" w:hAnsi="Verdana" w:cs="Cambria"/>
          <w:sz w:val="20"/>
          <w:szCs w:val="20"/>
          <w:lang w:val="pt-BR"/>
        </w:rPr>
        <w:t>Conven</w:t>
      </w:r>
      <w:r w:rsidR="00F633DD" w:rsidRPr="00C40BD9">
        <w:rPr>
          <w:rFonts w:ascii="Verdana" w:eastAsiaTheme="minorHAnsi" w:hAnsi="Verdana" w:cs="Cambria"/>
          <w:sz w:val="20"/>
          <w:szCs w:val="20"/>
          <w:lang w:val="pt-BR"/>
        </w:rPr>
        <w:t>ção</w:t>
      </w:r>
      <w:r w:rsidR="00F6454B" w:rsidRPr="00C40BD9">
        <w:rPr>
          <w:rFonts w:ascii="Verdana" w:eastAsiaTheme="minorHAnsi" w:hAnsi="Verdana" w:cs="Cambria"/>
          <w:sz w:val="20"/>
          <w:szCs w:val="20"/>
          <w:lang w:val="pt-BR"/>
        </w:rPr>
        <w:t xml:space="preserve"> e</w:t>
      </w:r>
      <w:r w:rsidR="00084B13" w:rsidRPr="00C40BD9">
        <w:rPr>
          <w:rFonts w:ascii="Verdana" w:eastAsiaTheme="minorHAnsi" w:hAnsi="Verdana" w:cs="Cambria"/>
          <w:sz w:val="20"/>
          <w:szCs w:val="20"/>
          <w:lang w:val="pt-BR"/>
        </w:rPr>
        <w:t xml:space="preserve">m </w:t>
      </w:r>
      <w:r w:rsidR="00F6454B" w:rsidRPr="00C40BD9">
        <w:rPr>
          <w:rFonts w:ascii="Verdana" w:eastAsiaTheme="minorHAnsi" w:hAnsi="Verdana" w:cs="Cambria"/>
          <w:sz w:val="20"/>
          <w:szCs w:val="20"/>
          <w:lang w:val="pt-BR"/>
        </w:rPr>
        <w:t>rela</w:t>
      </w:r>
      <w:r w:rsidR="00F633DD" w:rsidRPr="00C40BD9">
        <w:rPr>
          <w:rFonts w:ascii="Verdana" w:eastAsiaTheme="minorHAnsi" w:hAnsi="Verdana" w:cs="Cambria"/>
          <w:sz w:val="20"/>
          <w:szCs w:val="20"/>
          <w:lang w:val="pt-BR"/>
        </w:rPr>
        <w:t>ção</w:t>
      </w:r>
      <w:r w:rsidR="00F6454B" w:rsidRPr="00C40BD9">
        <w:rPr>
          <w:rFonts w:ascii="Verdana" w:eastAsiaTheme="minorHAnsi" w:hAnsi="Verdana" w:cs="Cambria"/>
          <w:sz w:val="20"/>
          <w:szCs w:val="20"/>
          <w:lang w:val="pt-BR"/>
        </w:rPr>
        <w:t xml:space="preserve"> </w:t>
      </w:r>
      <w:r w:rsidR="00084B13" w:rsidRPr="00C40BD9">
        <w:rPr>
          <w:rFonts w:ascii="Verdana" w:eastAsiaTheme="minorHAnsi" w:hAnsi="Verdana" w:cs="Cambria"/>
          <w:sz w:val="20"/>
          <w:szCs w:val="20"/>
          <w:lang w:val="pt-BR"/>
        </w:rPr>
        <w:t xml:space="preserve">ao </w:t>
      </w:r>
      <w:r w:rsidR="00635878" w:rsidRPr="00C40BD9">
        <w:rPr>
          <w:rFonts w:ascii="Verdana" w:eastAsiaTheme="minorHAnsi" w:hAnsi="Verdana" w:cs="Cambria"/>
          <w:sz w:val="20"/>
          <w:szCs w:val="20"/>
          <w:lang w:val="pt-BR"/>
        </w:rPr>
        <w:t>artigo</w:t>
      </w:r>
      <w:r w:rsidR="00DE316A">
        <w:rPr>
          <w:rFonts w:ascii="Verdana" w:eastAsiaTheme="minorHAnsi" w:hAnsi="Verdana" w:cs="Cambria"/>
          <w:sz w:val="20"/>
          <w:szCs w:val="20"/>
          <w:lang w:val="pt-BR"/>
        </w:rPr>
        <w:t xml:space="preserve"> </w:t>
      </w:r>
      <w:r w:rsidR="00F6454B" w:rsidRPr="00C40BD9">
        <w:rPr>
          <w:rFonts w:ascii="Verdana" w:eastAsiaTheme="minorHAnsi" w:hAnsi="Verdana" w:cs="Cambria"/>
          <w:sz w:val="20"/>
          <w:szCs w:val="20"/>
          <w:lang w:val="pt-BR"/>
        </w:rPr>
        <w:t xml:space="preserve">1.1, </w:t>
      </w:r>
      <w:r w:rsidR="00DC5BE7" w:rsidRPr="00C40BD9">
        <w:rPr>
          <w:rFonts w:ascii="Verdana" w:eastAsiaTheme="minorHAnsi" w:hAnsi="Verdana" w:cs="Cambria"/>
          <w:sz w:val="20"/>
          <w:szCs w:val="20"/>
          <w:lang w:val="pt-BR"/>
        </w:rPr>
        <w:t xml:space="preserve">bem como dos </w:t>
      </w:r>
      <w:r w:rsidR="00C06A9B" w:rsidRPr="00C40BD9">
        <w:rPr>
          <w:rFonts w:ascii="Verdana" w:eastAsiaTheme="minorHAnsi" w:hAnsi="Verdana" w:cs="Cambria"/>
          <w:sz w:val="20"/>
          <w:szCs w:val="20"/>
          <w:lang w:val="pt-BR"/>
        </w:rPr>
        <w:t xml:space="preserve">artigos </w:t>
      </w:r>
      <w:r w:rsidR="008275D2" w:rsidRPr="00C40BD9">
        <w:rPr>
          <w:rFonts w:ascii="Verdana" w:eastAsiaTheme="minorHAnsi" w:hAnsi="Verdana" w:cs="Cambria"/>
          <w:sz w:val="20"/>
          <w:szCs w:val="20"/>
          <w:lang w:val="pt-BR"/>
        </w:rPr>
        <w:t xml:space="preserve">1, 6 </w:t>
      </w:r>
      <w:r w:rsidR="00F633DD" w:rsidRPr="00C40BD9">
        <w:rPr>
          <w:rFonts w:ascii="Verdana" w:eastAsiaTheme="minorHAnsi" w:hAnsi="Verdana" w:cs="Cambria"/>
          <w:sz w:val="20"/>
          <w:szCs w:val="20"/>
          <w:lang w:val="pt-BR"/>
        </w:rPr>
        <w:t>e</w:t>
      </w:r>
      <w:r w:rsidR="00DE316A">
        <w:rPr>
          <w:rFonts w:ascii="Verdana" w:eastAsiaTheme="minorHAnsi" w:hAnsi="Verdana" w:cs="Cambria"/>
          <w:sz w:val="20"/>
          <w:szCs w:val="20"/>
          <w:lang w:val="pt-BR"/>
        </w:rPr>
        <w:t xml:space="preserve"> </w:t>
      </w:r>
      <w:r w:rsidR="008275D2" w:rsidRPr="00C40BD9">
        <w:rPr>
          <w:rFonts w:ascii="Verdana" w:eastAsiaTheme="minorHAnsi" w:hAnsi="Verdana" w:cs="Cambria"/>
          <w:sz w:val="20"/>
          <w:szCs w:val="20"/>
          <w:lang w:val="pt-BR"/>
        </w:rPr>
        <w:t xml:space="preserve">8 </w:t>
      </w:r>
      <w:r w:rsidR="00F633DD" w:rsidRPr="00C40BD9">
        <w:rPr>
          <w:rFonts w:ascii="Verdana" w:eastAsiaTheme="minorHAnsi" w:hAnsi="Verdana" w:cs="Cambria"/>
          <w:sz w:val="20"/>
          <w:szCs w:val="20"/>
          <w:lang w:val="pt-BR"/>
        </w:rPr>
        <w:t xml:space="preserve">da </w:t>
      </w:r>
      <w:r w:rsidR="00F6454B" w:rsidRPr="00C40BD9">
        <w:rPr>
          <w:rFonts w:ascii="Verdana" w:eastAsiaTheme="minorHAnsi" w:hAnsi="Verdana" w:cs="Cambria"/>
          <w:sz w:val="20"/>
          <w:szCs w:val="20"/>
          <w:lang w:val="pt-BR"/>
        </w:rPr>
        <w:t xml:space="preserve">CIPST </w:t>
      </w:r>
      <w:r w:rsidR="00F633DD" w:rsidRPr="00C40BD9">
        <w:rPr>
          <w:rFonts w:ascii="Verdana" w:eastAsiaTheme="minorHAnsi" w:hAnsi="Verdana" w:cs="Cambria"/>
          <w:sz w:val="20"/>
          <w:szCs w:val="20"/>
          <w:lang w:val="pt-BR"/>
        </w:rPr>
        <w:t>e</w:t>
      </w:r>
      <w:r w:rsidR="00DE316A">
        <w:rPr>
          <w:rFonts w:ascii="Verdana" w:eastAsiaTheme="minorHAnsi" w:hAnsi="Verdana" w:cs="Cambria"/>
          <w:sz w:val="20"/>
          <w:szCs w:val="20"/>
          <w:lang w:val="pt-BR"/>
        </w:rPr>
        <w:t xml:space="preserve"> </w:t>
      </w:r>
      <w:r w:rsidR="00DC5BE7" w:rsidRPr="00C40BD9">
        <w:rPr>
          <w:rFonts w:ascii="Verdana" w:eastAsiaTheme="minorHAnsi" w:hAnsi="Verdana" w:cs="Cambria"/>
          <w:sz w:val="20"/>
          <w:szCs w:val="20"/>
          <w:lang w:val="pt-BR"/>
        </w:rPr>
        <w:t>d</w:t>
      </w:r>
      <w:r w:rsidR="00F633DD" w:rsidRPr="00C40BD9">
        <w:rPr>
          <w:rFonts w:ascii="Verdana" w:eastAsiaTheme="minorHAnsi" w:hAnsi="Verdana" w:cs="Cambria"/>
          <w:sz w:val="20"/>
          <w:szCs w:val="20"/>
          <w:lang w:val="pt-BR"/>
        </w:rPr>
        <w:t xml:space="preserve">o artigo </w:t>
      </w:r>
      <w:r w:rsidR="00F6454B" w:rsidRPr="00C40BD9">
        <w:rPr>
          <w:rFonts w:ascii="Verdana" w:eastAsiaTheme="minorHAnsi" w:hAnsi="Verdana" w:cs="Cambria"/>
          <w:sz w:val="20"/>
          <w:szCs w:val="20"/>
          <w:lang w:val="pt-BR"/>
        </w:rPr>
        <w:t xml:space="preserve">7 </w:t>
      </w:r>
      <w:r w:rsidR="00F633DD" w:rsidRPr="00C40BD9">
        <w:rPr>
          <w:rFonts w:ascii="Verdana" w:eastAsiaTheme="minorHAnsi" w:hAnsi="Verdana" w:cs="Cambria"/>
          <w:sz w:val="20"/>
          <w:szCs w:val="20"/>
          <w:lang w:val="pt-BR"/>
        </w:rPr>
        <w:t xml:space="preserve">da </w:t>
      </w:r>
      <w:r w:rsidR="00F6454B" w:rsidRPr="00C40BD9">
        <w:rPr>
          <w:rFonts w:ascii="Verdana" w:eastAsiaTheme="minorHAnsi" w:hAnsi="Verdana" w:cs="Cambria"/>
          <w:sz w:val="20"/>
          <w:szCs w:val="20"/>
          <w:lang w:val="pt-BR"/>
        </w:rPr>
        <w:t>Conven</w:t>
      </w:r>
      <w:r w:rsidR="00F633DD" w:rsidRPr="00C40BD9">
        <w:rPr>
          <w:rFonts w:ascii="Verdana" w:eastAsiaTheme="minorHAnsi" w:hAnsi="Verdana" w:cs="Cambria"/>
          <w:sz w:val="20"/>
          <w:szCs w:val="20"/>
          <w:lang w:val="pt-BR"/>
        </w:rPr>
        <w:t>ção</w:t>
      </w:r>
      <w:r w:rsidR="00F6454B" w:rsidRPr="00C40BD9">
        <w:rPr>
          <w:rFonts w:ascii="Verdana" w:eastAsiaTheme="minorHAnsi" w:hAnsi="Verdana" w:cs="Cambria"/>
          <w:sz w:val="20"/>
          <w:szCs w:val="20"/>
          <w:lang w:val="pt-BR"/>
        </w:rPr>
        <w:t xml:space="preserve"> de Belém do Pará. Para a </w:t>
      </w:r>
      <w:r w:rsidR="00C06A9B" w:rsidRPr="00C40BD9">
        <w:rPr>
          <w:rFonts w:ascii="Verdana" w:eastAsiaTheme="minorHAnsi" w:hAnsi="Verdana" w:cs="Cambria"/>
          <w:sz w:val="20"/>
          <w:szCs w:val="20"/>
          <w:lang w:val="pt-BR"/>
        </w:rPr>
        <w:t>Comissão</w:t>
      </w:r>
      <w:r w:rsidR="00F6454B" w:rsidRPr="00C40BD9">
        <w:rPr>
          <w:rFonts w:ascii="Verdana" w:eastAsiaTheme="minorHAnsi" w:hAnsi="Verdana" w:cs="Cambria"/>
          <w:sz w:val="20"/>
          <w:szCs w:val="20"/>
          <w:lang w:val="pt-BR"/>
        </w:rPr>
        <w:t xml:space="preserve">, de </w:t>
      </w:r>
      <w:r w:rsidR="006770ED" w:rsidRPr="00C40BD9">
        <w:rPr>
          <w:rFonts w:ascii="Verdana" w:eastAsiaTheme="minorHAnsi" w:hAnsi="Verdana" w:cs="Cambria"/>
          <w:sz w:val="20"/>
          <w:szCs w:val="20"/>
          <w:lang w:val="pt-BR"/>
        </w:rPr>
        <w:t>uma</w:t>
      </w:r>
      <w:r w:rsidR="00DE316A">
        <w:rPr>
          <w:rFonts w:ascii="Verdana" w:eastAsiaTheme="minorHAnsi" w:hAnsi="Verdana" w:cs="Cambria"/>
          <w:sz w:val="20"/>
          <w:szCs w:val="20"/>
          <w:lang w:val="pt-BR"/>
        </w:rPr>
        <w:t xml:space="preserve"> </w:t>
      </w:r>
      <w:r w:rsidR="00F6454B" w:rsidRPr="00C40BD9">
        <w:rPr>
          <w:rFonts w:ascii="Verdana" w:eastAsiaTheme="minorHAnsi" w:hAnsi="Verdana" w:cs="Cambria"/>
          <w:sz w:val="20"/>
          <w:szCs w:val="20"/>
          <w:lang w:val="pt-BR"/>
        </w:rPr>
        <w:t>le</w:t>
      </w:r>
      <w:r w:rsidR="00DC5BE7" w:rsidRPr="00C40BD9">
        <w:rPr>
          <w:rFonts w:ascii="Verdana" w:eastAsiaTheme="minorHAnsi" w:hAnsi="Verdana" w:cs="Cambria"/>
          <w:sz w:val="20"/>
          <w:szCs w:val="20"/>
          <w:lang w:val="pt-BR"/>
        </w:rPr>
        <w:t>i</w:t>
      </w:r>
      <w:r w:rsidR="00F6454B" w:rsidRPr="00C40BD9">
        <w:rPr>
          <w:rFonts w:ascii="Verdana" w:eastAsiaTheme="minorHAnsi" w:hAnsi="Verdana" w:cs="Cambria"/>
          <w:sz w:val="20"/>
          <w:szCs w:val="20"/>
          <w:lang w:val="pt-BR"/>
        </w:rPr>
        <w:t>tura integral d</w:t>
      </w:r>
      <w:r w:rsidR="00DC5BE7" w:rsidRPr="00C40BD9">
        <w:rPr>
          <w:rFonts w:ascii="Verdana" w:eastAsiaTheme="minorHAnsi" w:hAnsi="Verdana" w:cs="Cambria"/>
          <w:sz w:val="20"/>
          <w:szCs w:val="20"/>
          <w:lang w:val="pt-BR"/>
        </w:rPr>
        <w:t>a sentença</w:t>
      </w:r>
      <w:r w:rsidR="00F6454B" w:rsidRPr="00C40BD9">
        <w:rPr>
          <w:rFonts w:ascii="Verdana" w:eastAsiaTheme="minorHAnsi" w:hAnsi="Verdana" w:cs="Cambria"/>
          <w:sz w:val="20"/>
          <w:szCs w:val="20"/>
          <w:lang w:val="pt-BR"/>
        </w:rPr>
        <w:t>, entende</w:t>
      </w:r>
      <w:r w:rsidR="005C28D2">
        <w:rPr>
          <w:rFonts w:ascii="Verdana" w:eastAsiaTheme="minorHAnsi" w:hAnsi="Verdana" w:cs="Cambria"/>
          <w:sz w:val="20"/>
          <w:szCs w:val="20"/>
          <w:lang w:val="pt-BR"/>
        </w:rPr>
        <w:t>-se</w:t>
      </w:r>
      <w:r w:rsidR="00F6454B" w:rsidRPr="00C40BD9">
        <w:rPr>
          <w:rFonts w:ascii="Verdana" w:eastAsiaTheme="minorHAnsi" w:hAnsi="Verdana" w:cs="Cambria"/>
          <w:sz w:val="20"/>
          <w:szCs w:val="20"/>
          <w:lang w:val="pt-BR"/>
        </w:rPr>
        <w:t xml:space="preserve"> que </w:t>
      </w:r>
      <w:r w:rsidR="00DC5BE7" w:rsidRPr="00C40BD9">
        <w:rPr>
          <w:rFonts w:ascii="Verdana" w:eastAsiaTheme="minorHAnsi" w:hAnsi="Verdana" w:cs="Cambria"/>
          <w:sz w:val="20"/>
          <w:szCs w:val="20"/>
          <w:lang w:val="pt-BR"/>
        </w:rPr>
        <w:t xml:space="preserve">esses atos se encontram </w:t>
      </w:r>
      <w:r w:rsidR="00F6454B" w:rsidRPr="00C40BD9">
        <w:rPr>
          <w:rFonts w:ascii="Verdana" w:eastAsiaTheme="minorHAnsi" w:hAnsi="Verdana" w:cs="Cambria"/>
          <w:sz w:val="20"/>
          <w:szCs w:val="20"/>
          <w:lang w:val="pt-BR"/>
        </w:rPr>
        <w:t xml:space="preserve">dentro </w:t>
      </w:r>
      <w:r w:rsidR="00C06A9B" w:rsidRPr="00C40BD9">
        <w:rPr>
          <w:rFonts w:ascii="Verdana" w:eastAsiaTheme="minorHAnsi" w:hAnsi="Verdana" w:cs="Cambria"/>
          <w:sz w:val="20"/>
          <w:szCs w:val="20"/>
          <w:lang w:val="pt-BR"/>
        </w:rPr>
        <w:t xml:space="preserve">dos </w:t>
      </w:r>
      <w:r w:rsidR="00F6454B" w:rsidRPr="00C40BD9">
        <w:rPr>
          <w:rFonts w:ascii="Verdana" w:eastAsiaTheme="minorHAnsi" w:hAnsi="Verdana" w:cs="Cambria"/>
          <w:sz w:val="20"/>
          <w:szCs w:val="20"/>
          <w:lang w:val="pt-BR"/>
        </w:rPr>
        <w:t>par</w:t>
      </w:r>
      <w:r w:rsidR="00DC5BE7" w:rsidRPr="00C40BD9">
        <w:rPr>
          <w:rFonts w:ascii="Verdana" w:eastAsiaTheme="minorHAnsi" w:hAnsi="Verdana" w:cs="Cambria"/>
          <w:sz w:val="20"/>
          <w:szCs w:val="20"/>
          <w:lang w:val="pt-BR"/>
        </w:rPr>
        <w:t>â</w:t>
      </w:r>
      <w:r w:rsidR="00F6454B" w:rsidRPr="00C40BD9">
        <w:rPr>
          <w:rFonts w:ascii="Verdana" w:eastAsiaTheme="minorHAnsi" w:hAnsi="Verdana" w:cs="Cambria"/>
          <w:sz w:val="20"/>
          <w:szCs w:val="20"/>
          <w:lang w:val="pt-BR"/>
        </w:rPr>
        <w:t xml:space="preserve">metros </w:t>
      </w:r>
      <w:r w:rsidR="00DC5BE7" w:rsidRPr="00C40BD9">
        <w:rPr>
          <w:rFonts w:ascii="Verdana" w:eastAsiaTheme="minorHAnsi" w:hAnsi="Verdana" w:cs="Cambria"/>
          <w:sz w:val="20"/>
          <w:szCs w:val="20"/>
          <w:lang w:val="pt-BR"/>
        </w:rPr>
        <w:t xml:space="preserve">definidos pela </w:t>
      </w:r>
      <w:r w:rsidR="00036A1B" w:rsidRPr="00C40BD9">
        <w:rPr>
          <w:rFonts w:ascii="Verdana" w:eastAsiaTheme="minorHAnsi" w:hAnsi="Verdana" w:cs="Cambria"/>
          <w:sz w:val="20"/>
          <w:szCs w:val="20"/>
          <w:lang w:val="pt-BR"/>
        </w:rPr>
        <w:t xml:space="preserve">Corte </w:t>
      </w:r>
      <w:r w:rsidR="00F6454B" w:rsidRPr="00C40BD9">
        <w:rPr>
          <w:rFonts w:ascii="Verdana" w:eastAsiaTheme="minorHAnsi" w:hAnsi="Verdana" w:cs="Cambria"/>
          <w:sz w:val="20"/>
          <w:szCs w:val="20"/>
          <w:lang w:val="pt-BR"/>
        </w:rPr>
        <w:t>e</w:t>
      </w:r>
      <w:r w:rsidR="00DC5BE7" w:rsidRPr="00C40BD9">
        <w:rPr>
          <w:rFonts w:ascii="Verdana" w:eastAsiaTheme="minorHAnsi" w:hAnsi="Verdana" w:cs="Cambria"/>
          <w:sz w:val="20"/>
          <w:szCs w:val="20"/>
          <w:lang w:val="pt-BR"/>
        </w:rPr>
        <w:t xml:space="preserve">m sua </w:t>
      </w:r>
      <w:r w:rsidR="00F633DD" w:rsidRPr="00C40BD9">
        <w:rPr>
          <w:rFonts w:ascii="Verdana" w:eastAsiaTheme="minorHAnsi" w:hAnsi="Verdana" w:cs="Cambria"/>
          <w:sz w:val="20"/>
          <w:szCs w:val="20"/>
          <w:lang w:val="pt-BR"/>
        </w:rPr>
        <w:t>Sentença</w:t>
      </w:r>
      <w:r w:rsidR="00F6454B" w:rsidRPr="00C40BD9">
        <w:rPr>
          <w:rFonts w:ascii="Verdana" w:eastAsiaTheme="minorHAnsi" w:hAnsi="Verdana" w:cs="Cambria"/>
          <w:sz w:val="20"/>
          <w:szCs w:val="20"/>
          <w:lang w:val="pt-BR"/>
        </w:rPr>
        <w:t>, espec</w:t>
      </w:r>
      <w:r w:rsidR="00DC5BE7" w:rsidRPr="00C40BD9">
        <w:rPr>
          <w:rFonts w:ascii="Verdana" w:eastAsiaTheme="minorHAnsi" w:hAnsi="Verdana" w:cs="Cambria"/>
          <w:sz w:val="20"/>
          <w:szCs w:val="20"/>
          <w:lang w:val="pt-BR"/>
        </w:rPr>
        <w:t>i</w:t>
      </w:r>
      <w:r w:rsidR="00F6454B" w:rsidRPr="00C40BD9">
        <w:rPr>
          <w:rFonts w:ascii="Verdana" w:eastAsiaTheme="minorHAnsi" w:hAnsi="Verdana" w:cs="Cambria"/>
          <w:sz w:val="20"/>
          <w:szCs w:val="20"/>
          <w:lang w:val="pt-BR"/>
        </w:rPr>
        <w:t xml:space="preserve">ficamente </w:t>
      </w:r>
      <w:r w:rsidR="00DC5BE7" w:rsidRPr="00C40BD9">
        <w:rPr>
          <w:rFonts w:ascii="Verdana" w:eastAsiaTheme="minorHAnsi" w:hAnsi="Verdana" w:cs="Cambria"/>
          <w:sz w:val="20"/>
          <w:szCs w:val="20"/>
          <w:lang w:val="pt-BR"/>
        </w:rPr>
        <w:t xml:space="preserve">no </w:t>
      </w:r>
      <w:r w:rsidR="00C06A9B" w:rsidRPr="00C40BD9">
        <w:rPr>
          <w:rFonts w:ascii="Verdana" w:eastAsiaTheme="minorHAnsi" w:hAnsi="Verdana" w:cs="Cambria"/>
          <w:sz w:val="20"/>
          <w:szCs w:val="20"/>
          <w:lang w:val="pt-BR"/>
        </w:rPr>
        <w:t>parágrafo</w:t>
      </w:r>
      <w:r w:rsidR="00DE316A">
        <w:rPr>
          <w:rFonts w:ascii="Verdana" w:eastAsiaTheme="minorHAnsi" w:hAnsi="Verdana" w:cs="Cambria"/>
          <w:sz w:val="20"/>
          <w:szCs w:val="20"/>
          <w:lang w:val="pt-BR"/>
        </w:rPr>
        <w:t xml:space="preserve"> </w:t>
      </w:r>
      <w:r w:rsidR="00F6454B" w:rsidRPr="00C40BD9">
        <w:rPr>
          <w:rFonts w:ascii="Verdana" w:eastAsiaTheme="minorHAnsi" w:hAnsi="Verdana" w:cs="Cambria"/>
          <w:sz w:val="20"/>
          <w:szCs w:val="20"/>
          <w:lang w:val="pt-BR"/>
        </w:rPr>
        <w:t>292</w:t>
      </w:r>
      <w:r w:rsidR="00DC5BE7" w:rsidRPr="00C40BD9">
        <w:rPr>
          <w:rFonts w:ascii="Verdana" w:eastAsiaTheme="minorHAnsi" w:hAnsi="Verdana" w:cs="Cambria"/>
          <w:sz w:val="20"/>
          <w:szCs w:val="20"/>
          <w:lang w:val="pt-BR"/>
        </w:rPr>
        <w:t>,</w:t>
      </w:r>
      <w:r w:rsidR="00F6454B" w:rsidRPr="00C40BD9">
        <w:rPr>
          <w:rFonts w:ascii="Verdana" w:eastAsiaTheme="minorHAnsi" w:hAnsi="Verdana" w:cs="Cambria"/>
          <w:sz w:val="20"/>
          <w:szCs w:val="20"/>
          <w:lang w:val="pt-BR"/>
        </w:rPr>
        <w:t xml:space="preserve"> sobre a </w:t>
      </w:r>
      <w:r w:rsidR="00DC5BE7" w:rsidRPr="00C40BD9">
        <w:rPr>
          <w:rFonts w:ascii="Verdana" w:eastAsiaTheme="minorHAnsi" w:hAnsi="Verdana" w:cs="Cambria"/>
          <w:sz w:val="20"/>
          <w:szCs w:val="20"/>
          <w:lang w:val="pt-BR"/>
        </w:rPr>
        <w:t xml:space="preserve">maneira como o </w:t>
      </w:r>
      <w:r w:rsidR="00F6454B" w:rsidRPr="00C40BD9">
        <w:rPr>
          <w:rFonts w:ascii="Verdana" w:eastAsiaTheme="minorHAnsi" w:hAnsi="Verdana" w:cs="Cambria"/>
          <w:sz w:val="20"/>
          <w:szCs w:val="20"/>
          <w:lang w:val="pt-BR"/>
        </w:rPr>
        <w:t xml:space="preserve">Estado </w:t>
      </w:r>
      <w:r w:rsidR="006770ED" w:rsidRPr="00C40BD9">
        <w:rPr>
          <w:rFonts w:ascii="Verdana" w:eastAsiaTheme="minorHAnsi" w:hAnsi="Verdana" w:cs="Cambria"/>
          <w:sz w:val="20"/>
          <w:szCs w:val="20"/>
          <w:lang w:val="pt-BR"/>
        </w:rPr>
        <w:t>deve</w:t>
      </w:r>
      <w:r w:rsidR="00DE316A">
        <w:rPr>
          <w:rFonts w:ascii="Verdana" w:eastAsiaTheme="minorHAnsi" w:hAnsi="Verdana" w:cs="Cambria"/>
          <w:sz w:val="20"/>
          <w:szCs w:val="20"/>
          <w:lang w:val="pt-BR"/>
        </w:rPr>
        <w:t xml:space="preserve"> </w:t>
      </w:r>
      <w:r w:rsidR="00F6454B" w:rsidRPr="00C40BD9">
        <w:rPr>
          <w:rFonts w:ascii="Verdana" w:eastAsiaTheme="minorHAnsi" w:hAnsi="Verdana" w:cs="Cambria"/>
          <w:sz w:val="20"/>
          <w:szCs w:val="20"/>
          <w:lang w:val="pt-BR"/>
        </w:rPr>
        <w:t>condu</w:t>
      </w:r>
      <w:r w:rsidR="00DC5BE7" w:rsidRPr="00C40BD9">
        <w:rPr>
          <w:rFonts w:ascii="Verdana" w:eastAsiaTheme="minorHAnsi" w:hAnsi="Verdana" w:cs="Cambria"/>
          <w:sz w:val="20"/>
          <w:szCs w:val="20"/>
          <w:lang w:val="pt-BR"/>
        </w:rPr>
        <w:t>z</w:t>
      </w:r>
      <w:r w:rsidR="00F6454B" w:rsidRPr="00C40BD9">
        <w:rPr>
          <w:rFonts w:ascii="Verdana" w:eastAsiaTheme="minorHAnsi" w:hAnsi="Verdana" w:cs="Cambria"/>
          <w:sz w:val="20"/>
          <w:szCs w:val="20"/>
          <w:lang w:val="pt-BR"/>
        </w:rPr>
        <w:t>ir as investiga</w:t>
      </w:r>
      <w:r w:rsidR="00F633DD" w:rsidRPr="00C40BD9">
        <w:rPr>
          <w:rFonts w:ascii="Verdana" w:eastAsiaTheme="minorHAnsi" w:hAnsi="Verdana" w:cs="Cambria"/>
          <w:sz w:val="20"/>
          <w:szCs w:val="20"/>
          <w:lang w:val="pt-BR"/>
        </w:rPr>
        <w:t>ções</w:t>
      </w:r>
      <w:r w:rsidR="00F6454B" w:rsidRPr="00C40BD9">
        <w:rPr>
          <w:rFonts w:ascii="Verdana" w:eastAsiaTheme="minorHAnsi" w:hAnsi="Verdana" w:cs="Cambria"/>
          <w:sz w:val="20"/>
          <w:szCs w:val="20"/>
          <w:lang w:val="pt-BR"/>
        </w:rPr>
        <w:t xml:space="preserve"> </w:t>
      </w:r>
      <w:r w:rsidR="00C06A9B" w:rsidRPr="00C40BD9">
        <w:rPr>
          <w:rFonts w:ascii="Verdana" w:eastAsiaTheme="minorHAnsi" w:hAnsi="Verdana" w:cs="Cambria"/>
          <w:sz w:val="20"/>
          <w:szCs w:val="20"/>
          <w:lang w:val="pt-BR"/>
        </w:rPr>
        <w:t xml:space="preserve">das </w:t>
      </w:r>
      <w:r w:rsidR="00F6454B" w:rsidRPr="00C40BD9">
        <w:rPr>
          <w:rFonts w:ascii="Verdana" w:eastAsiaTheme="minorHAnsi" w:hAnsi="Verdana" w:cs="Cambria"/>
          <w:sz w:val="20"/>
          <w:szCs w:val="20"/>
          <w:lang w:val="pt-BR"/>
        </w:rPr>
        <w:t>viola</w:t>
      </w:r>
      <w:r w:rsidR="00F633DD" w:rsidRPr="00C40BD9">
        <w:rPr>
          <w:rFonts w:ascii="Verdana" w:eastAsiaTheme="minorHAnsi" w:hAnsi="Verdana" w:cs="Cambria"/>
          <w:sz w:val="20"/>
          <w:szCs w:val="20"/>
          <w:lang w:val="pt-BR"/>
        </w:rPr>
        <w:t>ções</w:t>
      </w:r>
      <w:r w:rsidR="00F6454B" w:rsidRPr="00C40BD9">
        <w:rPr>
          <w:rFonts w:ascii="Verdana" w:eastAsiaTheme="minorHAnsi" w:hAnsi="Verdana" w:cs="Cambria"/>
          <w:sz w:val="20"/>
          <w:szCs w:val="20"/>
          <w:lang w:val="pt-BR"/>
        </w:rPr>
        <w:t xml:space="preserve"> cometidas. </w:t>
      </w:r>
      <w:r w:rsidR="00DC5BE7" w:rsidRPr="00C40BD9">
        <w:rPr>
          <w:rFonts w:ascii="Verdana" w:eastAsiaTheme="minorHAnsi" w:hAnsi="Verdana" w:cs="Cambria"/>
          <w:sz w:val="20"/>
          <w:szCs w:val="20"/>
          <w:lang w:val="pt-BR"/>
        </w:rPr>
        <w:t xml:space="preserve">À </w:t>
      </w:r>
      <w:r w:rsidR="00F6454B" w:rsidRPr="00C40BD9">
        <w:rPr>
          <w:rFonts w:ascii="Verdana" w:eastAsiaTheme="minorHAnsi" w:hAnsi="Verdana" w:cs="Cambria"/>
          <w:sz w:val="20"/>
          <w:szCs w:val="20"/>
          <w:lang w:val="pt-BR"/>
        </w:rPr>
        <w:t xml:space="preserve">luz </w:t>
      </w:r>
      <w:r w:rsidR="00F633DD" w:rsidRPr="00C40BD9">
        <w:rPr>
          <w:rFonts w:ascii="Verdana" w:eastAsiaTheme="minorHAnsi" w:hAnsi="Verdana" w:cs="Cambria"/>
          <w:sz w:val="20"/>
          <w:szCs w:val="20"/>
          <w:lang w:val="pt-BR"/>
        </w:rPr>
        <w:t xml:space="preserve">da </w:t>
      </w:r>
      <w:r w:rsidR="00970B13" w:rsidRPr="00C40BD9">
        <w:rPr>
          <w:rFonts w:ascii="Verdana" w:eastAsiaTheme="minorHAnsi" w:hAnsi="Verdana" w:cs="Cambria"/>
          <w:sz w:val="20"/>
          <w:szCs w:val="20"/>
          <w:lang w:val="pt-BR"/>
        </w:rPr>
        <w:t>jurisprudência</w:t>
      </w:r>
      <w:r w:rsidR="00DE316A">
        <w:rPr>
          <w:rFonts w:ascii="Verdana" w:eastAsiaTheme="minorHAnsi" w:hAnsi="Verdana" w:cs="Cambria"/>
          <w:sz w:val="20"/>
          <w:szCs w:val="20"/>
          <w:lang w:val="pt-BR"/>
        </w:rPr>
        <w:t xml:space="preserve"> </w:t>
      </w:r>
      <w:r w:rsidR="00F6454B" w:rsidRPr="00C40BD9">
        <w:rPr>
          <w:rFonts w:ascii="Verdana" w:eastAsiaTheme="minorHAnsi" w:hAnsi="Verdana" w:cs="Cambria"/>
          <w:sz w:val="20"/>
          <w:szCs w:val="20"/>
          <w:lang w:val="pt-BR"/>
        </w:rPr>
        <w:t xml:space="preserve">interamericana, a </w:t>
      </w:r>
      <w:r w:rsidR="00C06A9B" w:rsidRPr="00C40BD9">
        <w:rPr>
          <w:rFonts w:ascii="Verdana" w:eastAsiaTheme="minorHAnsi" w:hAnsi="Verdana" w:cs="Cambria"/>
          <w:sz w:val="20"/>
          <w:szCs w:val="20"/>
          <w:lang w:val="pt-BR"/>
        </w:rPr>
        <w:t>Comissão</w:t>
      </w:r>
      <w:r w:rsidR="00DE316A">
        <w:rPr>
          <w:rFonts w:ascii="Verdana" w:eastAsiaTheme="minorHAnsi" w:hAnsi="Verdana" w:cs="Cambria"/>
          <w:sz w:val="20"/>
          <w:szCs w:val="20"/>
          <w:lang w:val="pt-BR"/>
        </w:rPr>
        <w:t xml:space="preserve"> </w:t>
      </w:r>
      <w:r w:rsidR="00DC5BE7" w:rsidRPr="00C40BD9">
        <w:rPr>
          <w:rFonts w:ascii="Verdana" w:eastAsiaTheme="minorHAnsi" w:hAnsi="Verdana" w:cs="Cambria"/>
          <w:sz w:val="20"/>
          <w:szCs w:val="20"/>
          <w:lang w:val="pt-BR"/>
        </w:rPr>
        <w:t xml:space="preserve">considerou </w:t>
      </w:r>
      <w:r w:rsidR="00F6454B" w:rsidRPr="00C40BD9">
        <w:rPr>
          <w:rFonts w:ascii="Verdana" w:eastAsiaTheme="minorHAnsi" w:hAnsi="Verdana" w:cs="Cambria"/>
          <w:sz w:val="20"/>
          <w:szCs w:val="20"/>
          <w:lang w:val="pt-BR"/>
        </w:rPr>
        <w:t xml:space="preserve">que </w:t>
      </w:r>
      <w:r w:rsidR="00DC5BE7" w:rsidRPr="00C40BD9">
        <w:rPr>
          <w:rFonts w:ascii="Verdana" w:eastAsiaTheme="minorHAnsi" w:hAnsi="Verdana" w:cs="Cambria"/>
          <w:sz w:val="20"/>
          <w:szCs w:val="20"/>
          <w:lang w:val="pt-BR"/>
        </w:rPr>
        <w:t xml:space="preserve">são esses o sentido e o alcance corretos da sentença, sem prejuízo </w:t>
      </w:r>
      <w:r w:rsidR="00F6454B" w:rsidRPr="00C40BD9">
        <w:rPr>
          <w:rFonts w:ascii="Verdana" w:eastAsiaTheme="minorHAnsi" w:hAnsi="Verdana" w:cs="Cambria"/>
          <w:sz w:val="20"/>
          <w:szCs w:val="20"/>
          <w:lang w:val="pt-BR"/>
        </w:rPr>
        <w:t xml:space="preserve">de que a </w:t>
      </w:r>
      <w:r w:rsidR="00DC5BE7" w:rsidRPr="00C40BD9">
        <w:rPr>
          <w:rFonts w:ascii="Verdana" w:eastAsiaTheme="minorHAnsi" w:hAnsi="Verdana" w:cs="Cambria"/>
          <w:sz w:val="20"/>
          <w:szCs w:val="20"/>
          <w:lang w:val="pt-BR"/>
        </w:rPr>
        <w:t xml:space="preserve">Ilustre </w:t>
      </w:r>
      <w:r w:rsidR="00F6454B" w:rsidRPr="00C40BD9">
        <w:rPr>
          <w:rFonts w:ascii="Verdana" w:eastAsiaTheme="minorHAnsi" w:hAnsi="Verdana" w:cs="Cambria"/>
          <w:sz w:val="20"/>
          <w:szCs w:val="20"/>
          <w:lang w:val="pt-BR"/>
        </w:rPr>
        <w:t>Corte considere útil ratific</w:t>
      </w:r>
      <w:r w:rsidR="00DC5BE7" w:rsidRPr="00C40BD9">
        <w:rPr>
          <w:rFonts w:ascii="Verdana" w:eastAsiaTheme="minorHAnsi" w:hAnsi="Verdana" w:cs="Cambria"/>
          <w:sz w:val="20"/>
          <w:szCs w:val="20"/>
          <w:lang w:val="pt-BR"/>
        </w:rPr>
        <w:t>á-</w:t>
      </w:r>
      <w:r w:rsidR="00F6454B" w:rsidRPr="00C40BD9">
        <w:rPr>
          <w:rFonts w:ascii="Verdana" w:eastAsiaTheme="minorHAnsi" w:hAnsi="Verdana" w:cs="Cambria"/>
          <w:sz w:val="20"/>
          <w:szCs w:val="20"/>
          <w:lang w:val="pt-BR"/>
        </w:rPr>
        <w:t>lo</w:t>
      </w:r>
      <w:r w:rsidR="007E644F">
        <w:rPr>
          <w:rFonts w:ascii="Verdana" w:eastAsiaTheme="minorHAnsi" w:hAnsi="Verdana" w:cs="Cambria"/>
          <w:sz w:val="20"/>
          <w:szCs w:val="20"/>
          <w:lang w:val="pt-BR"/>
        </w:rPr>
        <w:t>s</w:t>
      </w:r>
      <w:r w:rsidR="008275D2" w:rsidRPr="00C40BD9">
        <w:rPr>
          <w:rFonts w:ascii="Verdana" w:eastAsiaTheme="minorHAnsi" w:hAnsi="Verdana" w:cs="Cambria"/>
          <w:sz w:val="20"/>
          <w:szCs w:val="20"/>
          <w:lang w:val="pt-BR"/>
        </w:rPr>
        <w:t xml:space="preserve"> </w:t>
      </w:r>
      <w:r w:rsidR="00113ECA" w:rsidRPr="00C40BD9">
        <w:rPr>
          <w:rFonts w:ascii="Verdana" w:eastAsiaTheme="minorHAnsi" w:hAnsi="Verdana" w:cs="Cambria"/>
          <w:sz w:val="20"/>
          <w:szCs w:val="20"/>
          <w:lang w:val="pt-BR"/>
        </w:rPr>
        <w:t>e</w:t>
      </w:r>
      <w:r w:rsidR="00DC5BE7" w:rsidRPr="00C40BD9">
        <w:rPr>
          <w:rFonts w:ascii="Verdana" w:eastAsiaTheme="minorHAnsi" w:hAnsi="Verdana" w:cs="Cambria"/>
          <w:sz w:val="20"/>
          <w:szCs w:val="20"/>
          <w:lang w:val="pt-BR"/>
        </w:rPr>
        <w:t xml:space="preserve">m termos mais </w:t>
      </w:r>
      <w:r w:rsidR="00113ECA" w:rsidRPr="00C40BD9">
        <w:rPr>
          <w:rFonts w:ascii="Verdana" w:eastAsiaTheme="minorHAnsi" w:hAnsi="Verdana" w:cs="Cambria"/>
          <w:sz w:val="20"/>
          <w:szCs w:val="20"/>
          <w:lang w:val="pt-BR"/>
        </w:rPr>
        <w:t>precisos</w:t>
      </w:r>
      <w:r w:rsidR="005C28D2">
        <w:rPr>
          <w:rFonts w:ascii="Verdana" w:eastAsiaTheme="minorHAnsi" w:hAnsi="Verdana" w:cs="Cambria"/>
          <w:sz w:val="20"/>
          <w:szCs w:val="20"/>
          <w:lang w:val="pt-BR"/>
        </w:rPr>
        <w:t>.</w:t>
      </w:r>
      <w:r w:rsidR="008275D2" w:rsidRPr="00C40BD9">
        <w:rPr>
          <w:rFonts w:ascii="Verdana" w:eastAsiaTheme="minorHAnsi" w:hAnsi="Verdana" w:cs="Cambria"/>
          <w:sz w:val="20"/>
          <w:szCs w:val="20"/>
          <w:lang w:val="pt-BR"/>
        </w:rPr>
        <w:t xml:space="preserve"> </w:t>
      </w:r>
      <w:r w:rsidR="008275D2" w:rsidRPr="00C40BD9">
        <w:rPr>
          <w:rFonts w:ascii="Verdana" w:hAnsi="Verdana" w:cs="Verdana"/>
          <w:sz w:val="20"/>
          <w:szCs w:val="20"/>
          <w:lang w:val="pt-BR"/>
        </w:rPr>
        <w:t>E</w:t>
      </w:r>
      <w:r w:rsidR="00DC5BE7" w:rsidRPr="00C40BD9">
        <w:rPr>
          <w:rFonts w:ascii="Verdana" w:hAnsi="Verdana" w:cs="Verdana"/>
          <w:sz w:val="20"/>
          <w:szCs w:val="20"/>
          <w:lang w:val="pt-BR"/>
        </w:rPr>
        <w:t xml:space="preserve">m </w:t>
      </w:r>
      <w:r w:rsidR="008275D2" w:rsidRPr="00C40BD9">
        <w:rPr>
          <w:rFonts w:ascii="Verdana" w:hAnsi="Verdana" w:cs="Verdana"/>
          <w:sz w:val="20"/>
          <w:szCs w:val="20"/>
          <w:lang w:val="pt-BR"/>
        </w:rPr>
        <w:t>rela</w:t>
      </w:r>
      <w:r w:rsidR="00F633DD" w:rsidRPr="00C40BD9">
        <w:rPr>
          <w:rFonts w:ascii="Verdana" w:hAnsi="Verdana" w:cs="Verdana"/>
          <w:sz w:val="20"/>
          <w:szCs w:val="20"/>
          <w:lang w:val="pt-BR"/>
        </w:rPr>
        <w:t>ção</w:t>
      </w:r>
      <w:r w:rsidR="008275D2" w:rsidRPr="00C40BD9">
        <w:rPr>
          <w:rFonts w:ascii="Verdana" w:hAnsi="Verdana" w:cs="Verdana"/>
          <w:sz w:val="20"/>
          <w:szCs w:val="20"/>
          <w:lang w:val="pt-BR"/>
        </w:rPr>
        <w:t xml:space="preserve"> </w:t>
      </w:r>
      <w:r w:rsidR="00DC5BE7" w:rsidRPr="00C40BD9">
        <w:rPr>
          <w:rFonts w:ascii="Verdana" w:hAnsi="Verdana" w:cs="Verdana"/>
          <w:sz w:val="20"/>
          <w:szCs w:val="20"/>
          <w:lang w:val="pt-BR"/>
        </w:rPr>
        <w:t xml:space="preserve">à </w:t>
      </w:r>
      <w:r w:rsidR="00C06A9B" w:rsidRPr="00C40BD9">
        <w:rPr>
          <w:rFonts w:ascii="Verdana" w:hAnsi="Verdana" w:cs="Verdana"/>
          <w:sz w:val="20"/>
          <w:szCs w:val="20"/>
          <w:lang w:val="pt-BR"/>
        </w:rPr>
        <w:t>solicitação</w:t>
      </w:r>
      <w:r w:rsidR="00DE316A">
        <w:rPr>
          <w:rFonts w:ascii="Verdana" w:hAnsi="Verdana" w:cs="Verdana"/>
          <w:sz w:val="20"/>
          <w:szCs w:val="20"/>
          <w:lang w:val="pt-BR"/>
        </w:rPr>
        <w:t xml:space="preserve"> </w:t>
      </w:r>
      <w:r w:rsidR="00970B13" w:rsidRPr="00C40BD9">
        <w:rPr>
          <w:rFonts w:ascii="Verdana" w:hAnsi="Verdana" w:cs="Verdana"/>
          <w:sz w:val="20"/>
          <w:szCs w:val="20"/>
          <w:lang w:val="pt-BR"/>
        </w:rPr>
        <w:t xml:space="preserve">do Estado </w:t>
      </w:r>
      <w:r w:rsidR="008275D2" w:rsidRPr="00C40BD9">
        <w:rPr>
          <w:rFonts w:ascii="Verdana" w:hAnsi="Verdana" w:cs="Verdana"/>
          <w:sz w:val="20"/>
          <w:szCs w:val="20"/>
          <w:lang w:val="pt-BR"/>
        </w:rPr>
        <w:t>sobre es</w:t>
      </w:r>
      <w:r w:rsidR="00DC5BE7" w:rsidRPr="00C40BD9">
        <w:rPr>
          <w:rFonts w:ascii="Verdana" w:hAnsi="Verdana" w:cs="Verdana"/>
          <w:sz w:val="20"/>
          <w:szCs w:val="20"/>
          <w:lang w:val="pt-BR"/>
        </w:rPr>
        <w:t>s</w:t>
      </w:r>
      <w:r w:rsidR="008275D2" w:rsidRPr="00C40BD9">
        <w:rPr>
          <w:rFonts w:ascii="Verdana" w:hAnsi="Verdana" w:cs="Verdana"/>
          <w:sz w:val="20"/>
          <w:szCs w:val="20"/>
          <w:lang w:val="pt-BR"/>
        </w:rPr>
        <w:t>e p</w:t>
      </w:r>
      <w:r w:rsidR="00DC5BE7" w:rsidRPr="00C40BD9">
        <w:rPr>
          <w:rFonts w:ascii="Verdana" w:hAnsi="Verdana" w:cs="Verdana"/>
          <w:sz w:val="20"/>
          <w:szCs w:val="20"/>
          <w:lang w:val="pt-BR"/>
        </w:rPr>
        <w:t>o</w:t>
      </w:r>
      <w:r w:rsidR="008275D2" w:rsidRPr="00C40BD9">
        <w:rPr>
          <w:rFonts w:ascii="Verdana" w:hAnsi="Verdana" w:cs="Verdana"/>
          <w:sz w:val="20"/>
          <w:szCs w:val="20"/>
          <w:lang w:val="pt-BR"/>
        </w:rPr>
        <w:t xml:space="preserve">nto, </w:t>
      </w:r>
      <w:r w:rsidR="00DC5BE7" w:rsidRPr="00C40BD9">
        <w:rPr>
          <w:rFonts w:ascii="Verdana" w:hAnsi="Verdana" w:cs="Verdana"/>
          <w:sz w:val="20"/>
          <w:szCs w:val="20"/>
          <w:lang w:val="pt-BR"/>
        </w:rPr>
        <w:t xml:space="preserve">considerou que as normas aplicadas pela </w:t>
      </w:r>
      <w:r w:rsidR="00036A1B" w:rsidRPr="00C40BD9">
        <w:rPr>
          <w:rFonts w:ascii="Verdana" w:hAnsi="Verdana" w:cs="Verdana"/>
          <w:sz w:val="20"/>
          <w:szCs w:val="20"/>
          <w:lang w:val="pt-BR"/>
        </w:rPr>
        <w:t xml:space="preserve">Corte </w:t>
      </w:r>
      <w:r w:rsidR="008275D2" w:rsidRPr="00C40BD9">
        <w:rPr>
          <w:rFonts w:ascii="Verdana" w:hAnsi="Verdana" w:cs="Verdana"/>
          <w:sz w:val="20"/>
          <w:szCs w:val="20"/>
          <w:lang w:val="pt-BR"/>
        </w:rPr>
        <w:t>e</w:t>
      </w:r>
      <w:r w:rsidR="00DC5BE7" w:rsidRPr="00C40BD9">
        <w:rPr>
          <w:rFonts w:ascii="Verdana" w:hAnsi="Verdana" w:cs="Verdana"/>
          <w:sz w:val="20"/>
          <w:szCs w:val="20"/>
          <w:lang w:val="pt-BR"/>
        </w:rPr>
        <w:t xml:space="preserve">m sua </w:t>
      </w:r>
      <w:r w:rsidR="00F633DD" w:rsidRPr="00C40BD9">
        <w:rPr>
          <w:rFonts w:ascii="Verdana" w:hAnsi="Verdana" w:cs="Verdana"/>
          <w:sz w:val="20"/>
          <w:szCs w:val="20"/>
          <w:lang w:val="pt-BR"/>
        </w:rPr>
        <w:t>Sentença</w:t>
      </w:r>
      <w:r w:rsidR="00DE316A">
        <w:rPr>
          <w:rFonts w:ascii="Verdana" w:hAnsi="Verdana" w:cs="Verdana"/>
          <w:sz w:val="20"/>
          <w:szCs w:val="20"/>
          <w:lang w:val="pt-BR"/>
        </w:rPr>
        <w:t xml:space="preserve"> </w:t>
      </w:r>
      <w:r w:rsidR="008275D2" w:rsidRPr="00C40BD9">
        <w:rPr>
          <w:rFonts w:ascii="Verdana" w:hAnsi="Verdana" w:cs="Verdana"/>
          <w:sz w:val="20"/>
          <w:szCs w:val="20"/>
          <w:lang w:val="pt-BR"/>
        </w:rPr>
        <w:t>corresponde</w:t>
      </w:r>
      <w:r w:rsidR="00DC5BE7" w:rsidRPr="00C40BD9">
        <w:rPr>
          <w:rFonts w:ascii="Verdana" w:hAnsi="Verdana" w:cs="Verdana"/>
          <w:sz w:val="20"/>
          <w:szCs w:val="20"/>
          <w:lang w:val="pt-BR"/>
        </w:rPr>
        <w:t xml:space="preserve">m à </w:t>
      </w:r>
      <w:r w:rsidR="00970B13" w:rsidRPr="00C40BD9">
        <w:rPr>
          <w:rFonts w:ascii="Verdana" w:hAnsi="Verdana" w:cs="Verdana"/>
          <w:sz w:val="20"/>
          <w:szCs w:val="20"/>
          <w:lang w:val="pt-BR"/>
        </w:rPr>
        <w:t>jurisprudência</w:t>
      </w:r>
      <w:r w:rsidR="00DE316A">
        <w:rPr>
          <w:rFonts w:ascii="Verdana" w:hAnsi="Verdana" w:cs="Verdana"/>
          <w:sz w:val="20"/>
          <w:szCs w:val="20"/>
          <w:lang w:val="pt-BR"/>
        </w:rPr>
        <w:t xml:space="preserve"> </w:t>
      </w:r>
      <w:r w:rsidR="008275D2" w:rsidRPr="00C40BD9">
        <w:rPr>
          <w:rFonts w:ascii="Verdana" w:hAnsi="Verdana" w:cs="Verdana"/>
          <w:sz w:val="20"/>
          <w:szCs w:val="20"/>
          <w:lang w:val="pt-BR"/>
        </w:rPr>
        <w:t>reiterada d</w:t>
      </w:r>
      <w:r w:rsidR="00DC5BE7" w:rsidRPr="00C40BD9">
        <w:rPr>
          <w:rFonts w:ascii="Verdana" w:hAnsi="Verdana" w:cs="Verdana"/>
          <w:sz w:val="20"/>
          <w:szCs w:val="20"/>
          <w:lang w:val="pt-BR"/>
        </w:rPr>
        <w:t>o</w:t>
      </w:r>
      <w:r w:rsidR="008275D2" w:rsidRPr="00C40BD9">
        <w:rPr>
          <w:rFonts w:ascii="Verdana" w:hAnsi="Verdana" w:cs="Verdana"/>
          <w:sz w:val="20"/>
          <w:szCs w:val="20"/>
          <w:lang w:val="pt-BR"/>
        </w:rPr>
        <w:t xml:space="preserve"> Tribunal e</w:t>
      </w:r>
      <w:r w:rsidR="00DC5BE7" w:rsidRPr="00C40BD9">
        <w:rPr>
          <w:rFonts w:ascii="Verdana" w:hAnsi="Verdana" w:cs="Verdana"/>
          <w:sz w:val="20"/>
          <w:szCs w:val="20"/>
          <w:lang w:val="pt-BR"/>
        </w:rPr>
        <w:t xml:space="preserve">m relação à </w:t>
      </w:r>
      <w:r w:rsidR="008275D2" w:rsidRPr="00C40BD9">
        <w:rPr>
          <w:rFonts w:ascii="Verdana" w:hAnsi="Verdana" w:cs="Verdana"/>
          <w:sz w:val="20"/>
          <w:szCs w:val="20"/>
          <w:lang w:val="pt-BR"/>
        </w:rPr>
        <w:t>impunidad</w:t>
      </w:r>
      <w:r w:rsidR="00DC5BE7" w:rsidRPr="00C40BD9">
        <w:rPr>
          <w:rFonts w:ascii="Verdana" w:hAnsi="Verdana" w:cs="Verdana"/>
          <w:sz w:val="20"/>
          <w:szCs w:val="20"/>
          <w:lang w:val="pt-BR"/>
        </w:rPr>
        <w:t>e</w:t>
      </w:r>
      <w:r w:rsidR="008275D2" w:rsidRPr="00C40BD9">
        <w:rPr>
          <w:rFonts w:ascii="Verdana" w:hAnsi="Verdana" w:cs="Verdana"/>
          <w:sz w:val="20"/>
          <w:szCs w:val="20"/>
          <w:lang w:val="pt-BR"/>
        </w:rPr>
        <w:t xml:space="preserve"> gerada p</w:t>
      </w:r>
      <w:r w:rsidR="00DC5BE7" w:rsidRPr="00C40BD9">
        <w:rPr>
          <w:rFonts w:ascii="Verdana" w:hAnsi="Verdana" w:cs="Verdana"/>
          <w:sz w:val="20"/>
          <w:szCs w:val="20"/>
          <w:lang w:val="pt-BR"/>
        </w:rPr>
        <w:t xml:space="preserve">ela </w:t>
      </w:r>
      <w:r w:rsidR="008275D2" w:rsidRPr="00C40BD9">
        <w:rPr>
          <w:rFonts w:ascii="Verdana" w:hAnsi="Verdana" w:cs="Verdana"/>
          <w:sz w:val="20"/>
          <w:szCs w:val="20"/>
          <w:lang w:val="pt-BR"/>
        </w:rPr>
        <w:t>falta de investiga</w:t>
      </w:r>
      <w:r w:rsidR="00F633DD" w:rsidRPr="00C40BD9">
        <w:rPr>
          <w:rFonts w:ascii="Verdana" w:hAnsi="Verdana" w:cs="Verdana"/>
          <w:sz w:val="20"/>
          <w:szCs w:val="20"/>
          <w:lang w:val="pt-BR"/>
        </w:rPr>
        <w:t>ção</w:t>
      </w:r>
      <w:r w:rsidR="008275D2" w:rsidRPr="00C40BD9">
        <w:rPr>
          <w:rFonts w:ascii="Verdana" w:hAnsi="Verdana" w:cs="Verdana"/>
          <w:sz w:val="20"/>
          <w:szCs w:val="20"/>
          <w:lang w:val="pt-BR"/>
        </w:rPr>
        <w:t xml:space="preserve">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008275D2" w:rsidRPr="00C40BD9">
        <w:rPr>
          <w:rFonts w:ascii="Verdana" w:hAnsi="Verdana" w:cs="Verdana"/>
          <w:sz w:val="20"/>
          <w:szCs w:val="20"/>
          <w:lang w:val="pt-BR"/>
        </w:rPr>
        <w:t>ju</w:t>
      </w:r>
      <w:r w:rsidR="00DC5BE7" w:rsidRPr="00C40BD9">
        <w:rPr>
          <w:rFonts w:ascii="Verdana" w:hAnsi="Verdana" w:cs="Verdana"/>
          <w:sz w:val="20"/>
          <w:szCs w:val="20"/>
          <w:lang w:val="pt-BR"/>
        </w:rPr>
        <w:t>l</w:t>
      </w:r>
      <w:r w:rsidR="008275D2" w:rsidRPr="00C40BD9">
        <w:rPr>
          <w:rFonts w:ascii="Verdana" w:hAnsi="Verdana" w:cs="Verdana"/>
          <w:sz w:val="20"/>
          <w:szCs w:val="20"/>
          <w:lang w:val="pt-BR"/>
        </w:rPr>
        <w:t>gamento de graves viola</w:t>
      </w:r>
      <w:r w:rsidR="00F633DD" w:rsidRPr="00C40BD9">
        <w:rPr>
          <w:rFonts w:ascii="Verdana" w:hAnsi="Verdana" w:cs="Verdana"/>
          <w:sz w:val="20"/>
          <w:szCs w:val="20"/>
          <w:lang w:val="pt-BR"/>
        </w:rPr>
        <w:t>ções</w:t>
      </w:r>
      <w:r w:rsidR="008275D2" w:rsidRPr="00C40BD9">
        <w:rPr>
          <w:rFonts w:ascii="Verdana" w:hAnsi="Verdana" w:cs="Verdana"/>
          <w:sz w:val="20"/>
          <w:szCs w:val="20"/>
          <w:lang w:val="pt-BR"/>
        </w:rPr>
        <w:t xml:space="preserve"> de </w:t>
      </w:r>
      <w:r w:rsidR="000814BE" w:rsidRPr="00C40BD9">
        <w:rPr>
          <w:rFonts w:ascii="Verdana" w:hAnsi="Verdana" w:cs="Verdana"/>
          <w:sz w:val="20"/>
          <w:szCs w:val="20"/>
          <w:lang w:val="pt-BR"/>
        </w:rPr>
        <w:t>direitos</w:t>
      </w:r>
      <w:r w:rsidR="00DE316A">
        <w:rPr>
          <w:rFonts w:ascii="Verdana" w:hAnsi="Verdana" w:cs="Verdana"/>
          <w:sz w:val="20"/>
          <w:szCs w:val="20"/>
          <w:lang w:val="pt-BR"/>
        </w:rPr>
        <w:t xml:space="preserve"> </w:t>
      </w:r>
      <w:r w:rsidR="008275D2" w:rsidRPr="00C40BD9">
        <w:rPr>
          <w:rFonts w:ascii="Verdana" w:hAnsi="Verdana" w:cs="Verdana"/>
          <w:sz w:val="20"/>
          <w:szCs w:val="20"/>
          <w:lang w:val="pt-BR"/>
        </w:rPr>
        <w:t>humanos, e</w:t>
      </w:r>
      <w:r w:rsidR="00DC5BE7" w:rsidRPr="00C40BD9">
        <w:rPr>
          <w:rFonts w:ascii="Verdana" w:hAnsi="Verdana" w:cs="Verdana"/>
          <w:sz w:val="20"/>
          <w:szCs w:val="20"/>
          <w:lang w:val="pt-BR"/>
        </w:rPr>
        <w:t xml:space="preserve">m </w:t>
      </w:r>
      <w:r w:rsidR="008275D2" w:rsidRPr="00C40BD9">
        <w:rPr>
          <w:rFonts w:ascii="Verdana" w:hAnsi="Verdana" w:cs="Verdana"/>
          <w:sz w:val="20"/>
          <w:szCs w:val="20"/>
          <w:lang w:val="pt-BR"/>
        </w:rPr>
        <w:t xml:space="preserve">casos </w:t>
      </w:r>
      <w:r w:rsidR="00DC5BE7" w:rsidRPr="00C40BD9">
        <w:rPr>
          <w:rFonts w:ascii="Verdana" w:hAnsi="Verdana" w:cs="Verdana"/>
          <w:sz w:val="20"/>
          <w:szCs w:val="20"/>
          <w:lang w:val="pt-BR"/>
        </w:rPr>
        <w:t xml:space="preserve">em que operam ou podem </w:t>
      </w:r>
      <w:r w:rsidR="008275D2" w:rsidRPr="00C40BD9">
        <w:rPr>
          <w:rFonts w:ascii="Verdana" w:hAnsi="Verdana" w:cs="Verdana"/>
          <w:sz w:val="20"/>
          <w:szCs w:val="20"/>
          <w:lang w:val="pt-BR"/>
        </w:rPr>
        <w:t>operar figuras como a prescri</w:t>
      </w:r>
      <w:r w:rsidR="00F633DD" w:rsidRPr="00C40BD9">
        <w:rPr>
          <w:rFonts w:ascii="Verdana" w:hAnsi="Verdana" w:cs="Verdana"/>
          <w:sz w:val="20"/>
          <w:szCs w:val="20"/>
          <w:lang w:val="pt-BR"/>
        </w:rPr>
        <w:t>ção</w:t>
      </w:r>
      <w:r w:rsidR="008275D2" w:rsidRPr="00C40BD9">
        <w:rPr>
          <w:rFonts w:ascii="Verdana" w:hAnsi="Verdana" w:cs="Verdana"/>
          <w:sz w:val="20"/>
          <w:szCs w:val="20"/>
          <w:lang w:val="pt-BR"/>
        </w:rPr>
        <w:t>. Sobre es</w:t>
      </w:r>
      <w:r w:rsidR="00DC5BE7" w:rsidRPr="00C40BD9">
        <w:rPr>
          <w:rFonts w:ascii="Verdana" w:hAnsi="Verdana" w:cs="Verdana"/>
          <w:sz w:val="20"/>
          <w:szCs w:val="20"/>
          <w:lang w:val="pt-BR"/>
        </w:rPr>
        <w:t>s</w:t>
      </w:r>
      <w:r w:rsidR="008275D2" w:rsidRPr="00C40BD9">
        <w:rPr>
          <w:rFonts w:ascii="Verdana" w:hAnsi="Verdana" w:cs="Verdana"/>
          <w:sz w:val="20"/>
          <w:szCs w:val="20"/>
          <w:lang w:val="pt-BR"/>
        </w:rPr>
        <w:t xml:space="preserve">e </w:t>
      </w:r>
      <w:r w:rsidR="00DC5BE7" w:rsidRPr="00C40BD9">
        <w:rPr>
          <w:rFonts w:ascii="Verdana" w:hAnsi="Verdana" w:cs="Verdana"/>
          <w:sz w:val="20"/>
          <w:szCs w:val="20"/>
          <w:lang w:val="pt-BR"/>
        </w:rPr>
        <w:t>aspecto</w:t>
      </w:r>
      <w:r w:rsidR="008275D2" w:rsidRPr="00C40BD9">
        <w:rPr>
          <w:rFonts w:ascii="Verdana" w:hAnsi="Verdana" w:cs="Verdana"/>
          <w:sz w:val="20"/>
          <w:szCs w:val="20"/>
          <w:lang w:val="pt-BR"/>
        </w:rPr>
        <w:t xml:space="preserve">, </w:t>
      </w:r>
      <w:r w:rsidR="00F633DD" w:rsidRPr="00C40BD9">
        <w:rPr>
          <w:rFonts w:ascii="Verdana" w:hAnsi="Verdana" w:cs="Verdana"/>
          <w:sz w:val="20"/>
          <w:szCs w:val="20"/>
          <w:lang w:val="pt-BR"/>
        </w:rPr>
        <w:t xml:space="preserve">e </w:t>
      </w:r>
      <w:r w:rsidR="008275D2" w:rsidRPr="00C40BD9">
        <w:rPr>
          <w:rFonts w:ascii="Verdana" w:hAnsi="Verdana" w:cs="Verdana"/>
          <w:sz w:val="20"/>
          <w:szCs w:val="20"/>
          <w:lang w:val="pt-BR"/>
        </w:rPr>
        <w:t>considerando a import</w:t>
      </w:r>
      <w:r w:rsidR="00DC5BE7" w:rsidRPr="00C40BD9">
        <w:rPr>
          <w:rFonts w:ascii="Verdana" w:hAnsi="Verdana" w:cs="Verdana"/>
          <w:sz w:val="20"/>
          <w:szCs w:val="20"/>
          <w:lang w:val="pt-BR"/>
        </w:rPr>
        <w:t>â</w:t>
      </w:r>
      <w:r w:rsidR="008275D2" w:rsidRPr="00C40BD9">
        <w:rPr>
          <w:rFonts w:ascii="Verdana" w:hAnsi="Verdana" w:cs="Verdana"/>
          <w:sz w:val="20"/>
          <w:szCs w:val="20"/>
          <w:lang w:val="pt-BR"/>
        </w:rPr>
        <w:t xml:space="preserve">ncia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00DC5BE7" w:rsidRPr="00C40BD9">
        <w:rPr>
          <w:rFonts w:ascii="Verdana" w:hAnsi="Verdana" w:cs="Verdana"/>
          <w:sz w:val="20"/>
          <w:szCs w:val="20"/>
          <w:lang w:val="pt-BR"/>
        </w:rPr>
        <w:t xml:space="preserve">a </w:t>
      </w:r>
      <w:r w:rsidR="008275D2" w:rsidRPr="00C40BD9">
        <w:rPr>
          <w:rFonts w:ascii="Verdana" w:hAnsi="Verdana" w:cs="Verdana"/>
          <w:sz w:val="20"/>
          <w:szCs w:val="20"/>
          <w:lang w:val="pt-BR"/>
        </w:rPr>
        <w:t>centralidad</w:t>
      </w:r>
      <w:r w:rsidR="00DC5BE7" w:rsidRPr="00C40BD9">
        <w:rPr>
          <w:rFonts w:ascii="Verdana" w:hAnsi="Verdana" w:cs="Verdana"/>
          <w:sz w:val="20"/>
          <w:szCs w:val="20"/>
          <w:lang w:val="pt-BR"/>
        </w:rPr>
        <w:t>e</w:t>
      </w:r>
      <w:r w:rsidR="008275D2" w:rsidRPr="00C40BD9">
        <w:rPr>
          <w:rFonts w:ascii="Verdana" w:hAnsi="Verdana" w:cs="Verdana"/>
          <w:sz w:val="20"/>
          <w:szCs w:val="20"/>
          <w:lang w:val="pt-BR"/>
        </w:rPr>
        <w:t xml:space="preserve"> </w:t>
      </w:r>
      <w:r w:rsidR="00C06A9B" w:rsidRPr="00C40BD9">
        <w:rPr>
          <w:rFonts w:ascii="Verdana" w:hAnsi="Verdana" w:cs="Verdana"/>
          <w:sz w:val="20"/>
          <w:szCs w:val="20"/>
          <w:lang w:val="pt-BR"/>
        </w:rPr>
        <w:t xml:space="preserve">dos </w:t>
      </w:r>
      <w:r w:rsidR="008275D2" w:rsidRPr="00C40BD9">
        <w:rPr>
          <w:rFonts w:ascii="Verdana" w:hAnsi="Verdana" w:cs="Verdana"/>
          <w:sz w:val="20"/>
          <w:szCs w:val="20"/>
          <w:lang w:val="pt-BR"/>
        </w:rPr>
        <w:t>princ</w:t>
      </w:r>
      <w:r w:rsidR="00DC5BE7" w:rsidRPr="00C40BD9">
        <w:rPr>
          <w:rFonts w:ascii="Verdana" w:hAnsi="Verdana" w:cs="Verdana"/>
          <w:sz w:val="20"/>
          <w:szCs w:val="20"/>
          <w:lang w:val="pt-BR"/>
        </w:rPr>
        <w:t>í</w:t>
      </w:r>
      <w:r w:rsidR="008275D2" w:rsidRPr="00C40BD9">
        <w:rPr>
          <w:rFonts w:ascii="Verdana" w:hAnsi="Verdana" w:cs="Verdana"/>
          <w:sz w:val="20"/>
          <w:szCs w:val="20"/>
          <w:lang w:val="pt-BR"/>
        </w:rPr>
        <w:t xml:space="preserve">pios </w:t>
      </w:r>
      <w:r w:rsidR="00DC5BE7" w:rsidRPr="00C40BD9">
        <w:rPr>
          <w:rFonts w:ascii="Verdana" w:hAnsi="Verdana" w:cs="Verdana"/>
          <w:sz w:val="20"/>
          <w:szCs w:val="20"/>
          <w:lang w:val="pt-BR"/>
        </w:rPr>
        <w:t>envolvidos</w:t>
      </w:r>
      <w:r w:rsidR="008275D2" w:rsidRPr="00C40BD9">
        <w:rPr>
          <w:rFonts w:ascii="Verdana" w:hAnsi="Verdana" w:cs="Verdana"/>
          <w:sz w:val="20"/>
          <w:szCs w:val="20"/>
          <w:lang w:val="pt-BR"/>
        </w:rPr>
        <w:t xml:space="preserve">, </w:t>
      </w:r>
      <w:r w:rsidR="00036A1B" w:rsidRPr="00C40BD9">
        <w:rPr>
          <w:rFonts w:ascii="Verdana" w:hAnsi="Verdana" w:cs="Verdana"/>
          <w:sz w:val="20"/>
          <w:szCs w:val="20"/>
          <w:lang w:val="pt-BR"/>
        </w:rPr>
        <w:t xml:space="preserve">a Corte </w:t>
      </w:r>
      <w:r w:rsidR="00DC5BE7" w:rsidRPr="00C40BD9">
        <w:rPr>
          <w:rFonts w:ascii="Verdana" w:hAnsi="Verdana" w:cs="Verdana"/>
          <w:sz w:val="20"/>
          <w:szCs w:val="20"/>
          <w:lang w:val="pt-BR"/>
        </w:rPr>
        <w:t xml:space="preserve">também poderia </w:t>
      </w:r>
      <w:r w:rsidR="008275D2" w:rsidRPr="00C40BD9">
        <w:rPr>
          <w:rFonts w:ascii="Verdana" w:hAnsi="Verdana" w:cs="Verdana"/>
          <w:sz w:val="20"/>
          <w:szCs w:val="20"/>
          <w:lang w:val="pt-BR"/>
        </w:rPr>
        <w:t xml:space="preserve">considerar útil precisar </w:t>
      </w:r>
      <w:r w:rsidR="001A4631">
        <w:rPr>
          <w:rFonts w:ascii="Verdana" w:hAnsi="Verdana" w:cs="Verdana"/>
          <w:sz w:val="20"/>
          <w:szCs w:val="20"/>
          <w:lang w:val="pt-BR"/>
        </w:rPr>
        <w:t xml:space="preserve">os padrões </w:t>
      </w:r>
      <w:r w:rsidR="00DC5BE7" w:rsidRPr="00C40BD9">
        <w:rPr>
          <w:rFonts w:ascii="Verdana" w:hAnsi="Verdana" w:cs="Verdana"/>
          <w:sz w:val="20"/>
          <w:szCs w:val="20"/>
          <w:lang w:val="pt-BR"/>
        </w:rPr>
        <w:t>nesses termos</w:t>
      </w:r>
      <w:r w:rsidR="005C28D2">
        <w:rPr>
          <w:rFonts w:ascii="Verdana" w:hAnsi="Verdana" w:cs="Verdana"/>
          <w:sz w:val="20"/>
          <w:szCs w:val="20"/>
          <w:lang w:val="pt-BR"/>
        </w:rPr>
        <w:t>.</w:t>
      </w:r>
      <w:r w:rsidR="00DC5BE7" w:rsidRPr="00C40BD9">
        <w:rPr>
          <w:rFonts w:ascii="Verdana" w:hAnsi="Verdana" w:cs="Verdana"/>
          <w:sz w:val="20"/>
          <w:szCs w:val="20"/>
          <w:lang w:val="pt-BR"/>
        </w:rPr>
        <w:t xml:space="preserve"> </w:t>
      </w:r>
    </w:p>
    <w:p w:rsidR="0085449E" w:rsidRPr="00C40BD9" w:rsidRDefault="0085449E" w:rsidP="00A82FB4">
      <w:pPr>
        <w:autoSpaceDE w:val="0"/>
        <w:autoSpaceDN w:val="0"/>
        <w:adjustRightInd w:val="0"/>
        <w:spacing w:after="0" w:line="240" w:lineRule="auto"/>
        <w:jc w:val="both"/>
        <w:rPr>
          <w:rFonts w:ascii="Verdana" w:hAnsi="Verdana" w:cs="Verdana"/>
          <w:i/>
          <w:sz w:val="20"/>
          <w:szCs w:val="20"/>
          <w:lang w:val="pt-BR"/>
        </w:rPr>
      </w:pPr>
    </w:p>
    <w:p w:rsidR="000C2BED" w:rsidRPr="00C40BD9" w:rsidRDefault="000C2BED" w:rsidP="00A82FB4">
      <w:pPr>
        <w:pStyle w:val="Heading4"/>
        <w:tabs>
          <w:tab w:val="clear" w:pos="0"/>
        </w:tabs>
        <w:rPr>
          <w:lang w:val="pt-BR"/>
        </w:rPr>
      </w:pPr>
      <w:r w:rsidRPr="00C40BD9">
        <w:rPr>
          <w:lang w:val="pt-BR"/>
        </w:rPr>
        <w:t>A.2. Considera</w:t>
      </w:r>
      <w:r w:rsidR="00F633DD" w:rsidRPr="00C40BD9">
        <w:rPr>
          <w:lang w:val="pt-BR"/>
        </w:rPr>
        <w:t>ções</w:t>
      </w:r>
      <w:r w:rsidRPr="00C40BD9">
        <w:rPr>
          <w:lang w:val="pt-BR"/>
        </w:rPr>
        <w:t xml:space="preserve"> </w:t>
      </w:r>
      <w:r w:rsidR="00F633DD" w:rsidRPr="00C40BD9">
        <w:rPr>
          <w:lang w:val="pt-BR"/>
        </w:rPr>
        <w:t xml:space="preserve">da </w:t>
      </w:r>
      <w:r w:rsidRPr="00C40BD9">
        <w:rPr>
          <w:lang w:val="pt-BR"/>
        </w:rPr>
        <w:t xml:space="preserve">Corte </w:t>
      </w:r>
    </w:p>
    <w:p w:rsidR="000C2BED" w:rsidRPr="00C40BD9" w:rsidRDefault="000C2BED" w:rsidP="00A82FB4">
      <w:pPr>
        <w:autoSpaceDE w:val="0"/>
        <w:autoSpaceDN w:val="0"/>
        <w:adjustRightInd w:val="0"/>
        <w:spacing w:after="0" w:line="240" w:lineRule="auto"/>
        <w:jc w:val="both"/>
        <w:rPr>
          <w:rFonts w:ascii="Verdana" w:hAnsi="Verdana" w:cs="Verdana"/>
          <w:b/>
          <w:i/>
          <w:sz w:val="20"/>
          <w:szCs w:val="20"/>
          <w:lang w:val="pt-BR"/>
        </w:rPr>
      </w:pPr>
    </w:p>
    <w:p w:rsidR="00DC7584" w:rsidRPr="00C40BD9" w:rsidRDefault="00DC5BE7" w:rsidP="00A82FB4">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pt-BR"/>
        </w:rPr>
      </w:pPr>
      <w:r w:rsidRPr="00C40BD9">
        <w:rPr>
          <w:rFonts w:ascii="Verdana" w:hAnsi="Verdana" w:cs="Verdana"/>
          <w:sz w:val="20"/>
          <w:szCs w:val="20"/>
          <w:lang w:val="pt-BR"/>
        </w:rPr>
        <w:t>A</w:t>
      </w:r>
      <w:r w:rsidR="00DC7584" w:rsidRPr="00C40BD9">
        <w:rPr>
          <w:rFonts w:ascii="Verdana" w:hAnsi="Verdana" w:cs="Verdana"/>
          <w:sz w:val="20"/>
          <w:szCs w:val="20"/>
          <w:lang w:val="pt-BR"/>
        </w:rPr>
        <w:t xml:space="preserve"> </w:t>
      </w:r>
      <w:r w:rsidRPr="00C40BD9">
        <w:rPr>
          <w:rFonts w:ascii="Verdana" w:hAnsi="Verdana" w:cs="Verdana"/>
          <w:sz w:val="20"/>
          <w:szCs w:val="20"/>
          <w:lang w:val="pt-BR"/>
        </w:rPr>
        <w:t>j</w:t>
      </w:r>
      <w:r w:rsidR="00DC7584" w:rsidRPr="00C40BD9">
        <w:rPr>
          <w:rFonts w:ascii="Verdana" w:hAnsi="Verdana" w:cs="Verdana"/>
          <w:sz w:val="20"/>
          <w:szCs w:val="20"/>
          <w:lang w:val="pt-BR"/>
        </w:rPr>
        <w:t>urisprud</w:t>
      </w:r>
      <w:r w:rsidRPr="00C40BD9">
        <w:rPr>
          <w:rFonts w:ascii="Verdana" w:hAnsi="Verdana" w:cs="Verdana"/>
          <w:sz w:val="20"/>
          <w:szCs w:val="20"/>
          <w:lang w:val="pt-BR"/>
        </w:rPr>
        <w:t>ê</w:t>
      </w:r>
      <w:r w:rsidR="00DC7584" w:rsidRPr="00C40BD9">
        <w:rPr>
          <w:rFonts w:ascii="Verdana" w:hAnsi="Verdana" w:cs="Verdana"/>
          <w:sz w:val="20"/>
          <w:szCs w:val="20"/>
          <w:lang w:val="pt-BR"/>
        </w:rPr>
        <w:t xml:space="preserve">ncia </w:t>
      </w:r>
      <w:r w:rsidR="00F633DD" w:rsidRPr="00C40BD9">
        <w:rPr>
          <w:rFonts w:ascii="Verdana" w:hAnsi="Verdana" w:cs="Verdana"/>
          <w:sz w:val="20"/>
          <w:szCs w:val="20"/>
          <w:lang w:val="pt-BR"/>
        </w:rPr>
        <w:t xml:space="preserve">da </w:t>
      </w:r>
      <w:r w:rsidR="00DC7584" w:rsidRPr="00C40BD9">
        <w:rPr>
          <w:rFonts w:ascii="Verdana" w:hAnsi="Verdana" w:cs="Verdana"/>
          <w:sz w:val="20"/>
          <w:szCs w:val="20"/>
          <w:lang w:val="pt-BR"/>
        </w:rPr>
        <w:t xml:space="preserve">Corte Interamericana </w:t>
      </w:r>
      <w:r w:rsidRPr="00C40BD9">
        <w:rPr>
          <w:rFonts w:ascii="Verdana" w:hAnsi="Verdana" w:cs="Verdana"/>
          <w:sz w:val="20"/>
          <w:szCs w:val="20"/>
          <w:lang w:val="pt-BR"/>
        </w:rPr>
        <w:t xml:space="preserve">tem </w:t>
      </w:r>
      <w:r w:rsidR="00F87049" w:rsidRPr="00C40BD9">
        <w:rPr>
          <w:rFonts w:ascii="Verdana" w:hAnsi="Verdana" w:cs="Verdana"/>
          <w:sz w:val="20"/>
          <w:szCs w:val="20"/>
          <w:lang w:val="pt-BR"/>
        </w:rPr>
        <w:t>sido</w:t>
      </w:r>
      <w:r w:rsidR="00DC7584" w:rsidRPr="00C40BD9">
        <w:rPr>
          <w:rFonts w:ascii="Verdana" w:hAnsi="Verdana" w:cs="Verdana"/>
          <w:sz w:val="20"/>
          <w:szCs w:val="20"/>
          <w:lang w:val="pt-BR"/>
        </w:rPr>
        <w:t xml:space="preserve"> reiterada </w:t>
      </w:r>
      <w:r w:rsidR="00F633DD" w:rsidRPr="00C40BD9">
        <w:rPr>
          <w:rFonts w:ascii="Verdana" w:hAnsi="Verdana" w:cs="Verdana"/>
          <w:sz w:val="20"/>
          <w:szCs w:val="20"/>
          <w:lang w:val="pt-BR"/>
        </w:rPr>
        <w:t xml:space="preserve">e </w:t>
      </w:r>
      <w:r w:rsidR="00DC7584" w:rsidRPr="00C40BD9">
        <w:rPr>
          <w:rFonts w:ascii="Verdana" w:hAnsi="Verdana" w:cs="Verdana"/>
          <w:sz w:val="20"/>
          <w:szCs w:val="20"/>
          <w:lang w:val="pt-BR"/>
        </w:rPr>
        <w:t>constante a</w:t>
      </w:r>
      <w:r w:rsidRPr="00C40BD9">
        <w:rPr>
          <w:rFonts w:ascii="Verdana" w:hAnsi="Verdana" w:cs="Verdana"/>
          <w:sz w:val="20"/>
          <w:szCs w:val="20"/>
          <w:lang w:val="pt-BR"/>
        </w:rPr>
        <w:t>o</w:t>
      </w:r>
      <w:r w:rsidR="00DC7584" w:rsidRPr="00C40BD9">
        <w:rPr>
          <w:rFonts w:ascii="Verdana" w:hAnsi="Verdana" w:cs="Verdana"/>
          <w:sz w:val="20"/>
          <w:szCs w:val="20"/>
          <w:lang w:val="pt-BR"/>
        </w:rPr>
        <w:t xml:space="preserve"> considerar que </w:t>
      </w:r>
      <w:r w:rsidR="00880A95" w:rsidRPr="00C40BD9">
        <w:rPr>
          <w:rFonts w:ascii="Verdana" w:hAnsi="Verdana" w:cs="Verdana"/>
          <w:sz w:val="20"/>
          <w:szCs w:val="20"/>
          <w:lang w:val="pt-BR"/>
        </w:rPr>
        <w:t xml:space="preserve">certas figuras jurídicas que </w:t>
      </w:r>
      <w:r w:rsidR="00DC7584" w:rsidRPr="00C40BD9">
        <w:rPr>
          <w:rFonts w:ascii="Verdana" w:hAnsi="Verdana" w:cs="Verdana"/>
          <w:sz w:val="20"/>
          <w:szCs w:val="20"/>
          <w:lang w:val="pt-BR"/>
        </w:rPr>
        <w:t>represent</w:t>
      </w:r>
      <w:r w:rsidR="007E644F">
        <w:rPr>
          <w:rFonts w:ascii="Verdana" w:hAnsi="Verdana" w:cs="Verdana"/>
          <w:sz w:val="20"/>
          <w:szCs w:val="20"/>
          <w:lang w:val="pt-BR"/>
        </w:rPr>
        <w:t>a</w:t>
      </w:r>
      <w:r w:rsidRPr="00C40BD9">
        <w:rPr>
          <w:rFonts w:ascii="Verdana" w:hAnsi="Verdana" w:cs="Verdana"/>
          <w:sz w:val="20"/>
          <w:szCs w:val="20"/>
          <w:lang w:val="pt-BR"/>
        </w:rPr>
        <w:t>m</w:t>
      </w:r>
      <w:r w:rsidR="00DC7584" w:rsidRPr="00C40BD9">
        <w:rPr>
          <w:rFonts w:ascii="Verdana" w:hAnsi="Verdana" w:cs="Verdana"/>
          <w:sz w:val="20"/>
          <w:szCs w:val="20"/>
          <w:lang w:val="pt-BR"/>
        </w:rPr>
        <w:t xml:space="preserve"> </w:t>
      </w:r>
      <w:r w:rsidR="00880A95" w:rsidRPr="00C40BD9">
        <w:rPr>
          <w:rFonts w:ascii="Verdana" w:hAnsi="Verdana" w:cs="Verdana"/>
          <w:sz w:val="20"/>
          <w:szCs w:val="20"/>
          <w:lang w:val="pt-BR"/>
        </w:rPr>
        <w:t xml:space="preserve">obstáculos </w:t>
      </w:r>
      <w:r w:rsidR="007558A5" w:rsidRPr="00C40BD9">
        <w:rPr>
          <w:rFonts w:ascii="Verdana" w:hAnsi="Verdana" w:cs="Verdana"/>
          <w:sz w:val="20"/>
          <w:szCs w:val="20"/>
          <w:lang w:val="pt-BR"/>
        </w:rPr>
        <w:t>processuais</w:t>
      </w:r>
      <w:r w:rsidR="00DE316A">
        <w:rPr>
          <w:rFonts w:ascii="Verdana" w:hAnsi="Verdana" w:cs="Verdana"/>
          <w:sz w:val="20"/>
          <w:szCs w:val="20"/>
          <w:lang w:val="pt-BR"/>
        </w:rPr>
        <w:t xml:space="preserve"> </w:t>
      </w:r>
      <w:r w:rsidR="00880A95" w:rsidRPr="00C40BD9">
        <w:rPr>
          <w:rFonts w:ascii="Verdana" w:hAnsi="Verdana" w:cs="Verdana"/>
          <w:sz w:val="20"/>
          <w:szCs w:val="20"/>
          <w:lang w:val="pt-BR"/>
        </w:rPr>
        <w:t>a investiga</w:t>
      </w:r>
      <w:r w:rsidR="00F633DD" w:rsidRPr="00C40BD9">
        <w:rPr>
          <w:rFonts w:ascii="Verdana" w:hAnsi="Verdana" w:cs="Verdana"/>
          <w:sz w:val="20"/>
          <w:szCs w:val="20"/>
          <w:lang w:val="pt-BR"/>
        </w:rPr>
        <w:t>ções</w:t>
      </w:r>
      <w:r w:rsidR="00880A95" w:rsidRPr="00C40BD9">
        <w:rPr>
          <w:rFonts w:ascii="Verdana" w:hAnsi="Verdana" w:cs="Verdana"/>
          <w:sz w:val="20"/>
          <w:szCs w:val="20"/>
          <w:lang w:val="pt-BR"/>
        </w:rPr>
        <w:t xml:space="preserve"> de </w:t>
      </w:r>
      <w:r w:rsidR="00DC7584" w:rsidRPr="00C40BD9">
        <w:rPr>
          <w:rFonts w:ascii="Verdana" w:hAnsi="Verdana" w:cs="Verdana"/>
          <w:sz w:val="20"/>
          <w:szCs w:val="20"/>
          <w:lang w:val="pt-BR"/>
        </w:rPr>
        <w:t>graves viola</w:t>
      </w:r>
      <w:r w:rsidR="00F633DD" w:rsidRPr="00C40BD9">
        <w:rPr>
          <w:rFonts w:ascii="Verdana" w:hAnsi="Verdana" w:cs="Verdana"/>
          <w:sz w:val="20"/>
          <w:szCs w:val="20"/>
          <w:lang w:val="pt-BR"/>
        </w:rPr>
        <w:t>ções</w:t>
      </w:r>
      <w:r w:rsidR="00DC7584" w:rsidRPr="00C40BD9">
        <w:rPr>
          <w:rFonts w:ascii="Verdana" w:hAnsi="Verdana" w:cs="Verdana"/>
          <w:sz w:val="20"/>
          <w:szCs w:val="20"/>
          <w:lang w:val="pt-BR"/>
        </w:rPr>
        <w:t xml:space="preserve"> de </w:t>
      </w:r>
      <w:r w:rsidR="000814BE" w:rsidRPr="00C40BD9">
        <w:rPr>
          <w:rFonts w:ascii="Verdana" w:hAnsi="Verdana" w:cs="Verdana"/>
          <w:sz w:val="20"/>
          <w:szCs w:val="20"/>
          <w:lang w:val="pt-BR"/>
        </w:rPr>
        <w:t>direitos</w:t>
      </w:r>
      <w:r w:rsidR="00DE316A">
        <w:rPr>
          <w:rFonts w:ascii="Verdana" w:hAnsi="Verdana" w:cs="Verdana"/>
          <w:sz w:val="20"/>
          <w:szCs w:val="20"/>
          <w:lang w:val="pt-BR"/>
        </w:rPr>
        <w:t xml:space="preserve"> </w:t>
      </w:r>
      <w:r w:rsidR="00DC7584" w:rsidRPr="00C40BD9">
        <w:rPr>
          <w:rFonts w:ascii="Verdana" w:hAnsi="Verdana" w:cs="Verdana"/>
          <w:sz w:val="20"/>
          <w:szCs w:val="20"/>
          <w:lang w:val="pt-BR"/>
        </w:rPr>
        <w:t xml:space="preserve">humanos </w:t>
      </w:r>
      <w:r w:rsidR="00F633DD" w:rsidRPr="00C40BD9">
        <w:rPr>
          <w:rFonts w:ascii="Verdana" w:hAnsi="Verdana" w:cs="Verdana"/>
          <w:sz w:val="20"/>
          <w:szCs w:val="20"/>
          <w:lang w:val="pt-BR"/>
        </w:rPr>
        <w:t>e</w:t>
      </w:r>
      <w:r w:rsidR="00DC7584" w:rsidRPr="00C40BD9">
        <w:rPr>
          <w:rFonts w:ascii="Verdana" w:hAnsi="Verdana" w:cs="Verdana"/>
          <w:sz w:val="20"/>
          <w:szCs w:val="20"/>
          <w:lang w:val="pt-BR"/>
        </w:rPr>
        <w:t>/o</w:t>
      </w:r>
      <w:r w:rsidRPr="00C40BD9">
        <w:rPr>
          <w:rFonts w:ascii="Verdana" w:hAnsi="Verdana" w:cs="Verdana"/>
          <w:sz w:val="20"/>
          <w:szCs w:val="20"/>
          <w:lang w:val="pt-BR"/>
        </w:rPr>
        <w:t>u</w:t>
      </w:r>
      <w:r w:rsidR="00DC7584" w:rsidRPr="00C40BD9">
        <w:rPr>
          <w:rFonts w:ascii="Verdana" w:hAnsi="Verdana" w:cs="Verdana"/>
          <w:sz w:val="20"/>
          <w:szCs w:val="20"/>
          <w:lang w:val="pt-BR"/>
        </w:rPr>
        <w:t xml:space="preserve"> </w:t>
      </w:r>
      <w:r w:rsidRPr="00C40BD9">
        <w:rPr>
          <w:rFonts w:ascii="Verdana" w:hAnsi="Verdana" w:cs="Verdana"/>
          <w:sz w:val="20"/>
          <w:szCs w:val="20"/>
          <w:lang w:val="pt-BR"/>
        </w:rPr>
        <w:t>crimes</w:t>
      </w:r>
      <w:r w:rsidR="00DE316A">
        <w:rPr>
          <w:rFonts w:ascii="Verdana" w:hAnsi="Verdana" w:cs="Verdana"/>
          <w:sz w:val="20"/>
          <w:szCs w:val="20"/>
          <w:lang w:val="pt-BR"/>
        </w:rPr>
        <w:t xml:space="preserve"> </w:t>
      </w:r>
      <w:r w:rsidR="00880A95" w:rsidRPr="00C40BD9">
        <w:rPr>
          <w:rFonts w:ascii="Verdana" w:hAnsi="Verdana" w:cs="Verdana"/>
          <w:sz w:val="20"/>
          <w:szCs w:val="20"/>
          <w:lang w:val="pt-BR"/>
        </w:rPr>
        <w:t xml:space="preserve">de </w:t>
      </w:r>
      <w:r w:rsidRPr="00C40BD9">
        <w:rPr>
          <w:rFonts w:ascii="Verdana" w:hAnsi="Verdana" w:cs="Verdana"/>
          <w:sz w:val="20"/>
          <w:szCs w:val="20"/>
          <w:lang w:val="pt-BR"/>
        </w:rPr>
        <w:t xml:space="preserve">lesa-humanidade </w:t>
      </w:r>
      <w:r w:rsidR="00DC7584" w:rsidRPr="00C40BD9">
        <w:rPr>
          <w:rFonts w:ascii="Verdana" w:hAnsi="Verdana" w:cs="Verdana"/>
          <w:sz w:val="20"/>
          <w:szCs w:val="20"/>
          <w:lang w:val="pt-BR"/>
        </w:rPr>
        <w:t>s</w:t>
      </w:r>
      <w:r w:rsidRPr="00C40BD9">
        <w:rPr>
          <w:rFonts w:ascii="Verdana" w:hAnsi="Verdana" w:cs="Verdana"/>
          <w:sz w:val="20"/>
          <w:szCs w:val="20"/>
          <w:lang w:val="pt-BR"/>
        </w:rPr>
        <w:t xml:space="preserve">ão </w:t>
      </w:r>
      <w:r w:rsidR="00DC7584" w:rsidRPr="00C40BD9">
        <w:rPr>
          <w:rFonts w:ascii="Verdana" w:hAnsi="Verdana" w:cs="Verdana"/>
          <w:sz w:val="20"/>
          <w:szCs w:val="20"/>
          <w:lang w:val="pt-BR"/>
        </w:rPr>
        <w:t xml:space="preserve">proibidas </w:t>
      </w:r>
      <w:r w:rsidR="00036A1B" w:rsidRPr="00C40BD9">
        <w:rPr>
          <w:rFonts w:ascii="Verdana" w:hAnsi="Verdana" w:cs="Verdana"/>
          <w:sz w:val="20"/>
          <w:szCs w:val="20"/>
          <w:lang w:val="pt-BR"/>
        </w:rPr>
        <w:t xml:space="preserve">pelo </w:t>
      </w:r>
      <w:r w:rsidRPr="00C40BD9">
        <w:rPr>
          <w:rFonts w:ascii="Verdana" w:hAnsi="Verdana" w:cs="Verdana"/>
          <w:sz w:val="20"/>
          <w:szCs w:val="20"/>
          <w:lang w:val="pt-BR"/>
        </w:rPr>
        <w:t>D</w:t>
      </w:r>
      <w:r w:rsidR="006770ED" w:rsidRPr="00C40BD9">
        <w:rPr>
          <w:rFonts w:ascii="Verdana" w:hAnsi="Verdana" w:cs="Verdana"/>
          <w:sz w:val="20"/>
          <w:szCs w:val="20"/>
          <w:lang w:val="pt-BR"/>
        </w:rPr>
        <w:t>ireito</w:t>
      </w:r>
      <w:r w:rsidR="00DE316A">
        <w:rPr>
          <w:rFonts w:ascii="Verdana" w:hAnsi="Verdana" w:cs="Verdana"/>
          <w:sz w:val="20"/>
          <w:szCs w:val="20"/>
          <w:lang w:val="pt-BR"/>
        </w:rPr>
        <w:t xml:space="preserve"> </w:t>
      </w:r>
      <w:r w:rsidRPr="00C40BD9">
        <w:rPr>
          <w:rFonts w:ascii="Verdana" w:hAnsi="Verdana" w:cs="Verdana"/>
          <w:sz w:val="20"/>
          <w:szCs w:val="20"/>
          <w:lang w:val="pt-BR"/>
        </w:rPr>
        <w:t>I</w:t>
      </w:r>
      <w:r w:rsidR="00DC7584" w:rsidRPr="00C40BD9">
        <w:rPr>
          <w:rFonts w:ascii="Verdana" w:hAnsi="Verdana" w:cs="Verdana"/>
          <w:sz w:val="20"/>
          <w:szCs w:val="20"/>
          <w:lang w:val="pt-BR"/>
        </w:rPr>
        <w:t>nternacional</w:t>
      </w:r>
      <w:r w:rsidRPr="00C40BD9">
        <w:rPr>
          <w:rFonts w:ascii="Verdana" w:hAnsi="Verdana" w:cs="Verdana"/>
          <w:sz w:val="20"/>
          <w:szCs w:val="20"/>
          <w:lang w:val="pt-BR"/>
        </w:rPr>
        <w:t>.</w:t>
      </w:r>
      <w:r w:rsidR="00F87049" w:rsidRPr="00C40BD9">
        <w:rPr>
          <w:rStyle w:val="FootnoteReference"/>
          <w:rFonts w:cs="Verdana"/>
          <w:sz w:val="20"/>
          <w:szCs w:val="20"/>
          <w:lang w:val="pt-BR"/>
        </w:rPr>
        <w:footnoteReference w:id="8"/>
      </w:r>
      <w:r w:rsidR="00880A95" w:rsidRPr="00C40BD9">
        <w:rPr>
          <w:rFonts w:ascii="Verdana" w:hAnsi="Verdana" w:cs="Verdana"/>
          <w:sz w:val="20"/>
          <w:szCs w:val="20"/>
          <w:lang w:val="pt-BR"/>
        </w:rPr>
        <w:t xml:space="preserve"> </w:t>
      </w:r>
    </w:p>
    <w:p w:rsidR="00DC7584" w:rsidRPr="00C40BD9" w:rsidRDefault="00DC7584" w:rsidP="00A82FB4">
      <w:pPr>
        <w:autoSpaceDE w:val="0"/>
        <w:autoSpaceDN w:val="0"/>
        <w:adjustRightInd w:val="0"/>
        <w:spacing w:after="0" w:line="240" w:lineRule="auto"/>
        <w:jc w:val="both"/>
        <w:rPr>
          <w:rFonts w:ascii="Verdana" w:hAnsi="Verdana" w:cs="Verdana"/>
          <w:sz w:val="20"/>
          <w:szCs w:val="20"/>
          <w:lang w:val="pt-BR"/>
        </w:rPr>
      </w:pPr>
    </w:p>
    <w:p w:rsidR="00450964" w:rsidRPr="00C40BD9" w:rsidRDefault="00DC5BE7" w:rsidP="00A82FB4">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pt-BR"/>
        </w:rPr>
      </w:pPr>
      <w:r w:rsidRPr="00C40BD9">
        <w:rPr>
          <w:rFonts w:ascii="Verdana" w:hAnsi="Verdana" w:cs="Verdana"/>
          <w:sz w:val="20"/>
          <w:szCs w:val="20"/>
          <w:lang w:val="pt-BR"/>
        </w:rPr>
        <w:t>A</w:t>
      </w:r>
      <w:r w:rsidR="008104F8" w:rsidRPr="00C40BD9">
        <w:rPr>
          <w:rFonts w:ascii="Verdana" w:hAnsi="Verdana" w:cs="Verdana"/>
          <w:sz w:val="20"/>
          <w:szCs w:val="20"/>
          <w:lang w:val="pt-BR"/>
        </w:rPr>
        <w:t xml:space="preserve"> </w:t>
      </w:r>
      <w:r w:rsidR="00F633DD" w:rsidRPr="00C40BD9">
        <w:rPr>
          <w:rFonts w:ascii="Verdana" w:hAnsi="Verdana" w:cs="Verdana"/>
          <w:sz w:val="20"/>
          <w:szCs w:val="20"/>
          <w:lang w:val="pt-BR"/>
        </w:rPr>
        <w:t>Sentença</w:t>
      </w:r>
      <w:r w:rsidR="00DE316A">
        <w:rPr>
          <w:rFonts w:ascii="Verdana" w:hAnsi="Verdana" w:cs="Verdana"/>
          <w:sz w:val="20"/>
          <w:szCs w:val="20"/>
          <w:lang w:val="pt-BR"/>
        </w:rPr>
        <w:t xml:space="preserve"> </w:t>
      </w:r>
      <w:r w:rsidR="00DC7584" w:rsidRPr="00C40BD9">
        <w:rPr>
          <w:rFonts w:ascii="Verdana" w:hAnsi="Verdana" w:cs="Verdana"/>
          <w:sz w:val="20"/>
          <w:szCs w:val="20"/>
          <w:lang w:val="pt-BR"/>
        </w:rPr>
        <w:t xml:space="preserve">de </w:t>
      </w:r>
      <w:r w:rsidR="00F633DD" w:rsidRPr="00C40BD9">
        <w:rPr>
          <w:rFonts w:ascii="Verdana" w:hAnsi="Verdana" w:cs="Verdana"/>
          <w:sz w:val="20"/>
          <w:szCs w:val="20"/>
          <w:lang w:val="pt-BR"/>
        </w:rPr>
        <w:t>mérito</w:t>
      </w:r>
      <w:r w:rsidR="00DE316A">
        <w:rPr>
          <w:rFonts w:ascii="Verdana" w:hAnsi="Verdana" w:cs="Verdana"/>
          <w:sz w:val="20"/>
          <w:szCs w:val="20"/>
          <w:lang w:val="pt-BR"/>
        </w:rPr>
        <w:t xml:space="preserve"> </w:t>
      </w:r>
      <w:r w:rsidR="00DC7584" w:rsidRPr="00C40BD9">
        <w:rPr>
          <w:rFonts w:ascii="Verdana" w:hAnsi="Verdana" w:cs="Verdana"/>
          <w:sz w:val="20"/>
          <w:szCs w:val="20"/>
          <w:lang w:val="pt-BR"/>
        </w:rPr>
        <w:t>d</w:t>
      </w:r>
      <w:r w:rsidRPr="00C40BD9">
        <w:rPr>
          <w:rFonts w:ascii="Verdana" w:hAnsi="Verdana" w:cs="Verdana"/>
          <w:sz w:val="20"/>
          <w:szCs w:val="20"/>
          <w:lang w:val="pt-BR"/>
        </w:rPr>
        <w:t xml:space="preserve">o </w:t>
      </w:r>
      <w:r w:rsidR="00880A95" w:rsidRPr="00C40BD9">
        <w:rPr>
          <w:rFonts w:ascii="Verdana" w:hAnsi="Verdana" w:cs="Verdana"/>
          <w:sz w:val="20"/>
          <w:szCs w:val="20"/>
          <w:lang w:val="pt-BR"/>
        </w:rPr>
        <w:t xml:space="preserve">presente caso </w:t>
      </w:r>
      <w:r w:rsidR="008104F8" w:rsidRPr="00C40BD9">
        <w:rPr>
          <w:rFonts w:ascii="Verdana" w:hAnsi="Verdana" w:cs="Verdana"/>
          <w:sz w:val="20"/>
          <w:szCs w:val="20"/>
          <w:lang w:val="pt-BR"/>
        </w:rPr>
        <w:t>f</w:t>
      </w:r>
      <w:r w:rsidRPr="00C40BD9">
        <w:rPr>
          <w:rFonts w:ascii="Verdana" w:hAnsi="Verdana" w:cs="Verdana"/>
          <w:sz w:val="20"/>
          <w:szCs w:val="20"/>
          <w:lang w:val="pt-BR"/>
        </w:rPr>
        <w:t xml:space="preserve">oi </w:t>
      </w:r>
      <w:r w:rsidR="008104F8" w:rsidRPr="00C40BD9">
        <w:rPr>
          <w:rFonts w:ascii="Verdana" w:hAnsi="Verdana" w:cs="Verdana"/>
          <w:sz w:val="20"/>
          <w:szCs w:val="20"/>
          <w:lang w:val="pt-BR"/>
        </w:rPr>
        <w:t xml:space="preserve">clara </w:t>
      </w:r>
      <w:r w:rsidRPr="00C40BD9">
        <w:rPr>
          <w:rFonts w:ascii="Verdana" w:hAnsi="Verdana" w:cs="Verdana"/>
          <w:sz w:val="20"/>
          <w:szCs w:val="20"/>
          <w:lang w:val="pt-BR"/>
        </w:rPr>
        <w:t xml:space="preserve">ao </w:t>
      </w:r>
      <w:r w:rsidR="008104F8" w:rsidRPr="00C40BD9">
        <w:rPr>
          <w:rFonts w:ascii="Verdana" w:hAnsi="Verdana" w:cs="Verdana"/>
          <w:sz w:val="20"/>
          <w:szCs w:val="20"/>
          <w:lang w:val="pt-BR"/>
        </w:rPr>
        <w:t xml:space="preserve">considerar que os </w:t>
      </w:r>
      <w:r w:rsidRPr="00C40BD9">
        <w:rPr>
          <w:rFonts w:ascii="Verdana" w:hAnsi="Verdana" w:cs="Verdana"/>
          <w:sz w:val="20"/>
          <w:szCs w:val="20"/>
          <w:lang w:val="pt-BR"/>
        </w:rPr>
        <w:t xml:space="preserve">atos </w:t>
      </w:r>
      <w:r w:rsidR="008104F8" w:rsidRPr="00C40BD9">
        <w:rPr>
          <w:rFonts w:ascii="Verdana" w:hAnsi="Verdana" w:cs="Verdana"/>
          <w:sz w:val="20"/>
          <w:szCs w:val="20"/>
          <w:lang w:val="pt-BR"/>
        </w:rPr>
        <w:t xml:space="preserve">de </w:t>
      </w:r>
      <w:r w:rsidR="00C06A9B" w:rsidRPr="00C40BD9">
        <w:rPr>
          <w:rFonts w:ascii="Verdana" w:hAnsi="Verdana" w:cs="Verdana"/>
          <w:sz w:val="20"/>
          <w:szCs w:val="20"/>
          <w:lang w:val="pt-BR"/>
        </w:rPr>
        <w:t>violência</w:t>
      </w:r>
      <w:r w:rsidR="00DE316A">
        <w:rPr>
          <w:rFonts w:ascii="Verdana" w:hAnsi="Verdana" w:cs="Verdana"/>
          <w:sz w:val="20"/>
          <w:szCs w:val="20"/>
          <w:lang w:val="pt-BR"/>
        </w:rPr>
        <w:t xml:space="preserve"> </w:t>
      </w:r>
      <w:r w:rsidR="008104F8" w:rsidRPr="00C40BD9">
        <w:rPr>
          <w:rFonts w:ascii="Verdana" w:hAnsi="Verdana" w:cs="Verdana"/>
          <w:sz w:val="20"/>
          <w:szCs w:val="20"/>
          <w:lang w:val="pt-BR"/>
        </w:rPr>
        <w:t>sexual cometidos</w:t>
      </w:r>
      <w:r w:rsidR="005B64B7" w:rsidRPr="00C40BD9">
        <w:rPr>
          <w:rFonts w:ascii="Verdana" w:hAnsi="Verdana" w:cs="Verdana"/>
          <w:sz w:val="20"/>
          <w:szCs w:val="20"/>
          <w:lang w:val="pt-BR"/>
        </w:rPr>
        <w:t xml:space="preserve"> </w:t>
      </w:r>
      <w:r w:rsidR="000814BE" w:rsidRPr="00C40BD9">
        <w:rPr>
          <w:rFonts w:ascii="Verdana" w:hAnsi="Verdana" w:cs="Verdana"/>
          <w:sz w:val="20"/>
          <w:szCs w:val="20"/>
          <w:lang w:val="pt-BR"/>
        </w:rPr>
        <w:t xml:space="preserve">na </w:t>
      </w:r>
      <w:r w:rsidR="005B64B7" w:rsidRPr="00C40BD9">
        <w:rPr>
          <w:rFonts w:ascii="Verdana" w:hAnsi="Verdana" w:cs="Verdana"/>
          <w:sz w:val="20"/>
          <w:szCs w:val="20"/>
          <w:lang w:val="pt-BR"/>
        </w:rPr>
        <w:t>Favela Nova Brasília</w:t>
      </w:r>
      <w:r w:rsidR="008104F8" w:rsidRPr="00C40BD9">
        <w:rPr>
          <w:rFonts w:ascii="Verdana" w:hAnsi="Verdana" w:cs="Verdana"/>
          <w:sz w:val="20"/>
          <w:szCs w:val="20"/>
          <w:lang w:val="pt-BR"/>
        </w:rPr>
        <w:t xml:space="preserve"> </w:t>
      </w:r>
      <w:r w:rsidRPr="00C40BD9">
        <w:rPr>
          <w:rFonts w:ascii="Verdana" w:hAnsi="Verdana" w:cs="Verdana"/>
          <w:sz w:val="20"/>
          <w:szCs w:val="20"/>
          <w:lang w:val="pt-BR"/>
        </w:rPr>
        <w:t xml:space="preserve">constituíram </w:t>
      </w:r>
      <w:r w:rsidR="00450964" w:rsidRPr="00C40BD9">
        <w:rPr>
          <w:rFonts w:ascii="Verdana" w:hAnsi="Verdana" w:cs="Verdana"/>
          <w:sz w:val="20"/>
          <w:szCs w:val="20"/>
          <w:lang w:val="pt-BR"/>
        </w:rPr>
        <w:t xml:space="preserve">delitos especialmente graves, </w:t>
      </w:r>
      <w:r w:rsidRPr="00C40BD9">
        <w:rPr>
          <w:rFonts w:ascii="Verdana" w:hAnsi="Verdana" w:cs="Verdana"/>
          <w:sz w:val="20"/>
          <w:szCs w:val="20"/>
          <w:lang w:val="pt-BR"/>
        </w:rPr>
        <w:t xml:space="preserve">nos termos do </w:t>
      </w:r>
      <w:r w:rsidR="00C06A9B" w:rsidRPr="00C40BD9">
        <w:rPr>
          <w:rFonts w:ascii="Verdana" w:hAnsi="Verdana" w:cs="Verdana"/>
          <w:sz w:val="20"/>
          <w:szCs w:val="20"/>
          <w:lang w:val="pt-BR"/>
        </w:rPr>
        <w:t>parágrafo</w:t>
      </w:r>
      <w:r w:rsidR="00DE316A">
        <w:rPr>
          <w:rFonts w:ascii="Verdana" w:hAnsi="Verdana" w:cs="Verdana"/>
          <w:sz w:val="20"/>
          <w:szCs w:val="20"/>
          <w:lang w:val="pt-BR"/>
        </w:rPr>
        <w:t xml:space="preserve"> </w:t>
      </w:r>
      <w:r w:rsidR="00450964" w:rsidRPr="00C40BD9">
        <w:rPr>
          <w:rFonts w:ascii="Verdana" w:hAnsi="Verdana" w:cs="Verdana"/>
          <w:sz w:val="20"/>
          <w:szCs w:val="20"/>
          <w:lang w:val="pt-BR"/>
        </w:rPr>
        <w:t>255</w:t>
      </w:r>
      <w:r w:rsidR="006E2010">
        <w:rPr>
          <w:rFonts w:ascii="Verdana" w:hAnsi="Verdana" w:cs="Verdana"/>
          <w:sz w:val="20"/>
          <w:szCs w:val="20"/>
          <w:lang w:val="pt-BR"/>
        </w:rPr>
        <w:t>.</w:t>
      </w:r>
      <w:r w:rsidR="00450964" w:rsidRPr="00C40BD9">
        <w:rPr>
          <w:rFonts w:ascii="Verdana" w:hAnsi="Verdana" w:cs="Verdana"/>
          <w:sz w:val="20"/>
          <w:szCs w:val="20"/>
          <w:lang w:val="pt-BR"/>
        </w:rPr>
        <w:t xml:space="preserve"> </w:t>
      </w:r>
    </w:p>
    <w:p w:rsidR="00CE2C0E" w:rsidRPr="00C40BD9" w:rsidRDefault="00CE2C0E" w:rsidP="00A82FB4">
      <w:pPr>
        <w:autoSpaceDE w:val="0"/>
        <w:autoSpaceDN w:val="0"/>
        <w:adjustRightInd w:val="0"/>
        <w:spacing w:after="0" w:line="240" w:lineRule="auto"/>
        <w:ind w:left="1440"/>
        <w:jc w:val="both"/>
        <w:rPr>
          <w:rFonts w:ascii="Verdana" w:hAnsi="Verdana"/>
          <w:sz w:val="18"/>
          <w:szCs w:val="18"/>
          <w:lang w:val="pt-BR"/>
        </w:rPr>
      </w:pPr>
    </w:p>
    <w:p w:rsidR="008104F8" w:rsidRPr="00C40BD9" w:rsidRDefault="00DC5BE7" w:rsidP="00A82FB4">
      <w:pPr>
        <w:autoSpaceDE w:val="0"/>
        <w:autoSpaceDN w:val="0"/>
        <w:adjustRightInd w:val="0"/>
        <w:spacing w:after="0" w:line="240" w:lineRule="auto"/>
        <w:ind w:left="993" w:right="855"/>
        <w:jc w:val="both"/>
        <w:rPr>
          <w:rFonts w:ascii="Verdana" w:hAnsi="Verdana" w:cs="Verdana"/>
          <w:sz w:val="18"/>
          <w:szCs w:val="18"/>
          <w:lang w:val="pt-BR"/>
        </w:rPr>
      </w:pPr>
      <w:r w:rsidRPr="00C40BD9">
        <w:rPr>
          <w:rFonts w:ascii="Verdana" w:hAnsi="Verdana"/>
          <w:sz w:val="18"/>
          <w:szCs w:val="18"/>
          <w:lang w:val="pt-BR"/>
        </w:rPr>
        <w:t xml:space="preserve">A Corte reconhece que </w:t>
      </w:r>
      <w:r w:rsidR="005C28D2">
        <w:rPr>
          <w:rFonts w:ascii="Verdana" w:hAnsi="Verdana"/>
          <w:sz w:val="18"/>
          <w:szCs w:val="18"/>
          <w:lang w:val="pt-BR"/>
        </w:rPr>
        <w:t xml:space="preserve">o estupro </w:t>
      </w:r>
      <w:r w:rsidRPr="00C40BD9">
        <w:rPr>
          <w:rFonts w:ascii="Verdana" w:hAnsi="Verdana"/>
          <w:sz w:val="18"/>
          <w:szCs w:val="18"/>
          <w:lang w:val="pt-BR"/>
        </w:rPr>
        <w:t xml:space="preserve">de uma mulher que se encontra detida ou sob a custódia de um agente do Estado é um ato especialmente grave e reprovável, levando em conta a vulnerabilidade da vítima e o abuso de poder que pratica o agente. </w:t>
      </w:r>
      <w:r w:rsidR="005C28D2">
        <w:rPr>
          <w:rFonts w:ascii="Verdana" w:hAnsi="Verdana"/>
          <w:sz w:val="18"/>
          <w:szCs w:val="18"/>
          <w:lang w:val="pt-BR"/>
        </w:rPr>
        <w:t xml:space="preserve">O estupro </w:t>
      </w:r>
      <w:r w:rsidRPr="00C40BD9">
        <w:rPr>
          <w:rFonts w:ascii="Verdana" w:hAnsi="Verdana"/>
          <w:sz w:val="18"/>
          <w:szCs w:val="18"/>
          <w:lang w:val="pt-BR"/>
        </w:rPr>
        <w:t xml:space="preserve">também </w:t>
      </w:r>
      <w:r w:rsidR="005C28D2">
        <w:rPr>
          <w:rFonts w:ascii="Verdana" w:hAnsi="Verdana"/>
          <w:sz w:val="18"/>
          <w:szCs w:val="18"/>
          <w:lang w:val="pt-BR"/>
        </w:rPr>
        <w:t xml:space="preserve">é </w:t>
      </w:r>
      <w:r w:rsidRPr="00C40BD9">
        <w:rPr>
          <w:rFonts w:ascii="Verdana" w:hAnsi="Verdana"/>
          <w:sz w:val="18"/>
          <w:szCs w:val="18"/>
          <w:lang w:val="pt-BR"/>
        </w:rPr>
        <w:t>uma experiência sumamente traumática, que pode ter graves consequências e causa grande dano físico e psicológico, que deixa a vítima “humilhada física e emocionalmente”, situação dificilmente superável com a passagem do tempo, diferentemente do que acontece em outras experiências traum</w:t>
      </w:r>
      <w:r w:rsidR="001A4631">
        <w:rPr>
          <w:rFonts w:ascii="Verdana" w:hAnsi="Verdana"/>
          <w:sz w:val="18"/>
          <w:szCs w:val="18"/>
          <w:lang w:val="pt-BR"/>
        </w:rPr>
        <w:t>áticas. Ness</w:t>
      </w:r>
      <w:r w:rsidRPr="00C40BD9">
        <w:rPr>
          <w:rFonts w:ascii="Verdana" w:hAnsi="Verdana"/>
          <w:sz w:val="18"/>
          <w:szCs w:val="18"/>
          <w:lang w:val="pt-BR"/>
        </w:rPr>
        <w:t>e caso, o próprio Estado reconheceu a gravidade d</w:t>
      </w:r>
      <w:r w:rsidR="00AD0690">
        <w:rPr>
          <w:rFonts w:ascii="Verdana" w:hAnsi="Verdana"/>
          <w:sz w:val="18"/>
          <w:szCs w:val="18"/>
          <w:lang w:val="pt-BR"/>
        </w:rPr>
        <w:t xml:space="preserve">o estupro </w:t>
      </w:r>
      <w:r w:rsidRPr="00C40BD9">
        <w:rPr>
          <w:rFonts w:ascii="Verdana" w:hAnsi="Verdana"/>
          <w:sz w:val="18"/>
          <w:szCs w:val="18"/>
          <w:lang w:val="pt-BR"/>
        </w:rPr>
        <w:t>durante a audiência pública do presente caso e a qualificou como “repugnante</w:t>
      </w:r>
      <w:r w:rsidR="00A53DAD" w:rsidRPr="00C40BD9">
        <w:rPr>
          <w:rFonts w:ascii="Verdana" w:hAnsi="Verdana"/>
          <w:sz w:val="18"/>
          <w:szCs w:val="18"/>
          <w:lang w:val="pt-BR"/>
        </w:rPr>
        <w:t>”</w:t>
      </w:r>
      <w:r w:rsidR="00AD0690">
        <w:rPr>
          <w:rFonts w:ascii="Verdana" w:hAnsi="Verdana"/>
          <w:sz w:val="18"/>
          <w:szCs w:val="18"/>
          <w:lang w:val="pt-BR"/>
        </w:rPr>
        <w:t>.</w:t>
      </w:r>
      <w:r w:rsidR="00A53DAD" w:rsidRPr="00C40BD9">
        <w:rPr>
          <w:rFonts w:ascii="Verdana" w:hAnsi="Verdana"/>
          <w:sz w:val="18"/>
          <w:szCs w:val="18"/>
          <w:lang w:val="pt-BR"/>
        </w:rPr>
        <w:t xml:space="preserve"> </w:t>
      </w:r>
    </w:p>
    <w:p w:rsidR="00DC7584" w:rsidRPr="00C40BD9" w:rsidRDefault="00DC7584" w:rsidP="00A82FB4">
      <w:pPr>
        <w:autoSpaceDE w:val="0"/>
        <w:autoSpaceDN w:val="0"/>
        <w:adjustRightInd w:val="0"/>
        <w:spacing w:after="0" w:line="240" w:lineRule="auto"/>
        <w:jc w:val="both"/>
        <w:rPr>
          <w:rFonts w:ascii="Verdana" w:hAnsi="Verdana" w:cs="Verdana"/>
          <w:sz w:val="20"/>
          <w:szCs w:val="20"/>
          <w:lang w:val="pt-BR"/>
        </w:rPr>
      </w:pPr>
    </w:p>
    <w:p w:rsidR="00C0777A" w:rsidRPr="00C40BD9" w:rsidRDefault="00C0777A" w:rsidP="00A82FB4">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pt-BR"/>
        </w:rPr>
      </w:pPr>
      <w:r w:rsidRPr="00C40BD9">
        <w:rPr>
          <w:rFonts w:ascii="Verdana" w:hAnsi="Verdana" w:cs="Verdana"/>
          <w:sz w:val="20"/>
          <w:szCs w:val="20"/>
          <w:lang w:val="pt-BR"/>
        </w:rPr>
        <w:t>A</w:t>
      </w:r>
      <w:r w:rsidR="00DC5BE7" w:rsidRPr="00C40BD9">
        <w:rPr>
          <w:rFonts w:ascii="Verdana" w:hAnsi="Verdana" w:cs="Verdana"/>
          <w:sz w:val="20"/>
          <w:szCs w:val="20"/>
          <w:lang w:val="pt-BR"/>
        </w:rPr>
        <w:t>lém disso</w:t>
      </w:r>
      <w:r w:rsidRPr="00C40BD9">
        <w:rPr>
          <w:rFonts w:ascii="Verdana" w:hAnsi="Verdana" w:cs="Verdana"/>
          <w:sz w:val="20"/>
          <w:szCs w:val="20"/>
          <w:lang w:val="pt-BR"/>
        </w:rPr>
        <w:t xml:space="preserve">, </w:t>
      </w:r>
      <w:r w:rsidR="00DC5BE7" w:rsidRPr="00C40BD9">
        <w:rPr>
          <w:rFonts w:ascii="Verdana" w:hAnsi="Verdana" w:cs="Verdana"/>
          <w:sz w:val="20"/>
          <w:szCs w:val="20"/>
          <w:lang w:val="pt-BR"/>
        </w:rPr>
        <w:t>o</w:t>
      </w:r>
      <w:r w:rsidR="007A0710" w:rsidRPr="00C40BD9">
        <w:rPr>
          <w:rFonts w:ascii="Verdana" w:hAnsi="Verdana" w:cs="Verdana"/>
          <w:sz w:val="20"/>
          <w:szCs w:val="20"/>
          <w:lang w:val="pt-BR"/>
        </w:rPr>
        <w:t xml:space="preserve"> </w:t>
      </w:r>
      <w:r w:rsidR="00C06A9B" w:rsidRPr="00C40BD9">
        <w:rPr>
          <w:rFonts w:ascii="Verdana" w:hAnsi="Verdana" w:cs="Verdana"/>
          <w:sz w:val="20"/>
          <w:szCs w:val="20"/>
          <w:lang w:val="pt-BR"/>
        </w:rPr>
        <w:t xml:space="preserve">parágrafo </w:t>
      </w:r>
      <w:r w:rsidR="007A0710" w:rsidRPr="00C40BD9">
        <w:rPr>
          <w:rFonts w:ascii="Verdana" w:hAnsi="Verdana" w:cs="Verdana"/>
          <w:sz w:val="20"/>
          <w:szCs w:val="20"/>
          <w:lang w:val="pt-BR"/>
        </w:rPr>
        <w:t xml:space="preserve">250 </w:t>
      </w:r>
      <w:r w:rsidR="00F633DD" w:rsidRPr="00C40BD9">
        <w:rPr>
          <w:rFonts w:ascii="Verdana" w:hAnsi="Verdana" w:cs="Verdana"/>
          <w:sz w:val="20"/>
          <w:szCs w:val="20"/>
          <w:lang w:val="pt-BR"/>
        </w:rPr>
        <w:t>da Sentença</w:t>
      </w:r>
      <w:r w:rsidR="00DE316A">
        <w:rPr>
          <w:rFonts w:ascii="Verdana" w:hAnsi="Verdana" w:cs="Verdana"/>
          <w:sz w:val="20"/>
          <w:szCs w:val="20"/>
          <w:lang w:val="pt-BR"/>
        </w:rPr>
        <w:t xml:space="preserve"> </w:t>
      </w:r>
      <w:r w:rsidR="007A0710" w:rsidRPr="00C40BD9">
        <w:rPr>
          <w:rFonts w:ascii="Verdana" w:hAnsi="Verdana" w:cs="Verdana"/>
          <w:sz w:val="20"/>
          <w:szCs w:val="20"/>
          <w:lang w:val="pt-BR"/>
        </w:rPr>
        <w:t xml:space="preserve">de </w:t>
      </w:r>
      <w:r w:rsidR="00B5454A" w:rsidRPr="00C40BD9">
        <w:rPr>
          <w:rFonts w:ascii="Verdana" w:hAnsi="Verdana" w:cs="Verdana"/>
          <w:sz w:val="20"/>
          <w:szCs w:val="20"/>
          <w:lang w:val="pt-BR"/>
        </w:rPr>
        <w:t xml:space="preserve">Mérito da </w:t>
      </w:r>
      <w:r w:rsidR="00036A1B" w:rsidRPr="00C40BD9">
        <w:rPr>
          <w:rFonts w:ascii="Verdana" w:hAnsi="Verdana" w:cs="Verdana"/>
          <w:sz w:val="20"/>
          <w:szCs w:val="20"/>
          <w:lang w:val="pt-BR"/>
        </w:rPr>
        <w:t xml:space="preserve">Corte </w:t>
      </w:r>
      <w:r w:rsidR="007A0710" w:rsidRPr="00C40BD9">
        <w:rPr>
          <w:rFonts w:ascii="Verdana" w:hAnsi="Verdana" w:cs="Verdana"/>
          <w:sz w:val="20"/>
          <w:szCs w:val="20"/>
          <w:lang w:val="pt-BR"/>
        </w:rPr>
        <w:t>reitera s</w:t>
      </w:r>
      <w:r w:rsidR="00B5454A" w:rsidRPr="00C40BD9">
        <w:rPr>
          <w:rFonts w:ascii="Verdana" w:hAnsi="Verdana" w:cs="Verdana"/>
          <w:sz w:val="20"/>
          <w:szCs w:val="20"/>
          <w:lang w:val="pt-BR"/>
        </w:rPr>
        <w:t>e</w:t>
      </w:r>
      <w:r w:rsidR="007A0710" w:rsidRPr="00C40BD9">
        <w:rPr>
          <w:rFonts w:ascii="Verdana" w:hAnsi="Verdana" w:cs="Verdana"/>
          <w:sz w:val="20"/>
          <w:szCs w:val="20"/>
          <w:lang w:val="pt-BR"/>
        </w:rPr>
        <w:t>u crit</w:t>
      </w:r>
      <w:r w:rsidR="00B5454A" w:rsidRPr="00C40BD9">
        <w:rPr>
          <w:rFonts w:ascii="Verdana" w:hAnsi="Verdana" w:cs="Verdana"/>
          <w:sz w:val="20"/>
          <w:szCs w:val="20"/>
          <w:lang w:val="pt-BR"/>
        </w:rPr>
        <w:t>é</w:t>
      </w:r>
      <w:r w:rsidR="007A0710" w:rsidRPr="00C40BD9">
        <w:rPr>
          <w:rFonts w:ascii="Verdana" w:hAnsi="Verdana" w:cs="Verdana"/>
          <w:sz w:val="20"/>
          <w:szCs w:val="20"/>
          <w:lang w:val="pt-BR"/>
        </w:rPr>
        <w:t xml:space="preserve">rio, </w:t>
      </w:r>
      <w:r w:rsidR="00011A09">
        <w:rPr>
          <w:rFonts w:ascii="Verdana" w:hAnsi="Verdana" w:cs="Verdana"/>
          <w:sz w:val="20"/>
          <w:szCs w:val="20"/>
          <w:lang w:val="pt-BR"/>
        </w:rPr>
        <w:t xml:space="preserve">segundo o qual </w:t>
      </w:r>
      <w:r w:rsidR="006770ED" w:rsidRPr="00C40BD9">
        <w:rPr>
          <w:rFonts w:ascii="Verdana" w:hAnsi="Verdana"/>
          <w:sz w:val="20"/>
          <w:szCs w:val="20"/>
          <w:lang w:val="pt-BR"/>
        </w:rPr>
        <w:t>uma</w:t>
      </w:r>
      <w:r w:rsidR="00DE316A">
        <w:rPr>
          <w:rFonts w:ascii="Verdana" w:hAnsi="Verdana"/>
          <w:sz w:val="20"/>
          <w:szCs w:val="20"/>
          <w:lang w:val="pt-BR"/>
        </w:rPr>
        <w:t xml:space="preserve"> </w:t>
      </w:r>
      <w:r w:rsidR="007A0710" w:rsidRPr="00C40BD9">
        <w:rPr>
          <w:rFonts w:ascii="Verdana" w:hAnsi="Verdana"/>
          <w:sz w:val="20"/>
          <w:szCs w:val="20"/>
          <w:lang w:val="pt-BR"/>
        </w:rPr>
        <w:t>viola</w:t>
      </w:r>
      <w:r w:rsidR="00F633DD" w:rsidRPr="00C40BD9">
        <w:rPr>
          <w:rFonts w:ascii="Verdana" w:hAnsi="Verdana"/>
          <w:sz w:val="20"/>
          <w:szCs w:val="20"/>
          <w:lang w:val="pt-BR"/>
        </w:rPr>
        <w:t>ção</w:t>
      </w:r>
      <w:r w:rsidR="007A0710" w:rsidRPr="00C40BD9">
        <w:rPr>
          <w:rFonts w:ascii="Verdana" w:hAnsi="Verdana"/>
          <w:sz w:val="20"/>
          <w:szCs w:val="20"/>
          <w:lang w:val="pt-BR"/>
        </w:rPr>
        <w:t xml:space="preserve"> d</w:t>
      </w:r>
      <w:r w:rsidR="00B5454A" w:rsidRPr="00C40BD9">
        <w:rPr>
          <w:rFonts w:ascii="Verdana" w:hAnsi="Verdana"/>
          <w:sz w:val="20"/>
          <w:szCs w:val="20"/>
          <w:lang w:val="pt-BR"/>
        </w:rPr>
        <w:t xml:space="preserve">o </w:t>
      </w:r>
      <w:r w:rsidR="006770ED" w:rsidRPr="00C40BD9">
        <w:rPr>
          <w:rFonts w:ascii="Verdana" w:hAnsi="Verdana"/>
          <w:sz w:val="20"/>
          <w:szCs w:val="20"/>
          <w:lang w:val="pt-BR"/>
        </w:rPr>
        <w:t>direito</w:t>
      </w:r>
      <w:r w:rsidR="00DE316A">
        <w:rPr>
          <w:rFonts w:ascii="Verdana" w:hAnsi="Verdana"/>
          <w:sz w:val="20"/>
          <w:szCs w:val="20"/>
          <w:lang w:val="pt-BR"/>
        </w:rPr>
        <w:t xml:space="preserve"> </w:t>
      </w:r>
      <w:r w:rsidR="00B5454A" w:rsidRPr="00C40BD9">
        <w:rPr>
          <w:rFonts w:ascii="Verdana" w:hAnsi="Verdana"/>
          <w:sz w:val="20"/>
          <w:szCs w:val="20"/>
          <w:lang w:val="pt-BR"/>
        </w:rPr>
        <w:t xml:space="preserve">à </w:t>
      </w:r>
      <w:r w:rsidR="007A0710" w:rsidRPr="00C40BD9">
        <w:rPr>
          <w:rFonts w:ascii="Verdana" w:hAnsi="Verdana"/>
          <w:sz w:val="20"/>
          <w:szCs w:val="20"/>
          <w:lang w:val="pt-BR"/>
        </w:rPr>
        <w:t>integridad</w:t>
      </w:r>
      <w:r w:rsidR="00B5454A" w:rsidRPr="00C40BD9">
        <w:rPr>
          <w:rFonts w:ascii="Verdana" w:hAnsi="Verdana"/>
          <w:sz w:val="20"/>
          <w:szCs w:val="20"/>
          <w:lang w:val="pt-BR"/>
        </w:rPr>
        <w:t>e</w:t>
      </w:r>
      <w:r w:rsidR="007A0710" w:rsidRPr="00C40BD9">
        <w:rPr>
          <w:rFonts w:ascii="Verdana" w:hAnsi="Verdana"/>
          <w:sz w:val="20"/>
          <w:szCs w:val="20"/>
          <w:lang w:val="pt-BR"/>
        </w:rPr>
        <w:t xml:space="preserve"> física </w:t>
      </w:r>
      <w:r w:rsidR="00F633DD" w:rsidRPr="00C40BD9">
        <w:rPr>
          <w:rFonts w:ascii="Verdana" w:hAnsi="Verdana"/>
          <w:sz w:val="20"/>
          <w:szCs w:val="20"/>
          <w:lang w:val="pt-BR"/>
        </w:rPr>
        <w:t>e</w:t>
      </w:r>
      <w:r w:rsidR="00DE316A">
        <w:rPr>
          <w:rFonts w:ascii="Verdana" w:hAnsi="Verdana"/>
          <w:sz w:val="20"/>
          <w:szCs w:val="20"/>
          <w:lang w:val="pt-BR"/>
        </w:rPr>
        <w:t xml:space="preserve"> </w:t>
      </w:r>
      <w:r w:rsidR="007A0710" w:rsidRPr="00C40BD9">
        <w:rPr>
          <w:rFonts w:ascii="Verdana" w:hAnsi="Verdana"/>
          <w:sz w:val="20"/>
          <w:szCs w:val="20"/>
          <w:lang w:val="pt-BR"/>
        </w:rPr>
        <w:t xml:space="preserve">psíquica </w:t>
      </w:r>
      <w:r w:rsidR="00C06A9B" w:rsidRPr="00C40BD9">
        <w:rPr>
          <w:rFonts w:ascii="Verdana" w:hAnsi="Verdana"/>
          <w:sz w:val="20"/>
          <w:szCs w:val="20"/>
          <w:lang w:val="pt-BR"/>
        </w:rPr>
        <w:t xml:space="preserve">das </w:t>
      </w:r>
      <w:r w:rsidR="007A0710" w:rsidRPr="00C40BD9">
        <w:rPr>
          <w:rFonts w:ascii="Verdana" w:hAnsi="Verdana"/>
          <w:sz w:val="20"/>
          <w:szCs w:val="20"/>
          <w:lang w:val="pt-BR"/>
        </w:rPr>
        <w:t>pe</w:t>
      </w:r>
      <w:r w:rsidR="00B5454A" w:rsidRPr="00C40BD9">
        <w:rPr>
          <w:rFonts w:ascii="Verdana" w:hAnsi="Verdana"/>
          <w:sz w:val="20"/>
          <w:szCs w:val="20"/>
          <w:lang w:val="pt-BR"/>
        </w:rPr>
        <w:t>s</w:t>
      </w:r>
      <w:r w:rsidR="007A0710" w:rsidRPr="00C40BD9">
        <w:rPr>
          <w:rFonts w:ascii="Verdana" w:hAnsi="Verdana"/>
          <w:sz w:val="20"/>
          <w:szCs w:val="20"/>
          <w:lang w:val="pt-BR"/>
        </w:rPr>
        <w:t xml:space="preserve">soas </w:t>
      </w:r>
      <w:r w:rsidR="00B5454A" w:rsidRPr="00C40BD9">
        <w:rPr>
          <w:rFonts w:ascii="Verdana" w:hAnsi="Verdana"/>
          <w:sz w:val="20"/>
          <w:szCs w:val="20"/>
          <w:lang w:val="pt-BR"/>
        </w:rPr>
        <w:t xml:space="preserve">apresenta </w:t>
      </w:r>
      <w:r w:rsidR="007A0710" w:rsidRPr="00C40BD9">
        <w:rPr>
          <w:rFonts w:ascii="Verdana" w:hAnsi="Verdana"/>
          <w:sz w:val="20"/>
          <w:szCs w:val="20"/>
          <w:lang w:val="pt-BR"/>
        </w:rPr>
        <w:t>diversas conota</w:t>
      </w:r>
      <w:r w:rsidR="00F633DD" w:rsidRPr="00C40BD9">
        <w:rPr>
          <w:rFonts w:ascii="Verdana" w:hAnsi="Verdana"/>
          <w:sz w:val="20"/>
          <w:szCs w:val="20"/>
          <w:lang w:val="pt-BR"/>
        </w:rPr>
        <w:t>ções</w:t>
      </w:r>
      <w:r w:rsidR="007A0710" w:rsidRPr="00C40BD9">
        <w:rPr>
          <w:rFonts w:ascii="Verdana" w:hAnsi="Verdana"/>
          <w:sz w:val="20"/>
          <w:szCs w:val="20"/>
          <w:lang w:val="pt-BR"/>
        </w:rPr>
        <w:t xml:space="preserve"> de gra</w:t>
      </w:r>
      <w:r w:rsidR="00B5454A" w:rsidRPr="00C40BD9">
        <w:rPr>
          <w:rFonts w:ascii="Verdana" w:hAnsi="Verdana"/>
          <w:sz w:val="20"/>
          <w:szCs w:val="20"/>
          <w:lang w:val="pt-BR"/>
        </w:rPr>
        <w:t>u</w:t>
      </w:r>
      <w:r w:rsidR="007A0710" w:rsidRPr="00C40BD9">
        <w:rPr>
          <w:rFonts w:ascii="Verdana" w:hAnsi="Verdana"/>
          <w:sz w:val="20"/>
          <w:szCs w:val="20"/>
          <w:lang w:val="pt-BR"/>
        </w:rPr>
        <w:t xml:space="preserve">. </w:t>
      </w:r>
      <w:r w:rsidR="00B5454A" w:rsidRPr="00C40BD9">
        <w:rPr>
          <w:rFonts w:ascii="Verdana" w:hAnsi="Verdana"/>
          <w:sz w:val="20"/>
          <w:szCs w:val="20"/>
          <w:lang w:val="pt-BR"/>
        </w:rPr>
        <w:t xml:space="preserve">Nesse </w:t>
      </w:r>
      <w:r w:rsidR="007A0710" w:rsidRPr="00C40BD9">
        <w:rPr>
          <w:rFonts w:ascii="Verdana" w:hAnsi="Verdana"/>
          <w:sz w:val="20"/>
          <w:szCs w:val="20"/>
          <w:lang w:val="pt-BR"/>
        </w:rPr>
        <w:t xml:space="preserve">sentido, </w:t>
      </w:r>
      <w:r w:rsidR="006770ED" w:rsidRPr="00C40BD9">
        <w:rPr>
          <w:rFonts w:ascii="Verdana" w:hAnsi="Verdana"/>
          <w:sz w:val="20"/>
          <w:szCs w:val="20"/>
          <w:lang w:val="pt-BR"/>
        </w:rPr>
        <w:t>pode</w:t>
      </w:r>
      <w:r w:rsidR="00DE316A">
        <w:rPr>
          <w:rFonts w:ascii="Verdana" w:hAnsi="Verdana"/>
          <w:sz w:val="20"/>
          <w:szCs w:val="20"/>
          <w:lang w:val="pt-BR"/>
        </w:rPr>
        <w:t xml:space="preserve"> </w:t>
      </w:r>
      <w:r w:rsidR="00B5454A" w:rsidRPr="00C40BD9">
        <w:rPr>
          <w:rFonts w:ascii="Verdana" w:hAnsi="Verdana"/>
          <w:sz w:val="20"/>
          <w:szCs w:val="20"/>
          <w:lang w:val="pt-BR"/>
        </w:rPr>
        <w:t xml:space="preserve">abranger desde a </w:t>
      </w:r>
      <w:r w:rsidR="007A0710" w:rsidRPr="00C40BD9">
        <w:rPr>
          <w:rFonts w:ascii="Verdana" w:hAnsi="Verdana"/>
          <w:sz w:val="20"/>
          <w:szCs w:val="20"/>
          <w:lang w:val="pt-BR"/>
        </w:rPr>
        <w:t xml:space="preserve">tortura </w:t>
      </w:r>
      <w:r w:rsidR="00B5454A" w:rsidRPr="00C40BD9">
        <w:rPr>
          <w:rFonts w:ascii="Verdana" w:hAnsi="Verdana"/>
          <w:sz w:val="20"/>
          <w:szCs w:val="20"/>
          <w:lang w:val="pt-BR"/>
        </w:rPr>
        <w:t xml:space="preserve">até outro </w:t>
      </w:r>
      <w:r w:rsidR="007A0710" w:rsidRPr="00C40BD9">
        <w:rPr>
          <w:rFonts w:ascii="Verdana" w:hAnsi="Verdana"/>
          <w:sz w:val="20"/>
          <w:szCs w:val="20"/>
          <w:lang w:val="pt-BR"/>
        </w:rPr>
        <w:t xml:space="preserve">tipo de </w:t>
      </w:r>
      <w:r w:rsidR="00B5454A" w:rsidRPr="00C40BD9">
        <w:rPr>
          <w:rFonts w:ascii="Verdana" w:hAnsi="Verdana"/>
          <w:sz w:val="20"/>
          <w:szCs w:val="20"/>
          <w:lang w:val="pt-BR"/>
        </w:rPr>
        <w:t xml:space="preserve">constrangimento ou tratamentos cruéis, desumanos ou </w:t>
      </w:r>
      <w:r w:rsidR="007A0710" w:rsidRPr="00C40BD9">
        <w:rPr>
          <w:rFonts w:ascii="Verdana" w:hAnsi="Verdana"/>
          <w:sz w:val="20"/>
          <w:szCs w:val="20"/>
          <w:lang w:val="pt-BR"/>
        </w:rPr>
        <w:t xml:space="preserve">degradantes, </w:t>
      </w:r>
      <w:r w:rsidR="00B5454A" w:rsidRPr="00C40BD9">
        <w:rPr>
          <w:rFonts w:ascii="Verdana" w:hAnsi="Verdana"/>
          <w:sz w:val="20"/>
          <w:szCs w:val="20"/>
          <w:lang w:val="pt-BR"/>
        </w:rPr>
        <w:t xml:space="preserve">cujas </w:t>
      </w:r>
      <w:r w:rsidR="007A0710" w:rsidRPr="00C40BD9">
        <w:rPr>
          <w:rFonts w:ascii="Verdana" w:hAnsi="Verdana"/>
          <w:sz w:val="20"/>
          <w:szCs w:val="20"/>
          <w:lang w:val="pt-BR"/>
        </w:rPr>
        <w:t>se</w:t>
      </w:r>
      <w:r w:rsidR="00B5454A" w:rsidRPr="00C40BD9">
        <w:rPr>
          <w:rFonts w:ascii="Verdana" w:hAnsi="Verdana"/>
          <w:sz w:val="20"/>
          <w:szCs w:val="20"/>
          <w:lang w:val="pt-BR"/>
        </w:rPr>
        <w:t>q</w:t>
      </w:r>
      <w:r w:rsidR="007A0710" w:rsidRPr="00C40BD9">
        <w:rPr>
          <w:rFonts w:ascii="Verdana" w:hAnsi="Verdana"/>
          <w:sz w:val="20"/>
          <w:szCs w:val="20"/>
          <w:lang w:val="pt-BR"/>
        </w:rPr>
        <w:t xml:space="preserve">uelas físicas </w:t>
      </w:r>
      <w:r w:rsidR="00F633DD" w:rsidRPr="00C40BD9">
        <w:rPr>
          <w:rFonts w:ascii="Verdana" w:hAnsi="Verdana"/>
          <w:sz w:val="20"/>
          <w:szCs w:val="20"/>
          <w:lang w:val="pt-BR"/>
        </w:rPr>
        <w:t>e</w:t>
      </w:r>
      <w:r w:rsidR="00DE316A">
        <w:rPr>
          <w:rFonts w:ascii="Verdana" w:hAnsi="Verdana"/>
          <w:sz w:val="20"/>
          <w:szCs w:val="20"/>
          <w:lang w:val="pt-BR"/>
        </w:rPr>
        <w:t xml:space="preserve"> </w:t>
      </w:r>
      <w:r w:rsidR="007A0710" w:rsidRPr="00C40BD9">
        <w:rPr>
          <w:rFonts w:ascii="Verdana" w:hAnsi="Verdana"/>
          <w:sz w:val="20"/>
          <w:szCs w:val="20"/>
          <w:lang w:val="pt-BR"/>
        </w:rPr>
        <w:t>psíquicas var</w:t>
      </w:r>
      <w:r w:rsidR="00B5454A" w:rsidRPr="00C40BD9">
        <w:rPr>
          <w:rFonts w:ascii="Verdana" w:hAnsi="Verdana"/>
          <w:sz w:val="20"/>
          <w:szCs w:val="20"/>
          <w:lang w:val="pt-BR"/>
        </w:rPr>
        <w:t xml:space="preserve">iam </w:t>
      </w:r>
      <w:r w:rsidR="007A0710" w:rsidRPr="00C40BD9">
        <w:rPr>
          <w:rFonts w:ascii="Verdana" w:hAnsi="Verdana"/>
          <w:sz w:val="20"/>
          <w:szCs w:val="20"/>
          <w:lang w:val="pt-BR"/>
        </w:rPr>
        <w:t>de intensidad</w:t>
      </w:r>
      <w:r w:rsidR="00B5454A" w:rsidRPr="00C40BD9">
        <w:rPr>
          <w:rFonts w:ascii="Verdana" w:hAnsi="Verdana"/>
          <w:sz w:val="20"/>
          <w:szCs w:val="20"/>
          <w:lang w:val="pt-BR"/>
        </w:rPr>
        <w:t>e</w:t>
      </w:r>
      <w:r w:rsidR="008577C7">
        <w:rPr>
          <w:rFonts w:ascii="Verdana" w:hAnsi="Verdana"/>
          <w:sz w:val="20"/>
          <w:szCs w:val="20"/>
          <w:lang w:val="pt-BR"/>
        </w:rPr>
        <w:t>, de acordo com</w:t>
      </w:r>
      <w:r w:rsidR="007A0710" w:rsidRPr="00C40BD9">
        <w:rPr>
          <w:rFonts w:ascii="Verdana" w:hAnsi="Verdana"/>
          <w:sz w:val="20"/>
          <w:szCs w:val="20"/>
          <w:lang w:val="pt-BR"/>
        </w:rPr>
        <w:t xml:space="preserve"> fatores endógenos </w:t>
      </w:r>
      <w:r w:rsidR="00F633DD" w:rsidRPr="00C40BD9">
        <w:rPr>
          <w:rFonts w:ascii="Verdana" w:hAnsi="Verdana"/>
          <w:sz w:val="20"/>
          <w:szCs w:val="20"/>
          <w:lang w:val="pt-BR"/>
        </w:rPr>
        <w:t>e</w:t>
      </w:r>
      <w:r w:rsidR="00DE316A">
        <w:rPr>
          <w:rFonts w:ascii="Verdana" w:hAnsi="Verdana"/>
          <w:sz w:val="20"/>
          <w:szCs w:val="20"/>
          <w:lang w:val="pt-BR"/>
        </w:rPr>
        <w:t xml:space="preserve"> </w:t>
      </w:r>
      <w:r w:rsidR="007A0710" w:rsidRPr="00C40BD9">
        <w:rPr>
          <w:rFonts w:ascii="Verdana" w:hAnsi="Verdana"/>
          <w:sz w:val="20"/>
          <w:szCs w:val="20"/>
          <w:lang w:val="pt-BR"/>
        </w:rPr>
        <w:t xml:space="preserve">exógenos </w:t>
      </w:r>
      <w:r w:rsidR="00F633DD" w:rsidRPr="00C40BD9">
        <w:rPr>
          <w:rFonts w:ascii="Verdana" w:hAnsi="Verdana"/>
          <w:sz w:val="20"/>
          <w:szCs w:val="20"/>
          <w:lang w:val="pt-BR"/>
        </w:rPr>
        <w:t xml:space="preserve">da </w:t>
      </w:r>
      <w:r w:rsidR="007A0710" w:rsidRPr="00C40BD9">
        <w:rPr>
          <w:rFonts w:ascii="Verdana" w:hAnsi="Verdana"/>
          <w:sz w:val="20"/>
          <w:szCs w:val="20"/>
          <w:lang w:val="pt-BR"/>
        </w:rPr>
        <w:t>pes</w:t>
      </w:r>
      <w:r w:rsidR="00B5454A" w:rsidRPr="00C40BD9">
        <w:rPr>
          <w:rFonts w:ascii="Verdana" w:hAnsi="Verdana"/>
          <w:sz w:val="20"/>
          <w:szCs w:val="20"/>
          <w:lang w:val="pt-BR"/>
        </w:rPr>
        <w:t>s</w:t>
      </w:r>
      <w:r w:rsidR="007A0710" w:rsidRPr="00C40BD9">
        <w:rPr>
          <w:rFonts w:ascii="Verdana" w:hAnsi="Verdana"/>
          <w:sz w:val="20"/>
          <w:szCs w:val="20"/>
          <w:lang w:val="pt-BR"/>
        </w:rPr>
        <w:t>oa (dura</w:t>
      </w:r>
      <w:r w:rsidR="00F633DD" w:rsidRPr="00C40BD9">
        <w:rPr>
          <w:rFonts w:ascii="Verdana" w:hAnsi="Verdana"/>
          <w:sz w:val="20"/>
          <w:szCs w:val="20"/>
          <w:lang w:val="pt-BR"/>
        </w:rPr>
        <w:t>ção</w:t>
      </w:r>
      <w:r w:rsidR="007A0710" w:rsidRPr="00C40BD9">
        <w:rPr>
          <w:rFonts w:ascii="Verdana" w:hAnsi="Verdana"/>
          <w:sz w:val="20"/>
          <w:szCs w:val="20"/>
          <w:lang w:val="pt-BR"/>
        </w:rPr>
        <w:t xml:space="preserve"> </w:t>
      </w:r>
      <w:r w:rsidR="00C06A9B" w:rsidRPr="00C40BD9">
        <w:rPr>
          <w:rFonts w:ascii="Verdana" w:hAnsi="Verdana"/>
          <w:sz w:val="20"/>
          <w:szCs w:val="20"/>
          <w:lang w:val="pt-BR"/>
        </w:rPr>
        <w:t xml:space="preserve">dos </w:t>
      </w:r>
      <w:r w:rsidR="007A0710" w:rsidRPr="00C40BD9">
        <w:rPr>
          <w:rFonts w:ascii="Verdana" w:hAnsi="Verdana"/>
          <w:sz w:val="20"/>
          <w:szCs w:val="20"/>
          <w:lang w:val="pt-BR"/>
        </w:rPr>
        <w:t>trat</w:t>
      </w:r>
      <w:r w:rsidR="00B5454A" w:rsidRPr="00C40BD9">
        <w:rPr>
          <w:rFonts w:ascii="Verdana" w:hAnsi="Verdana"/>
          <w:sz w:val="20"/>
          <w:szCs w:val="20"/>
          <w:lang w:val="pt-BR"/>
        </w:rPr>
        <w:t>ament</w:t>
      </w:r>
      <w:r w:rsidR="007A0710" w:rsidRPr="00C40BD9">
        <w:rPr>
          <w:rFonts w:ascii="Verdana" w:hAnsi="Verdana"/>
          <w:sz w:val="20"/>
          <w:szCs w:val="20"/>
          <w:lang w:val="pt-BR"/>
        </w:rPr>
        <w:t xml:space="preserve">os, </w:t>
      </w:r>
      <w:r w:rsidR="00B5454A" w:rsidRPr="00C40BD9">
        <w:rPr>
          <w:rFonts w:ascii="Verdana" w:hAnsi="Verdana"/>
          <w:sz w:val="20"/>
          <w:szCs w:val="20"/>
          <w:lang w:val="pt-BR"/>
        </w:rPr>
        <w:t>i</w:t>
      </w:r>
      <w:r w:rsidR="007A0710" w:rsidRPr="00C40BD9">
        <w:rPr>
          <w:rFonts w:ascii="Verdana" w:hAnsi="Verdana"/>
          <w:sz w:val="20"/>
          <w:szCs w:val="20"/>
          <w:lang w:val="pt-BR"/>
        </w:rPr>
        <w:t>dad</w:t>
      </w:r>
      <w:r w:rsidR="00B5454A" w:rsidRPr="00C40BD9">
        <w:rPr>
          <w:rFonts w:ascii="Verdana" w:hAnsi="Verdana"/>
          <w:sz w:val="20"/>
          <w:szCs w:val="20"/>
          <w:lang w:val="pt-BR"/>
        </w:rPr>
        <w:t>e</w:t>
      </w:r>
      <w:r w:rsidR="007A0710" w:rsidRPr="00C40BD9">
        <w:rPr>
          <w:rFonts w:ascii="Verdana" w:hAnsi="Verdana"/>
          <w:sz w:val="20"/>
          <w:szCs w:val="20"/>
          <w:lang w:val="pt-BR"/>
        </w:rPr>
        <w:t>, sexo, sa</w:t>
      </w:r>
      <w:r w:rsidR="00B5454A" w:rsidRPr="00C40BD9">
        <w:rPr>
          <w:rFonts w:ascii="Verdana" w:hAnsi="Verdana"/>
          <w:sz w:val="20"/>
          <w:szCs w:val="20"/>
          <w:lang w:val="pt-BR"/>
        </w:rPr>
        <w:t>úde</w:t>
      </w:r>
      <w:r w:rsidR="007A0710" w:rsidRPr="00C40BD9">
        <w:rPr>
          <w:rFonts w:ascii="Verdana" w:hAnsi="Verdana"/>
          <w:sz w:val="20"/>
          <w:szCs w:val="20"/>
          <w:lang w:val="pt-BR"/>
        </w:rPr>
        <w:t>, contexto</w:t>
      </w:r>
      <w:r w:rsidR="00B5454A" w:rsidRPr="00C40BD9">
        <w:rPr>
          <w:rFonts w:ascii="Verdana" w:hAnsi="Verdana"/>
          <w:sz w:val="20"/>
          <w:szCs w:val="20"/>
          <w:lang w:val="pt-BR"/>
        </w:rPr>
        <w:t xml:space="preserve"> e</w:t>
      </w:r>
      <w:r w:rsidR="007A0710" w:rsidRPr="00C40BD9">
        <w:rPr>
          <w:rFonts w:ascii="Verdana" w:hAnsi="Verdana"/>
          <w:sz w:val="20"/>
          <w:szCs w:val="20"/>
          <w:lang w:val="pt-BR"/>
        </w:rPr>
        <w:t xml:space="preserve"> vulnerabilidad</w:t>
      </w:r>
      <w:r w:rsidR="00B5454A" w:rsidRPr="00C40BD9">
        <w:rPr>
          <w:rFonts w:ascii="Verdana" w:hAnsi="Verdana"/>
          <w:sz w:val="20"/>
          <w:szCs w:val="20"/>
          <w:lang w:val="pt-BR"/>
        </w:rPr>
        <w:t>e</w:t>
      </w:r>
      <w:r w:rsidR="007A0710" w:rsidRPr="00C40BD9">
        <w:rPr>
          <w:rFonts w:ascii="Verdana" w:hAnsi="Verdana"/>
          <w:sz w:val="20"/>
          <w:szCs w:val="20"/>
          <w:lang w:val="pt-BR"/>
        </w:rPr>
        <w:t xml:space="preserve">, entre </w:t>
      </w:r>
      <w:r w:rsidR="00B5454A" w:rsidRPr="00C40BD9">
        <w:rPr>
          <w:rFonts w:ascii="Verdana" w:hAnsi="Verdana"/>
          <w:sz w:val="20"/>
          <w:szCs w:val="20"/>
          <w:lang w:val="pt-BR"/>
        </w:rPr>
        <w:t>outros</w:t>
      </w:r>
      <w:r w:rsidR="007A0710" w:rsidRPr="00C40BD9">
        <w:rPr>
          <w:rFonts w:ascii="Verdana" w:hAnsi="Verdana"/>
          <w:sz w:val="20"/>
          <w:szCs w:val="20"/>
          <w:lang w:val="pt-BR"/>
        </w:rPr>
        <w:t>)</w:t>
      </w:r>
      <w:r w:rsidR="006E2010">
        <w:rPr>
          <w:rFonts w:ascii="Verdana" w:hAnsi="Verdana"/>
          <w:sz w:val="20"/>
          <w:szCs w:val="20"/>
          <w:lang w:val="pt-BR"/>
        </w:rPr>
        <w:t>,</w:t>
      </w:r>
      <w:r w:rsidR="007A0710" w:rsidRPr="00C40BD9">
        <w:rPr>
          <w:rFonts w:ascii="Verdana" w:hAnsi="Verdana"/>
          <w:sz w:val="20"/>
          <w:szCs w:val="20"/>
          <w:lang w:val="pt-BR"/>
        </w:rPr>
        <w:t xml:space="preserve"> que de</w:t>
      </w:r>
      <w:r w:rsidR="00B5454A" w:rsidRPr="00C40BD9">
        <w:rPr>
          <w:rFonts w:ascii="Verdana" w:hAnsi="Verdana"/>
          <w:sz w:val="20"/>
          <w:szCs w:val="20"/>
          <w:lang w:val="pt-BR"/>
        </w:rPr>
        <w:t xml:space="preserve">vem </w:t>
      </w:r>
      <w:r w:rsidR="007A0710" w:rsidRPr="00C40BD9">
        <w:rPr>
          <w:rFonts w:ascii="Verdana" w:hAnsi="Verdana"/>
          <w:sz w:val="20"/>
          <w:szCs w:val="20"/>
          <w:lang w:val="pt-BR"/>
        </w:rPr>
        <w:t>ser anali</w:t>
      </w:r>
      <w:r w:rsidR="00B5454A" w:rsidRPr="00C40BD9">
        <w:rPr>
          <w:rFonts w:ascii="Verdana" w:hAnsi="Verdana"/>
          <w:sz w:val="20"/>
          <w:szCs w:val="20"/>
          <w:lang w:val="pt-BR"/>
        </w:rPr>
        <w:t>s</w:t>
      </w:r>
      <w:r w:rsidR="007A0710" w:rsidRPr="00C40BD9">
        <w:rPr>
          <w:rFonts w:ascii="Verdana" w:hAnsi="Verdana"/>
          <w:sz w:val="20"/>
          <w:szCs w:val="20"/>
          <w:lang w:val="pt-BR"/>
        </w:rPr>
        <w:t>ados e</w:t>
      </w:r>
      <w:r w:rsidR="00B5454A" w:rsidRPr="00C40BD9">
        <w:rPr>
          <w:rFonts w:ascii="Verdana" w:hAnsi="Verdana"/>
          <w:sz w:val="20"/>
          <w:szCs w:val="20"/>
          <w:lang w:val="pt-BR"/>
        </w:rPr>
        <w:t>m</w:t>
      </w:r>
      <w:r w:rsidR="007A0710" w:rsidRPr="00C40BD9">
        <w:rPr>
          <w:rFonts w:ascii="Verdana" w:hAnsi="Verdana"/>
          <w:sz w:val="20"/>
          <w:szCs w:val="20"/>
          <w:lang w:val="pt-BR"/>
        </w:rPr>
        <w:t xml:space="preserve"> cada situa</w:t>
      </w:r>
      <w:r w:rsidR="00F633DD" w:rsidRPr="00C40BD9">
        <w:rPr>
          <w:rFonts w:ascii="Verdana" w:hAnsi="Verdana"/>
          <w:sz w:val="20"/>
          <w:szCs w:val="20"/>
          <w:lang w:val="pt-BR"/>
        </w:rPr>
        <w:t>ção</w:t>
      </w:r>
      <w:r w:rsidR="007A0710" w:rsidRPr="00C40BD9">
        <w:rPr>
          <w:rFonts w:ascii="Verdana" w:hAnsi="Verdana"/>
          <w:sz w:val="20"/>
          <w:szCs w:val="20"/>
          <w:lang w:val="pt-BR"/>
        </w:rPr>
        <w:t xml:space="preserve"> concreta</w:t>
      </w:r>
      <w:r w:rsidR="00031FFD">
        <w:rPr>
          <w:rFonts w:ascii="Verdana" w:hAnsi="Verdana"/>
          <w:sz w:val="20"/>
          <w:szCs w:val="20"/>
          <w:lang w:val="pt-BR"/>
        </w:rPr>
        <w:t>.</w:t>
      </w:r>
      <w:r w:rsidR="007A0710" w:rsidRPr="00C40BD9">
        <w:rPr>
          <w:rFonts w:ascii="Verdana" w:hAnsi="Verdana"/>
          <w:b/>
          <w:sz w:val="20"/>
          <w:szCs w:val="20"/>
          <w:lang w:val="pt-BR"/>
        </w:rPr>
        <w:t xml:space="preserve"> </w:t>
      </w:r>
    </w:p>
    <w:p w:rsidR="00C0777A" w:rsidRPr="00C40BD9" w:rsidRDefault="00C0777A" w:rsidP="00A82FB4">
      <w:pPr>
        <w:autoSpaceDE w:val="0"/>
        <w:autoSpaceDN w:val="0"/>
        <w:adjustRightInd w:val="0"/>
        <w:spacing w:after="0" w:line="240" w:lineRule="auto"/>
        <w:jc w:val="both"/>
        <w:rPr>
          <w:rFonts w:ascii="Verdana" w:hAnsi="Verdana" w:cs="Verdana"/>
          <w:sz w:val="20"/>
          <w:szCs w:val="20"/>
          <w:lang w:val="pt-BR"/>
        </w:rPr>
      </w:pPr>
    </w:p>
    <w:p w:rsidR="00E06E90" w:rsidRPr="00C40BD9" w:rsidRDefault="00B5454A" w:rsidP="00A82FB4">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pt-BR"/>
        </w:rPr>
      </w:pPr>
      <w:r w:rsidRPr="00C40BD9">
        <w:rPr>
          <w:rFonts w:ascii="Verdana" w:hAnsi="Verdana" w:cs="Verdana"/>
          <w:sz w:val="20"/>
          <w:szCs w:val="20"/>
          <w:lang w:val="pt-BR"/>
        </w:rPr>
        <w:lastRenderedPageBreak/>
        <w:t>E</w:t>
      </w:r>
      <w:r w:rsidR="007A0710" w:rsidRPr="00C40BD9">
        <w:rPr>
          <w:rFonts w:ascii="Verdana" w:hAnsi="Verdana" w:cs="Verdana"/>
          <w:sz w:val="20"/>
          <w:szCs w:val="20"/>
          <w:lang w:val="pt-BR"/>
        </w:rPr>
        <w:t xml:space="preserve">sta Corte </w:t>
      </w:r>
      <w:r w:rsidRPr="00C40BD9">
        <w:rPr>
          <w:rFonts w:ascii="Verdana" w:hAnsi="Verdana" w:cs="Verdana"/>
          <w:sz w:val="20"/>
          <w:szCs w:val="20"/>
          <w:lang w:val="pt-BR"/>
        </w:rPr>
        <w:t xml:space="preserve">também salientou, no </w:t>
      </w:r>
      <w:r w:rsidR="00C06A9B" w:rsidRPr="00C40BD9">
        <w:rPr>
          <w:rFonts w:ascii="Verdana" w:hAnsi="Verdana" w:cs="Verdana"/>
          <w:sz w:val="20"/>
          <w:szCs w:val="20"/>
          <w:lang w:val="pt-BR"/>
        </w:rPr>
        <w:t>parágrafo</w:t>
      </w:r>
      <w:r w:rsidR="00DE316A">
        <w:rPr>
          <w:rFonts w:ascii="Verdana" w:hAnsi="Verdana" w:cs="Verdana"/>
          <w:sz w:val="20"/>
          <w:szCs w:val="20"/>
          <w:lang w:val="pt-BR"/>
        </w:rPr>
        <w:t xml:space="preserve"> </w:t>
      </w:r>
      <w:r w:rsidR="007A0710" w:rsidRPr="00C40BD9">
        <w:rPr>
          <w:rFonts w:ascii="Verdana" w:hAnsi="Verdana" w:cs="Verdana"/>
          <w:sz w:val="20"/>
          <w:szCs w:val="20"/>
          <w:lang w:val="pt-BR"/>
        </w:rPr>
        <w:t xml:space="preserve">252 </w:t>
      </w:r>
      <w:r w:rsidR="00F633DD" w:rsidRPr="00C40BD9">
        <w:rPr>
          <w:rFonts w:ascii="Verdana" w:hAnsi="Verdana" w:cs="Verdana"/>
          <w:sz w:val="20"/>
          <w:szCs w:val="20"/>
          <w:lang w:val="pt-BR"/>
        </w:rPr>
        <w:t>da Sentença</w:t>
      </w:r>
      <w:r w:rsidR="007A0710" w:rsidRPr="00C40BD9">
        <w:rPr>
          <w:rFonts w:ascii="Verdana" w:hAnsi="Verdana" w:cs="Verdana"/>
          <w:sz w:val="20"/>
          <w:szCs w:val="20"/>
          <w:lang w:val="pt-BR"/>
        </w:rPr>
        <w:t>, os numerosos casos e</w:t>
      </w:r>
      <w:r w:rsidRPr="00C40BD9">
        <w:rPr>
          <w:rFonts w:ascii="Verdana" w:hAnsi="Verdana" w:cs="Verdana"/>
          <w:sz w:val="20"/>
          <w:szCs w:val="20"/>
          <w:lang w:val="pt-BR"/>
        </w:rPr>
        <w:t xml:space="preserve">m sua </w:t>
      </w:r>
      <w:r w:rsidR="00970B13" w:rsidRPr="00C40BD9">
        <w:rPr>
          <w:rFonts w:ascii="Verdana" w:hAnsi="Verdana" w:cs="Verdana"/>
          <w:sz w:val="20"/>
          <w:szCs w:val="20"/>
          <w:lang w:val="pt-BR"/>
        </w:rPr>
        <w:t>jurisprudência</w:t>
      </w:r>
      <w:r w:rsidRPr="00C40BD9">
        <w:rPr>
          <w:rFonts w:ascii="Verdana" w:hAnsi="Verdana" w:cs="Verdana"/>
          <w:sz w:val="20"/>
          <w:szCs w:val="20"/>
          <w:lang w:val="pt-BR"/>
        </w:rPr>
        <w:t xml:space="preserve"> nos quais </w:t>
      </w:r>
      <w:r w:rsidR="00031FFD">
        <w:rPr>
          <w:rFonts w:ascii="Verdana" w:hAnsi="Verdana" w:cs="Verdana"/>
          <w:sz w:val="20"/>
          <w:szCs w:val="20"/>
          <w:lang w:val="pt-BR"/>
        </w:rPr>
        <w:t xml:space="preserve">o estupro </w:t>
      </w:r>
      <w:r w:rsidRPr="00C40BD9">
        <w:rPr>
          <w:rFonts w:ascii="Verdana" w:hAnsi="Verdana" w:cs="Verdana"/>
          <w:sz w:val="20"/>
          <w:szCs w:val="20"/>
          <w:lang w:val="pt-BR"/>
        </w:rPr>
        <w:t xml:space="preserve">foi </w:t>
      </w:r>
      <w:r w:rsidR="007A0710" w:rsidRPr="00C40BD9">
        <w:rPr>
          <w:rFonts w:ascii="Verdana" w:hAnsi="Verdana" w:cs="Verdana"/>
          <w:sz w:val="20"/>
          <w:szCs w:val="20"/>
          <w:lang w:val="pt-BR"/>
        </w:rPr>
        <w:t>considerad</w:t>
      </w:r>
      <w:r w:rsidR="00031FFD">
        <w:rPr>
          <w:rFonts w:ascii="Verdana" w:hAnsi="Verdana" w:cs="Verdana"/>
          <w:sz w:val="20"/>
          <w:szCs w:val="20"/>
          <w:lang w:val="pt-BR"/>
        </w:rPr>
        <w:t>o</w:t>
      </w:r>
      <w:r w:rsidR="007A0710" w:rsidRPr="00C40BD9">
        <w:rPr>
          <w:rFonts w:ascii="Verdana" w:hAnsi="Verdana" w:cs="Verdana"/>
          <w:sz w:val="20"/>
          <w:szCs w:val="20"/>
          <w:lang w:val="pt-BR"/>
        </w:rPr>
        <w:t xml:space="preserve"> </w:t>
      </w:r>
      <w:r w:rsidR="006770ED" w:rsidRPr="00C40BD9">
        <w:rPr>
          <w:rFonts w:ascii="Verdana" w:hAnsi="Verdana" w:cs="Verdana"/>
          <w:sz w:val="20"/>
          <w:szCs w:val="20"/>
          <w:lang w:val="pt-BR"/>
        </w:rPr>
        <w:t>uma</w:t>
      </w:r>
      <w:r w:rsidR="00DE316A">
        <w:rPr>
          <w:rFonts w:ascii="Verdana" w:hAnsi="Verdana" w:cs="Verdana"/>
          <w:sz w:val="20"/>
          <w:szCs w:val="20"/>
          <w:lang w:val="pt-BR"/>
        </w:rPr>
        <w:t xml:space="preserve"> </w:t>
      </w:r>
      <w:r w:rsidR="007A0710" w:rsidRPr="00C40BD9">
        <w:rPr>
          <w:rFonts w:ascii="Verdana" w:hAnsi="Verdana" w:cs="Verdana"/>
          <w:sz w:val="20"/>
          <w:szCs w:val="20"/>
          <w:lang w:val="pt-BR"/>
        </w:rPr>
        <w:t>forma de tortura.</w:t>
      </w:r>
    </w:p>
    <w:p w:rsidR="00E06E90" w:rsidRPr="00C40BD9" w:rsidRDefault="00E06E90" w:rsidP="00A82FB4">
      <w:pPr>
        <w:pStyle w:val="ListParagraph"/>
        <w:spacing w:after="0" w:line="240" w:lineRule="auto"/>
        <w:contextualSpacing w:val="0"/>
        <w:rPr>
          <w:rFonts w:ascii="Verdana" w:hAnsi="Verdana" w:cs="Verdana"/>
          <w:sz w:val="20"/>
          <w:szCs w:val="20"/>
          <w:lang w:val="pt-BR"/>
        </w:rPr>
      </w:pPr>
    </w:p>
    <w:p w:rsidR="00351415" w:rsidRPr="00C40BD9" w:rsidRDefault="00B5454A" w:rsidP="00A82FB4">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pt-BR"/>
        </w:rPr>
      </w:pPr>
      <w:r w:rsidRPr="00C40BD9">
        <w:rPr>
          <w:rFonts w:ascii="Verdana" w:hAnsi="Verdana" w:cs="Verdana"/>
          <w:sz w:val="20"/>
          <w:szCs w:val="20"/>
          <w:lang w:val="pt-BR"/>
        </w:rPr>
        <w:t xml:space="preserve">Fica evidente do exposto </w:t>
      </w:r>
      <w:r w:rsidR="00E06E90" w:rsidRPr="00C40BD9">
        <w:rPr>
          <w:rFonts w:ascii="Verdana" w:hAnsi="Verdana" w:cs="Verdana"/>
          <w:sz w:val="20"/>
          <w:szCs w:val="20"/>
          <w:lang w:val="pt-BR"/>
        </w:rPr>
        <w:t xml:space="preserve">que </w:t>
      </w:r>
      <w:r w:rsidR="00036A1B" w:rsidRPr="00C40BD9">
        <w:rPr>
          <w:rFonts w:ascii="Verdana" w:hAnsi="Verdana" w:cs="Verdana"/>
          <w:sz w:val="20"/>
          <w:szCs w:val="20"/>
          <w:lang w:val="pt-BR"/>
        </w:rPr>
        <w:t xml:space="preserve">a Corte </w:t>
      </w:r>
      <w:r w:rsidR="00E06E90" w:rsidRPr="00C40BD9">
        <w:rPr>
          <w:rFonts w:ascii="Verdana" w:hAnsi="Verdana" w:cs="Verdana"/>
          <w:sz w:val="20"/>
          <w:szCs w:val="20"/>
          <w:lang w:val="pt-BR"/>
        </w:rPr>
        <w:t xml:space="preserve">considera que </w:t>
      </w:r>
      <w:r w:rsidR="00D90043">
        <w:rPr>
          <w:rFonts w:ascii="Verdana" w:hAnsi="Verdana" w:cs="Verdana"/>
          <w:sz w:val="20"/>
          <w:szCs w:val="20"/>
          <w:lang w:val="pt-BR"/>
        </w:rPr>
        <w:t xml:space="preserve">os estupros cometidos </w:t>
      </w:r>
      <w:r w:rsidR="00E06E90" w:rsidRPr="00C40BD9">
        <w:rPr>
          <w:rFonts w:ascii="Verdana" w:hAnsi="Verdana" w:cs="Verdana"/>
          <w:sz w:val="20"/>
          <w:szCs w:val="20"/>
          <w:lang w:val="pt-BR"/>
        </w:rPr>
        <w:t xml:space="preserve">por agentes </w:t>
      </w:r>
      <w:r w:rsidR="00970B13" w:rsidRPr="00C40BD9">
        <w:rPr>
          <w:rFonts w:ascii="Verdana" w:hAnsi="Verdana" w:cs="Verdana"/>
          <w:sz w:val="20"/>
          <w:szCs w:val="20"/>
          <w:lang w:val="pt-BR"/>
        </w:rPr>
        <w:t xml:space="preserve">do Estado </w:t>
      </w:r>
      <w:r w:rsidR="00E06E90" w:rsidRPr="00C40BD9">
        <w:rPr>
          <w:rFonts w:ascii="Verdana" w:hAnsi="Verdana" w:cs="Verdana"/>
          <w:sz w:val="20"/>
          <w:szCs w:val="20"/>
          <w:lang w:val="pt-BR"/>
        </w:rPr>
        <w:t xml:space="preserve">contra </w:t>
      </w:r>
      <w:r w:rsidR="00D5218C" w:rsidRPr="00C40BD9">
        <w:rPr>
          <w:rFonts w:ascii="Verdana" w:hAnsi="Verdana" w:cs="Verdana"/>
          <w:sz w:val="20"/>
          <w:szCs w:val="20"/>
          <w:lang w:val="pt-BR"/>
        </w:rPr>
        <w:t xml:space="preserve">L.R.J., C.S.S.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00D5218C" w:rsidRPr="00C40BD9">
        <w:rPr>
          <w:rFonts w:ascii="Verdana" w:hAnsi="Verdana" w:cs="Verdana"/>
          <w:sz w:val="20"/>
          <w:szCs w:val="20"/>
          <w:lang w:val="pt-BR"/>
        </w:rPr>
        <w:t>J.F.C. representa</w:t>
      </w:r>
      <w:r w:rsidRPr="00C40BD9">
        <w:rPr>
          <w:rFonts w:ascii="Verdana" w:hAnsi="Verdana" w:cs="Verdana"/>
          <w:sz w:val="20"/>
          <w:szCs w:val="20"/>
          <w:lang w:val="pt-BR"/>
        </w:rPr>
        <w:t>m</w:t>
      </w:r>
      <w:r w:rsidR="00D5218C" w:rsidRPr="00C40BD9">
        <w:rPr>
          <w:rFonts w:ascii="Verdana" w:hAnsi="Verdana" w:cs="Verdana"/>
          <w:sz w:val="20"/>
          <w:szCs w:val="20"/>
          <w:lang w:val="pt-BR"/>
        </w:rPr>
        <w:t xml:space="preserve"> graves viola</w:t>
      </w:r>
      <w:r w:rsidR="00F633DD" w:rsidRPr="00C40BD9">
        <w:rPr>
          <w:rFonts w:ascii="Verdana" w:hAnsi="Verdana" w:cs="Verdana"/>
          <w:sz w:val="20"/>
          <w:szCs w:val="20"/>
          <w:lang w:val="pt-BR"/>
        </w:rPr>
        <w:t>ções</w:t>
      </w:r>
      <w:r w:rsidR="00D5218C" w:rsidRPr="00C40BD9">
        <w:rPr>
          <w:rFonts w:ascii="Verdana" w:hAnsi="Verdana" w:cs="Verdana"/>
          <w:sz w:val="20"/>
          <w:szCs w:val="20"/>
          <w:lang w:val="pt-BR"/>
        </w:rPr>
        <w:t xml:space="preserve"> de </w:t>
      </w:r>
      <w:r w:rsidR="000814BE" w:rsidRPr="00C40BD9">
        <w:rPr>
          <w:rFonts w:ascii="Verdana" w:hAnsi="Verdana" w:cs="Verdana"/>
          <w:sz w:val="20"/>
          <w:szCs w:val="20"/>
          <w:lang w:val="pt-BR"/>
        </w:rPr>
        <w:t>direitos</w:t>
      </w:r>
      <w:r w:rsidR="00DE316A">
        <w:rPr>
          <w:rFonts w:ascii="Verdana" w:hAnsi="Verdana" w:cs="Verdana"/>
          <w:sz w:val="20"/>
          <w:szCs w:val="20"/>
          <w:lang w:val="pt-BR"/>
        </w:rPr>
        <w:t xml:space="preserve"> </w:t>
      </w:r>
      <w:r w:rsidR="00D5218C" w:rsidRPr="00C40BD9">
        <w:rPr>
          <w:rFonts w:ascii="Verdana" w:hAnsi="Verdana" w:cs="Verdana"/>
          <w:sz w:val="20"/>
          <w:szCs w:val="20"/>
          <w:lang w:val="pt-BR"/>
        </w:rPr>
        <w:t>humanos,</w:t>
      </w:r>
      <w:r w:rsidR="00351415" w:rsidRPr="00C40BD9">
        <w:rPr>
          <w:rFonts w:ascii="Verdana" w:hAnsi="Verdana" w:cs="Verdana"/>
          <w:sz w:val="20"/>
          <w:szCs w:val="20"/>
          <w:lang w:val="pt-BR"/>
        </w:rPr>
        <w:t xml:space="preserve">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00351415" w:rsidRPr="00C40BD9">
        <w:rPr>
          <w:rFonts w:ascii="Verdana" w:hAnsi="Verdana" w:cs="Verdana"/>
          <w:sz w:val="20"/>
          <w:szCs w:val="20"/>
          <w:lang w:val="pt-BR"/>
        </w:rPr>
        <w:t>p</w:t>
      </w:r>
      <w:r w:rsidRPr="00C40BD9">
        <w:rPr>
          <w:rFonts w:ascii="Verdana" w:hAnsi="Verdana" w:cs="Verdana"/>
          <w:sz w:val="20"/>
          <w:szCs w:val="20"/>
          <w:lang w:val="pt-BR"/>
        </w:rPr>
        <w:t xml:space="preserve">odem, inclusive, </w:t>
      </w:r>
      <w:r w:rsidR="00351415" w:rsidRPr="00C40BD9">
        <w:rPr>
          <w:rFonts w:ascii="Verdana" w:hAnsi="Verdana" w:cs="Verdana"/>
          <w:sz w:val="20"/>
          <w:szCs w:val="20"/>
          <w:lang w:val="pt-BR"/>
        </w:rPr>
        <w:t>ser considerad</w:t>
      </w:r>
      <w:r w:rsidR="00D90043">
        <w:rPr>
          <w:rFonts w:ascii="Verdana" w:hAnsi="Verdana" w:cs="Verdana"/>
          <w:sz w:val="20"/>
          <w:szCs w:val="20"/>
          <w:lang w:val="pt-BR"/>
        </w:rPr>
        <w:t>o</w:t>
      </w:r>
      <w:r w:rsidR="00351415" w:rsidRPr="00C40BD9">
        <w:rPr>
          <w:rFonts w:ascii="Verdana" w:hAnsi="Verdana" w:cs="Verdana"/>
          <w:sz w:val="20"/>
          <w:szCs w:val="20"/>
          <w:lang w:val="pt-BR"/>
        </w:rPr>
        <w:t>s tortura</w:t>
      </w:r>
      <w:r w:rsidR="00A1526E" w:rsidRPr="00C40BD9">
        <w:rPr>
          <w:rFonts w:ascii="Verdana" w:hAnsi="Verdana" w:cs="Verdana"/>
          <w:sz w:val="20"/>
          <w:szCs w:val="20"/>
          <w:lang w:val="pt-BR"/>
        </w:rPr>
        <w:t xml:space="preserve">. </w:t>
      </w:r>
      <w:r w:rsidRPr="00C40BD9">
        <w:rPr>
          <w:rFonts w:ascii="Verdana" w:hAnsi="Verdana" w:cs="Verdana"/>
          <w:sz w:val="20"/>
          <w:szCs w:val="20"/>
          <w:lang w:val="pt-BR"/>
        </w:rPr>
        <w:t>No entanto</w:t>
      </w:r>
      <w:r w:rsidR="00A1526E" w:rsidRPr="00C40BD9">
        <w:rPr>
          <w:rFonts w:ascii="Verdana" w:hAnsi="Verdana" w:cs="Verdana"/>
          <w:sz w:val="20"/>
          <w:szCs w:val="20"/>
          <w:lang w:val="pt-BR"/>
        </w:rPr>
        <w:t xml:space="preserve">, </w:t>
      </w:r>
      <w:r w:rsidRPr="00C40BD9">
        <w:rPr>
          <w:rFonts w:ascii="Verdana" w:hAnsi="Verdana" w:cs="Verdana"/>
          <w:sz w:val="20"/>
          <w:szCs w:val="20"/>
          <w:lang w:val="pt-BR"/>
        </w:rPr>
        <w:t xml:space="preserve">isso </w:t>
      </w:r>
      <w:r w:rsidR="006770ED" w:rsidRPr="00C40BD9">
        <w:rPr>
          <w:rFonts w:ascii="Verdana" w:hAnsi="Verdana" w:cs="Verdana"/>
          <w:sz w:val="20"/>
          <w:szCs w:val="20"/>
          <w:lang w:val="pt-BR"/>
        </w:rPr>
        <w:t>deve</w:t>
      </w:r>
      <w:r w:rsidR="00DE316A">
        <w:rPr>
          <w:rFonts w:ascii="Verdana" w:hAnsi="Verdana" w:cs="Verdana"/>
          <w:sz w:val="20"/>
          <w:szCs w:val="20"/>
          <w:lang w:val="pt-BR"/>
        </w:rPr>
        <w:t xml:space="preserve"> </w:t>
      </w:r>
      <w:r w:rsidR="00351415" w:rsidRPr="00C40BD9">
        <w:rPr>
          <w:rFonts w:ascii="Verdana" w:hAnsi="Verdana" w:cs="Verdana"/>
          <w:sz w:val="20"/>
          <w:szCs w:val="20"/>
          <w:lang w:val="pt-BR"/>
        </w:rPr>
        <w:t>ser determinado p</w:t>
      </w:r>
      <w:r w:rsidRPr="00C40BD9">
        <w:rPr>
          <w:rFonts w:ascii="Verdana" w:hAnsi="Verdana" w:cs="Verdana"/>
          <w:sz w:val="20"/>
          <w:szCs w:val="20"/>
          <w:lang w:val="pt-BR"/>
        </w:rPr>
        <w:t xml:space="preserve">elos </w:t>
      </w:r>
      <w:r w:rsidR="00351415" w:rsidRPr="00C40BD9">
        <w:rPr>
          <w:rFonts w:ascii="Verdana" w:hAnsi="Verdana" w:cs="Verdana"/>
          <w:sz w:val="20"/>
          <w:szCs w:val="20"/>
          <w:lang w:val="pt-BR"/>
        </w:rPr>
        <w:t>tribun</w:t>
      </w:r>
      <w:r w:rsidR="00C06A9B" w:rsidRPr="00C40BD9">
        <w:rPr>
          <w:rFonts w:ascii="Verdana" w:hAnsi="Verdana" w:cs="Verdana"/>
          <w:sz w:val="20"/>
          <w:szCs w:val="20"/>
          <w:lang w:val="pt-BR"/>
        </w:rPr>
        <w:t>ais</w:t>
      </w:r>
      <w:r w:rsidR="00DE316A">
        <w:rPr>
          <w:rFonts w:ascii="Verdana" w:hAnsi="Verdana" w:cs="Verdana"/>
          <w:sz w:val="20"/>
          <w:szCs w:val="20"/>
          <w:lang w:val="pt-BR"/>
        </w:rPr>
        <w:t xml:space="preserve"> </w:t>
      </w:r>
      <w:r w:rsidR="00351415" w:rsidRPr="00C40BD9">
        <w:rPr>
          <w:rFonts w:ascii="Verdana" w:hAnsi="Verdana" w:cs="Verdana"/>
          <w:sz w:val="20"/>
          <w:szCs w:val="20"/>
          <w:lang w:val="pt-BR"/>
        </w:rPr>
        <w:t>internos</w:t>
      </w:r>
      <w:r w:rsidR="004B0A78" w:rsidRPr="00C40BD9">
        <w:rPr>
          <w:rFonts w:ascii="Verdana" w:hAnsi="Verdana" w:cs="Verdana"/>
          <w:sz w:val="20"/>
          <w:szCs w:val="20"/>
          <w:lang w:val="pt-BR"/>
        </w:rPr>
        <w:t xml:space="preserve"> </w:t>
      </w:r>
      <w:r w:rsidRPr="00C40BD9">
        <w:rPr>
          <w:rFonts w:ascii="Verdana" w:hAnsi="Verdana" w:cs="Verdana"/>
          <w:sz w:val="20"/>
          <w:szCs w:val="20"/>
          <w:lang w:val="pt-BR"/>
        </w:rPr>
        <w:t xml:space="preserve">após a </w:t>
      </w:r>
      <w:r w:rsidR="004B0A78" w:rsidRPr="00C40BD9">
        <w:rPr>
          <w:rFonts w:ascii="Verdana" w:hAnsi="Verdana" w:cs="Verdana"/>
          <w:sz w:val="20"/>
          <w:szCs w:val="20"/>
          <w:lang w:val="pt-BR"/>
        </w:rPr>
        <w:t>realiza</w:t>
      </w:r>
      <w:r w:rsidR="00F633DD" w:rsidRPr="00C40BD9">
        <w:rPr>
          <w:rFonts w:ascii="Verdana" w:hAnsi="Verdana" w:cs="Verdana"/>
          <w:sz w:val="20"/>
          <w:szCs w:val="20"/>
          <w:lang w:val="pt-BR"/>
        </w:rPr>
        <w:t>ção</w:t>
      </w:r>
      <w:r w:rsidR="004B0A78" w:rsidRPr="00C40BD9">
        <w:rPr>
          <w:rFonts w:ascii="Verdana" w:hAnsi="Verdana" w:cs="Verdana"/>
          <w:sz w:val="20"/>
          <w:szCs w:val="20"/>
          <w:lang w:val="pt-BR"/>
        </w:rPr>
        <w:t xml:space="preserve"> de </w:t>
      </w:r>
      <w:r w:rsidR="006770ED" w:rsidRPr="00C40BD9">
        <w:rPr>
          <w:rFonts w:ascii="Verdana" w:hAnsi="Verdana" w:cs="Verdana"/>
          <w:sz w:val="20"/>
          <w:szCs w:val="20"/>
          <w:lang w:val="pt-BR"/>
        </w:rPr>
        <w:t>uma</w:t>
      </w:r>
      <w:r w:rsidR="00DE316A">
        <w:rPr>
          <w:rFonts w:ascii="Verdana" w:hAnsi="Verdana" w:cs="Verdana"/>
          <w:sz w:val="20"/>
          <w:szCs w:val="20"/>
          <w:lang w:val="pt-BR"/>
        </w:rPr>
        <w:t xml:space="preserve"> </w:t>
      </w:r>
      <w:r w:rsidR="004B0A78" w:rsidRPr="00C40BD9">
        <w:rPr>
          <w:rFonts w:ascii="Verdana" w:hAnsi="Verdana" w:cs="Verdana"/>
          <w:sz w:val="20"/>
          <w:szCs w:val="20"/>
          <w:lang w:val="pt-BR"/>
        </w:rPr>
        <w:t>investiga</w:t>
      </w:r>
      <w:r w:rsidR="00F633DD" w:rsidRPr="00C40BD9">
        <w:rPr>
          <w:rFonts w:ascii="Verdana" w:hAnsi="Verdana" w:cs="Verdana"/>
          <w:sz w:val="20"/>
          <w:szCs w:val="20"/>
          <w:lang w:val="pt-BR"/>
        </w:rPr>
        <w:t>ção</w:t>
      </w:r>
      <w:r w:rsidR="00D90043">
        <w:rPr>
          <w:rFonts w:ascii="Verdana" w:hAnsi="Verdana" w:cs="Verdana"/>
          <w:sz w:val="20"/>
          <w:szCs w:val="20"/>
          <w:lang w:val="pt-BR"/>
        </w:rPr>
        <w:t xml:space="preserve">, em conformidade </w:t>
      </w:r>
      <w:r w:rsidRPr="00C40BD9">
        <w:rPr>
          <w:rFonts w:ascii="Verdana" w:hAnsi="Verdana" w:cs="Verdana"/>
          <w:sz w:val="20"/>
          <w:szCs w:val="20"/>
          <w:lang w:val="pt-BR"/>
        </w:rPr>
        <w:t xml:space="preserve">com as normas </w:t>
      </w:r>
      <w:r w:rsidR="00D90043">
        <w:rPr>
          <w:rFonts w:ascii="Verdana" w:hAnsi="Verdana" w:cs="Verdana"/>
          <w:sz w:val="20"/>
          <w:szCs w:val="20"/>
          <w:lang w:val="pt-BR"/>
        </w:rPr>
        <w:t>estabelecidas</w:t>
      </w:r>
      <w:r w:rsidR="004B0A78" w:rsidRPr="00C40BD9">
        <w:rPr>
          <w:rFonts w:ascii="Verdana" w:hAnsi="Verdana" w:cs="Verdana"/>
          <w:sz w:val="20"/>
          <w:szCs w:val="20"/>
          <w:lang w:val="pt-BR"/>
        </w:rPr>
        <w:t xml:space="preserve"> nos </w:t>
      </w:r>
      <w:r w:rsidR="00635878" w:rsidRPr="00C40BD9">
        <w:rPr>
          <w:rFonts w:ascii="Verdana" w:hAnsi="Verdana" w:cs="Verdana"/>
          <w:sz w:val="20"/>
          <w:szCs w:val="20"/>
          <w:lang w:val="pt-BR"/>
        </w:rPr>
        <w:t>parágrafos</w:t>
      </w:r>
      <w:r w:rsidR="00DE316A">
        <w:rPr>
          <w:rFonts w:ascii="Verdana" w:hAnsi="Verdana" w:cs="Verdana"/>
          <w:sz w:val="20"/>
          <w:szCs w:val="20"/>
          <w:lang w:val="pt-BR"/>
        </w:rPr>
        <w:t xml:space="preserve"> </w:t>
      </w:r>
      <w:r w:rsidR="004B0A78" w:rsidRPr="00C40BD9">
        <w:rPr>
          <w:rFonts w:ascii="Verdana" w:hAnsi="Verdana" w:cs="Verdana"/>
          <w:sz w:val="20"/>
          <w:szCs w:val="20"/>
          <w:lang w:val="pt-BR"/>
        </w:rPr>
        <w:t xml:space="preserve">292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004B0A78" w:rsidRPr="00C40BD9">
        <w:rPr>
          <w:rFonts w:ascii="Verdana" w:hAnsi="Verdana" w:cs="Verdana"/>
          <w:sz w:val="20"/>
          <w:szCs w:val="20"/>
          <w:lang w:val="pt-BR"/>
        </w:rPr>
        <w:t xml:space="preserve">293 </w:t>
      </w:r>
      <w:r w:rsidR="00F633DD" w:rsidRPr="00C40BD9">
        <w:rPr>
          <w:rFonts w:ascii="Verdana" w:hAnsi="Verdana" w:cs="Verdana"/>
          <w:sz w:val="20"/>
          <w:szCs w:val="20"/>
          <w:lang w:val="pt-BR"/>
        </w:rPr>
        <w:t>da Sentença</w:t>
      </w:r>
      <w:r w:rsidR="004B0A78" w:rsidRPr="00C40BD9">
        <w:rPr>
          <w:rFonts w:ascii="Verdana" w:hAnsi="Verdana" w:cs="Verdana"/>
          <w:sz w:val="20"/>
          <w:szCs w:val="20"/>
          <w:lang w:val="pt-BR"/>
        </w:rPr>
        <w:t xml:space="preserve">. </w:t>
      </w:r>
    </w:p>
    <w:p w:rsidR="00351415" w:rsidRPr="00C40BD9" w:rsidRDefault="00351415" w:rsidP="00351415">
      <w:pPr>
        <w:autoSpaceDE w:val="0"/>
        <w:autoSpaceDN w:val="0"/>
        <w:adjustRightInd w:val="0"/>
        <w:spacing w:after="0" w:line="240" w:lineRule="auto"/>
        <w:jc w:val="both"/>
        <w:rPr>
          <w:rFonts w:ascii="Verdana" w:hAnsi="Verdana" w:cs="Verdana"/>
          <w:sz w:val="20"/>
          <w:szCs w:val="20"/>
          <w:lang w:val="pt-BR"/>
        </w:rPr>
      </w:pPr>
    </w:p>
    <w:p w:rsidR="00351415" w:rsidRPr="00C40BD9" w:rsidRDefault="00351415" w:rsidP="00351415">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pt-BR"/>
        </w:rPr>
      </w:pPr>
      <w:r w:rsidRPr="00C40BD9">
        <w:rPr>
          <w:rFonts w:ascii="Verdana" w:hAnsi="Verdana" w:cs="Verdana"/>
          <w:sz w:val="20"/>
          <w:szCs w:val="20"/>
          <w:lang w:val="pt-BR"/>
        </w:rPr>
        <w:t>Es</w:t>
      </w:r>
      <w:r w:rsidR="00B5454A" w:rsidRPr="00C40BD9">
        <w:rPr>
          <w:rFonts w:ascii="Verdana" w:hAnsi="Verdana" w:cs="Verdana"/>
          <w:sz w:val="20"/>
          <w:szCs w:val="20"/>
          <w:lang w:val="pt-BR"/>
        </w:rPr>
        <w:t>s</w:t>
      </w:r>
      <w:r w:rsidRPr="00C40BD9">
        <w:rPr>
          <w:rFonts w:ascii="Verdana" w:hAnsi="Verdana" w:cs="Verdana"/>
          <w:sz w:val="20"/>
          <w:szCs w:val="20"/>
          <w:lang w:val="pt-BR"/>
        </w:rPr>
        <w:t>a interpreta</w:t>
      </w:r>
      <w:r w:rsidR="00F633DD" w:rsidRPr="00C40BD9">
        <w:rPr>
          <w:rFonts w:ascii="Verdana" w:hAnsi="Verdana" w:cs="Verdana"/>
          <w:sz w:val="20"/>
          <w:szCs w:val="20"/>
          <w:lang w:val="pt-BR"/>
        </w:rPr>
        <w:t>ção</w:t>
      </w:r>
      <w:r w:rsidRPr="00C40BD9">
        <w:rPr>
          <w:rFonts w:ascii="Verdana" w:hAnsi="Verdana" w:cs="Verdana"/>
          <w:sz w:val="20"/>
          <w:szCs w:val="20"/>
          <w:lang w:val="pt-BR"/>
        </w:rPr>
        <w:t xml:space="preserve"> </w:t>
      </w:r>
      <w:r w:rsidR="00B5454A" w:rsidRPr="00C40BD9">
        <w:rPr>
          <w:rFonts w:ascii="Verdana" w:hAnsi="Verdana" w:cs="Verdana"/>
          <w:sz w:val="20"/>
          <w:szCs w:val="20"/>
          <w:lang w:val="pt-BR"/>
        </w:rPr>
        <w:t xml:space="preserve">é coerente com o </w:t>
      </w:r>
      <w:r w:rsidR="00C06A9B" w:rsidRPr="00C40BD9">
        <w:rPr>
          <w:rFonts w:ascii="Verdana" w:hAnsi="Verdana" w:cs="Verdana"/>
          <w:sz w:val="20"/>
          <w:szCs w:val="20"/>
          <w:lang w:val="pt-BR"/>
        </w:rPr>
        <w:t>parágrafo</w:t>
      </w:r>
      <w:r w:rsidR="00DE316A">
        <w:rPr>
          <w:rFonts w:ascii="Verdana" w:hAnsi="Verdana" w:cs="Verdana"/>
          <w:sz w:val="20"/>
          <w:szCs w:val="20"/>
          <w:lang w:val="pt-BR"/>
        </w:rPr>
        <w:t xml:space="preserve"> </w:t>
      </w:r>
      <w:r w:rsidRPr="00C40BD9">
        <w:rPr>
          <w:rFonts w:ascii="Verdana" w:hAnsi="Verdana" w:cs="Verdana"/>
          <w:sz w:val="20"/>
          <w:szCs w:val="20"/>
          <w:lang w:val="pt-BR"/>
        </w:rPr>
        <w:t xml:space="preserve">293 </w:t>
      </w:r>
      <w:r w:rsidR="00F633DD" w:rsidRPr="00C40BD9">
        <w:rPr>
          <w:rFonts w:ascii="Verdana" w:hAnsi="Verdana" w:cs="Verdana"/>
          <w:sz w:val="20"/>
          <w:szCs w:val="20"/>
          <w:lang w:val="pt-BR"/>
        </w:rPr>
        <w:t>da Sentença</w:t>
      </w:r>
      <w:r w:rsidRPr="00C40BD9">
        <w:rPr>
          <w:rFonts w:ascii="Verdana" w:hAnsi="Verdana" w:cs="Verdana"/>
          <w:sz w:val="20"/>
          <w:szCs w:val="20"/>
          <w:lang w:val="pt-BR"/>
        </w:rPr>
        <w:t xml:space="preserve">, </w:t>
      </w:r>
      <w:r w:rsidR="00B5454A" w:rsidRPr="00C40BD9">
        <w:rPr>
          <w:rFonts w:ascii="Verdana" w:hAnsi="Verdana" w:cs="Verdana"/>
          <w:sz w:val="20"/>
          <w:szCs w:val="20"/>
          <w:lang w:val="pt-BR"/>
        </w:rPr>
        <w:t xml:space="preserve">que destaca </w:t>
      </w:r>
      <w:r w:rsidRPr="00C40BD9">
        <w:rPr>
          <w:rFonts w:ascii="Verdana" w:hAnsi="Verdana" w:cs="Verdana"/>
          <w:sz w:val="20"/>
          <w:szCs w:val="20"/>
          <w:lang w:val="pt-BR"/>
        </w:rPr>
        <w:t>que “tanto a investiga</w:t>
      </w:r>
      <w:r w:rsidR="00F633DD" w:rsidRPr="00C40BD9">
        <w:rPr>
          <w:rFonts w:ascii="Verdana" w:hAnsi="Verdana" w:cs="Verdana"/>
          <w:sz w:val="20"/>
          <w:szCs w:val="20"/>
          <w:lang w:val="pt-BR"/>
        </w:rPr>
        <w:t>ção</w:t>
      </w:r>
      <w:r w:rsidRPr="00C40BD9">
        <w:rPr>
          <w:rFonts w:ascii="Verdana" w:hAnsi="Verdana" w:cs="Verdana"/>
          <w:sz w:val="20"/>
          <w:szCs w:val="20"/>
          <w:lang w:val="pt-BR"/>
        </w:rPr>
        <w:t xml:space="preserve"> como </w:t>
      </w:r>
      <w:r w:rsidR="00B5454A" w:rsidRPr="00C40BD9">
        <w:rPr>
          <w:rFonts w:ascii="Verdana" w:hAnsi="Verdana" w:cs="Verdana"/>
          <w:sz w:val="20"/>
          <w:szCs w:val="20"/>
          <w:lang w:val="pt-BR"/>
        </w:rPr>
        <w:t xml:space="preserve">o </w:t>
      </w:r>
      <w:r w:rsidRPr="00C40BD9">
        <w:rPr>
          <w:rFonts w:ascii="Verdana" w:hAnsi="Verdana" w:cs="Verdana"/>
          <w:sz w:val="20"/>
          <w:szCs w:val="20"/>
          <w:lang w:val="pt-BR"/>
        </w:rPr>
        <w:t>proces</w:t>
      </w:r>
      <w:r w:rsidR="00B5454A" w:rsidRPr="00C40BD9">
        <w:rPr>
          <w:rFonts w:ascii="Verdana" w:hAnsi="Verdana" w:cs="Verdana"/>
          <w:sz w:val="20"/>
          <w:szCs w:val="20"/>
          <w:lang w:val="pt-BR"/>
        </w:rPr>
        <w:t>s</w:t>
      </w:r>
      <w:r w:rsidRPr="00C40BD9">
        <w:rPr>
          <w:rFonts w:ascii="Verdana" w:hAnsi="Verdana" w:cs="Verdana"/>
          <w:sz w:val="20"/>
          <w:szCs w:val="20"/>
          <w:lang w:val="pt-BR"/>
        </w:rPr>
        <w:t xml:space="preserve">o penal </w:t>
      </w:r>
      <w:r w:rsidR="00D90043">
        <w:rPr>
          <w:rFonts w:ascii="Verdana" w:hAnsi="Verdana" w:cs="Verdana"/>
          <w:sz w:val="20"/>
          <w:szCs w:val="20"/>
          <w:lang w:val="pt-BR"/>
        </w:rPr>
        <w:t xml:space="preserve">posterior </w:t>
      </w:r>
      <w:r w:rsidRPr="00C40BD9">
        <w:rPr>
          <w:rFonts w:ascii="Verdana" w:hAnsi="Verdana" w:cs="Verdana"/>
          <w:sz w:val="20"/>
          <w:szCs w:val="20"/>
          <w:lang w:val="pt-BR"/>
        </w:rPr>
        <w:t>de</w:t>
      </w:r>
      <w:r w:rsidR="00B5454A" w:rsidRPr="00C40BD9">
        <w:rPr>
          <w:rFonts w:ascii="Verdana" w:hAnsi="Verdana" w:cs="Verdana"/>
          <w:sz w:val="20"/>
          <w:szCs w:val="20"/>
          <w:lang w:val="pt-BR"/>
        </w:rPr>
        <w:t xml:space="preserve">verão </w:t>
      </w:r>
      <w:r w:rsidRPr="00C40BD9">
        <w:rPr>
          <w:rFonts w:ascii="Verdana" w:hAnsi="Verdana" w:cs="Verdana"/>
          <w:sz w:val="20"/>
          <w:szCs w:val="20"/>
          <w:lang w:val="pt-BR"/>
        </w:rPr>
        <w:t xml:space="preserve">incluir </w:t>
      </w:r>
      <w:r w:rsidR="006770ED" w:rsidRPr="00C40BD9">
        <w:rPr>
          <w:rFonts w:ascii="Verdana" w:hAnsi="Verdana" w:cs="Verdana"/>
          <w:sz w:val="20"/>
          <w:szCs w:val="20"/>
          <w:lang w:val="pt-BR"/>
        </w:rPr>
        <w:t>uma</w:t>
      </w:r>
      <w:r w:rsidR="00DE316A">
        <w:rPr>
          <w:rFonts w:ascii="Verdana" w:hAnsi="Verdana" w:cs="Verdana"/>
          <w:sz w:val="20"/>
          <w:szCs w:val="20"/>
          <w:lang w:val="pt-BR"/>
        </w:rPr>
        <w:t xml:space="preserve"> </w:t>
      </w:r>
      <w:r w:rsidRPr="00C40BD9">
        <w:rPr>
          <w:rFonts w:ascii="Verdana" w:hAnsi="Verdana" w:cs="Verdana"/>
          <w:sz w:val="20"/>
          <w:szCs w:val="20"/>
          <w:lang w:val="pt-BR"/>
        </w:rPr>
        <w:t>perspectiva de g</w:t>
      </w:r>
      <w:r w:rsidR="00B5454A" w:rsidRPr="00C40BD9">
        <w:rPr>
          <w:rFonts w:ascii="Verdana" w:hAnsi="Verdana" w:cs="Verdana"/>
          <w:sz w:val="20"/>
          <w:szCs w:val="20"/>
          <w:lang w:val="pt-BR"/>
        </w:rPr>
        <w:t>ê</w:t>
      </w:r>
      <w:r w:rsidRPr="00C40BD9">
        <w:rPr>
          <w:rFonts w:ascii="Verdana" w:hAnsi="Verdana" w:cs="Verdana"/>
          <w:sz w:val="20"/>
          <w:szCs w:val="20"/>
          <w:lang w:val="pt-BR"/>
        </w:rPr>
        <w:t xml:space="preserve">nero, </w:t>
      </w:r>
      <w:r w:rsidR="00B5454A" w:rsidRPr="00C40BD9">
        <w:rPr>
          <w:rFonts w:ascii="Verdana" w:hAnsi="Verdana" w:cs="Verdana"/>
          <w:sz w:val="20"/>
          <w:szCs w:val="20"/>
          <w:lang w:val="pt-BR"/>
        </w:rPr>
        <w:t xml:space="preserve">conduzir linhas </w:t>
      </w:r>
      <w:r w:rsidRPr="00C40BD9">
        <w:rPr>
          <w:rFonts w:ascii="Verdana" w:hAnsi="Verdana" w:cs="Verdana"/>
          <w:sz w:val="20"/>
          <w:szCs w:val="20"/>
          <w:lang w:val="pt-BR"/>
        </w:rPr>
        <w:t>de investiga</w:t>
      </w:r>
      <w:r w:rsidR="00F633DD" w:rsidRPr="00C40BD9">
        <w:rPr>
          <w:rFonts w:ascii="Verdana" w:hAnsi="Verdana" w:cs="Verdana"/>
          <w:sz w:val="20"/>
          <w:szCs w:val="20"/>
          <w:lang w:val="pt-BR"/>
        </w:rPr>
        <w:t>ção</w:t>
      </w:r>
      <w:r w:rsidRPr="00C40BD9">
        <w:rPr>
          <w:rFonts w:ascii="Verdana" w:hAnsi="Verdana" w:cs="Verdana"/>
          <w:sz w:val="20"/>
          <w:szCs w:val="20"/>
          <w:lang w:val="pt-BR"/>
        </w:rPr>
        <w:t xml:space="preserve"> específicas </w:t>
      </w:r>
      <w:r w:rsidR="00B5454A" w:rsidRPr="00C40BD9">
        <w:rPr>
          <w:rFonts w:ascii="Verdana" w:hAnsi="Verdana" w:cs="Verdana"/>
          <w:sz w:val="20"/>
          <w:szCs w:val="20"/>
          <w:lang w:val="pt-BR"/>
        </w:rPr>
        <w:t xml:space="preserve">a respeito </w:t>
      </w:r>
      <w:r w:rsidR="00F633DD" w:rsidRPr="00C40BD9">
        <w:rPr>
          <w:rFonts w:ascii="Verdana" w:hAnsi="Verdana" w:cs="Verdana"/>
          <w:sz w:val="20"/>
          <w:szCs w:val="20"/>
          <w:lang w:val="pt-BR"/>
        </w:rPr>
        <w:t xml:space="preserve">da </w:t>
      </w:r>
      <w:r w:rsidR="00C06A9B" w:rsidRPr="00C40BD9">
        <w:rPr>
          <w:rFonts w:ascii="Verdana" w:hAnsi="Verdana" w:cs="Verdana"/>
          <w:sz w:val="20"/>
          <w:szCs w:val="20"/>
          <w:lang w:val="pt-BR"/>
        </w:rPr>
        <w:t>violência</w:t>
      </w:r>
      <w:r w:rsidR="00DE316A">
        <w:rPr>
          <w:rFonts w:ascii="Verdana" w:hAnsi="Verdana" w:cs="Verdana"/>
          <w:sz w:val="20"/>
          <w:szCs w:val="20"/>
          <w:lang w:val="pt-BR"/>
        </w:rPr>
        <w:t xml:space="preserve"> </w:t>
      </w:r>
      <w:r w:rsidRPr="00C40BD9">
        <w:rPr>
          <w:rFonts w:ascii="Verdana" w:hAnsi="Verdana" w:cs="Verdana"/>
          <w:sz w:val="20"/>
          <w:szCs w:val="20"/>
          <w:lang w:val="pt-BR"/>
        </w:rPr>
        <w:t xml:space="preserve">sexual, </w:t>
      </w:r>
      <w:r w:rsidR="00F633DD" w:rsidRPr="00C40BD9">
        <w:rPr>
          <w:rFonts w:ascii="Verdana" w:hAnsi="Verdana" w:cs="Verdana"/>
          <w:sz w:val="20"/>
          <w:szCs w:val="20"/>
          <w:lang w:val="pt-BR"/>
        </w:rPr>
        <w:t xml:space="preserve">em conformidade com </w:t>
      </w:r>
      <w:r w:rsidRPr="00C40BD9">
        <w:rPr>
          <w:rFonts w:ascii="Verdana" w:hAnsi="Verdana" w:cs="Verdana"/>
          <w:sz w:val="20"/>
          <w:szCs w:val="20"/>
          <w:lang w:val="pt-BR"/>
        </w:rPr>
        <w:t>a legisla</w:t>
      </w:r>
      <w:r w:rsidR="00F633DD" w:rsidRPr="00C40BD9">
        <w:rPr>
          <w:rFonts w:ascii="Verdana" w:hAnsi="Verdana" w:cs="Verdana"/>
          <w:sz w:val="20"/>
          <w:szCs w:val="20"/>
          <w:lang w:val="pt-BR"/>
        </w:rPr>
        <w:t>ção</w:t>
      </w:r>
      <w:r w:rsidRPr="00C40BD9">
        <w:rPr>
          <w:rFonts w:ascii="Verdana" w:hAnsi="Verdana" w:cs="Verdana"/>
          <w:sz w:val="20"/>
          <w:szCs w:val="20"/>
          <w:lang w:val="pt-BR"/>
        </w:rPr>
        <w:t xml:space="preserve"> interna </w:t>
      </w:r>
      <w:r w:rsidR="00F633DD" w:rsidRPr="00C40BD9">
        <w:rPr>
          <w:rFonts w:ascii="Verdana" w:hAnsi="Verdana" w:cs="Verdana"/>
          <w:sz w:val="20"/>
          <w:szCs w:val="20"/>
          <w:lang w:val="pt-BR"/>
        </w:rPr>
        <w:t>e</w:t>
      </w:r>
      <w:r w:rsidR="00FA3B08" w:rsidRPr="00C40BD9">
        <w:rPr>
          <w:rFonts w:ascii="Verdana" w:hAnsi="Verdana" w:cs="Verdana"/>
          <w:sz w:val="20"/>
          <w:szCs w:val="20"/>
          <w:lang w:val="pt-BR"/>
        </w:rPr>
        <w:t xml:space="preserve">, caso seja pertinente, a </w:t>
      </w:r>
      <w:r w:rsidRPr="00C40BD9">
        <w:rPr>
          <w:rFonts w:ascii="Verdana" w:hAnsi="Verdana" w:cs="Verdana"/>
          <w:sz w:val="20"/>
          <w:szCs w:val="20"/>
          <w:lang w:val="pt-BR"/>
        </w:rPr>
        <w:t>participa</w:t>
      </w:r>
      <w:r w:rsidR="00F633DD" w:rsidRPr="00C40BD9">
        <w:rPr>
          <w:rFonts w:ascii="Verdana" w:hAnsi="Verdana" w:cs="Verdana"/>
          <w:sz w:val="20"/>
          <w:szCs w:val="20"/>
          <w:lang w:val="pt-BR"/>
        </w:rPr>
        <w:t>ção</w:t>
      </w:r>
      <w:r w:rsidRPr="00C40BD9">
        <w:rPr>
          <w:rFonts w:ascii="Verdana" w:hAnsi="Verdana" w:cs="Verdana"/>
          <w:sz w:val="20"/>
          <w:szCs w:val="20"/>
          <w:lang w:val="pt-BR"/>
        </w:rPr>
        <w:t xml:space="preserve"> ade</w:t>
      </w:r>
      <w:r w:rsidR="00FA3B08" w:rsidRPr="00C40BD9">
        <w:rPr>
          <w:rFonts w:ascii="Verdana" w:hAnsi="Verdana" w:cs="Verdana"/>
          <w:sz w:val="20"/>
          <w:szCs w:val="20"/>
          <w:lang w:val="pt-BR"/>
        </w:rPr>
        <w:t>q</w:t>
      </w:r>
      <w:r w:rsidRPr="00C40BD9">
        <w:rPr>
          <w:rFonts w:ascii="Verdana" w:hAnsi="Verdana" w:cs="Verdana"/>
          <w:sz w:val="20"/>
          <w:szCs w:val="20"/>
          <w:lang w:val="pt-BR"/>
        </w:rPr>
        <w:t>uada durante a investiga</w:t>
      </w:r>
      <w:r w:rsidR="00F633DD" w:rsidRPr="00C40BD9">
        <w:rPr>
          <w:rFonts w:ascii="Verdana" w:hAnsi="Verdana" w:cs="Verdana"/>
          <w:sz w:val="20"/>
          <w:szCs w:val="20"/>
          <w:lang w:val="pt-BR"/>
        </w:rPr>
        <w:t>ção</w:t>
      </w:r>
      <w:r w:rsidRPr="00C40BD9">
        <w:rPr>
          <w:rFonts w:ascii="Verdana" w:hAnsi="Verdana" w:cs="Verdana"/>
          <w:sz w:val="20"/>
          <w:szCs w:val="20"/>
          <w:lang w:val="pt-BR"/>
        </w:rPr>
        <w:t xml:space="preserve">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00FA3B08" w:rsidRPr="00C40BD9">
        <w:rPr>
          <w:rFonts w:ascii="Verdana" w:hAnsi="Verdana" w:cs="Verdana"/>
          <w:sz w:val="20"/>
          <w:szCs w:val="20"/>
          <w:lang w:val="pt-BR"/>
        </w:rPr>
        <w:t xml:space="preserve">o julgamento em todas as </w:t>
      </w:r>
      <w:r w:rsidRPr="00C40BD9">
        <w:rPr>
          <w:rFonts w:ascii="Verdana" w:hAnsi="Verdana" w:cs="Verdana"/>
          <w:sz w:val="20"/>
          <w:szCs w:val="20"/>
          <w:lang w:val="pt-BR"/>
        </w:rPr>
        <w:t xml:space="preserve">etapas”, </w:t>
      </w:r>
      <w:r w:rsidR="00FA3B08" w:rsidRPr="00C40BD9">
        <w:rPr>
          <w:rFonts w:ascii="Verdana" w:hAnsi="Verdana" w:cs="Verdana"/>
          <w:sz w:val="20"/>
          <w:szCs w:val="20"/>
          <w:lang w:val="pt-BR"/>
        </w:rPr>
        <w:t xml:space="preserve">razão pela qual </w:t>
      </w:r>
      <w:r w:rsidRPr="00C40BD9">
        <w:rPr>
          <w:rFonts w:ascii="Verdana" w:hAnsi="Verdana" w:cs="Verdana"/>
          <w:sz w:val="20"/>
          <w:szCs w:val="20"/>
          <w:lang w:val="pt-BR"/>
        </w:rPr>
        <w:t xml:space="preserve">está claro que </w:t>
      </w:r>
      <w:r w:rsidR="00FA3B08" w:rsidRPr="00C40BD9">
        <w:rPr>
          <w:rFonts w:ascii="Verdana" w:hAnsi="Verdana" w:cs="Verdana"/>
          <w:sz w:val="20"/>
          <w:szCs w:val="20"/>
          <w:lang w:val="pt-BR"/>
        </w:rPr>
        <w:t xml:space="preserve">o </w:t>
      </w:r>
      <w:r w:rsidRPr="00C40BD9">
        <w:rPr>
          <w:rFonts w:ascii="Verdana" w:hAnsi="Verdana" w:cs="Verdana"/>
          <w:sz w:val="20"/>
          <w:szCs w:val="20"/>
          <w:lang w:val="pt-BR"/>
        </w:rPr>
        <w:t xml:space="preserve">Estado </w:t>
      </w:r>
      <w:r w:rsidR="00FA3B08" w:rsidRPr="00C40BD9">
        <w:rPr>
          <w:rFonts w:ascii="Verdana" w:hAnsi="Verdana" w:cs="Verdana"/>
          <w:sz w:val="20"/>
          <w:szCs w:val="20"/>
          <w:lang w:val="pt-BR"/>
        </w:rPr>
        <w:t xml:space="preserve">brasileiro tem o </w:t>
      </w:r>
      <w:r w:rsidR="00635878" w:rsidRPr="00C40BD9">
        <w:rPr>
          <w:rFonts w:ascii="Verdana" w:hAnsi="Verdana" w:cs="Verdana"/>
          <w:sz w:val="20"/>
          <w:szCs w:val="20"/>
          <w:lang w:val="pt-BR"/>
        </w:rPr>
        <w:t>dever</w:t>
      </w:r>
      <w:r w:rsidR="00DE316A">
        <w:rPr>
          <w:rFonts w:ascii="Verdana" w:hAnsi="Verdana" w:cs="Verdana"/>
          <w:sz w:val="20"/>
          <w:szCs w:val="20"/>
          <w:lang w:val="pt-BR"/>
        </w:rPr>
        <w:t xml:space="preserve"> </w:t>
      </w:r>
      <w:r w:rsidRPr="00C40BD9">
        <w:rPr>
          <w:rFonts w:ascii="Verdana" w:hAnsi="Verdana" w:cs="Verdana"/>
          <w:sz w:val="20"/>
          <w:szCs w:val="20"/>
          <w:lang w:val="pt-BR"/>
        </w:rPr>
        <w:t>de investigar es</w:t>
      </w:r>
      <w:r w:rsidR="00FA3B08" w:rsidRPr="00C40BD9">
        <w:rPr>
          <w:rFonts w:ascii="Verdana" w:hAnsi="Verdana" w:cs="Verdana"/>
          <w:sz w:val="20"/>
          <w:szCs w:val="20"/>
          <w:lang w:val="pt-BR"/>
        </w:rPr>
        <w:t>se</w:t>
      </w:r>
      <w:r w:rsidRPr="00C40BD9">
        <w:rPr>
          <w:rFonts w:ascii="Verdana" w:hAnsi="Verdana" w:cs="Verdana"/>
          <w:sz w:val="20"/>
          <w:szCs w:val="20"/>
          <w:lang w:val="pt-BR"/>
        </w:rPr>
        <w:t xml:space="preserve">s </w:t>
      </w:r>
      <w:r w:rsidR="00C06A9B" w:rsidRPr="00C40BD9">
        <w:rPr>
          <w:rFonts w:ascii="Verdana" w:hAnsi="Verdana" w:cs="Verdana"/>
          <w:sz w:val="20"/>
          <w:szCs w:val="20"/>
          <w:lang w:val="pt-BR"/>
        </w:rPr>
        <w:t>atos</w:t>
      </w:r>
      <w:r w:rsidR="00DE316A">
        <w:rPr>
          <w:rFonts w:ascii="Verdana" w:hAnsi="Verdana" w:cs="Verdana"/>
          <w:sz w:val="20"/>
          <w:szCs w:val="20"/>
          <w:lang w:val="pt-BR"/>
        </w:rPr>
        <w:t xml:space="preserve">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00FA3B08" w:rsidRPr="00C40BD9">
        <w:rPr>
          <w:rFonts w:ascii="Verdana" w:hAnsi="Verdana" w:cs="Verdana"/>
          <w:sz w:val="20"/>
          <w:szCs w:val="20"/>
          <w:lang w:val="pt-BR"/>
        </w:rPr>
        <w:t xml:space="preserve">de não opor nenhum </w:t>
      </w:r>
      <w:r w:rsidR="00007AA4" w:rsidRPr="00C40BD9">
        <w:rPr>
          <w:rFonts w:ascii="Verdana" w:hAnsi="Verdana" w:cs="Verdana"/>
          <w:sz w:val="20"/>
          <w:szCs w:val="20"/>
          <w:lang w:val="pt-BR"/>
        </w:rPr>
        <w:t xml:space="preserve">tipo de </w:t>
      </w:r>
      <w:r w:rsidRPr="00C40BD9">
        <w:rPr>
          <w:rFonts w:ascii="Verdana" w:hAnsi="Verdana" w:cs="Verdana"/>
          <w:sz w:val="20"/>
          <w:szCs w:val="20"/>
          <w:lang w:val="pt-BR"/>
        </w:rPr>
        <w:t>obstáculo proces</w:t>
      </w:r>
      <w:r w:rsidR="00FA3B08" w:rsidRPr="00C40BD9">
        <w:rPr>
          <w:rFonts w:ascii="Verdana" w:hAnsi="Verdana" w:cs="Verdana"/>
          <w:sz w:val="20"/>
          <w:szCs w:val="20"/>
          <w:lang w:val="pt-BR"/>
        </w:rPr>
        <w:t>su</w:t>
      </w:r>
      <w:r w:rsidRPr="00C40BD9">
        <w:rPr>
          <w:rFonts w:ascii="Verdana" w:hAnsi="Verdana" w:cs="Verdana"/>
          <w:sz w:val="20"/>
          <w:szCs w:val="20"/>
          <w:lang w:val="pt-BR"/>
        </w:rPr>
        <w:t xml:space="preserve">al a </w:t>
      </w:r>
      <w:r w:rsidR="00FA3B08" w:rsidRPr="00C40BD9">
        <w:rPr>
          <w:rFonts w:ascii="Verdana" w:hAnsi="Verdana" w:cs="Verdana"/>
          <w:sz w:val="20"/>
          <w:szCs w:val="20"/>
          <w:lang w:val="pt-BR"/>
        </w:rPr>
        <w:t xml:space="preserve">essas </w:t>
      </w:r>
      <w:r w:rsidRPr="00C40BD9">
        <w:rPr>
          <w:rFonts w:ascii="Verdana" w:hAnsi="Verdana" w:cs="Verdana"/>
          <w:sz w:val="20"/>
          <w:szCs w:val="20"/>
          <w:lang w:val="pt-BR"/>
        </w:rPr>
        <w:t>investiga</w:t>
      </w:r>
      <w:r w:rsidR="00F633DD" w:rsidRPr="00C40BD9">
        <w:rPr>
          <w:rFonts w:ascii="Verdana" w:hAnsi="Verdana" w:cs="Verdana"/>
          <w:sz w:val="20"/>
          <w:szCs w:val="20"/>
          <w:lang w:val="pt-BR"/>
        </w:rPr>
        <w:t>ções</w:t>
      </w:r>
      <w:r w:rsidR="00D90043">
        <w:rPr>
          <w:rFonts w:ascii="Verdana" w:hAnsi="Verdana" w:cs="Verdana"/>
          <w:sz w:val="20"/>
          <w:szCs w:val="20"/>
          <w:lang w:val="pt-BR"/>
        </w:rPr>
        <w:t>;</w:t>
      </w:r>
      <w:r w:rsidRPr="00C40BD9">
        <w:rPr>
          <w:rFonts w:ascii="Verdana" w:hAnsi="Verdana" w:cs="Verdana"/>
          <w:sz w:val="20"/>
          <w:szCs w:val="20"/>
          <w:lang w:val="pt-BR"/>
        </w:rPr>
        <w:t xml:space="preserve"> </w:t>
      </w:r>
      <w:r w:rsidR="00FA3B08" w:rsidRPr="00C40BD9">
        <w:rPr>
          <w:rFonts w:ascii="Verdana" w:hAnsi="Verdana" w:cs="Verdana"/>
          <w:sz w:val="20"/>
          <w:szCs w:val="20"/>
          <w:lang w:val="pt-BR"/>
        </w:rPr>
        <w:t xml:space="preserve">do contrário não teria </w:t>
      </w:r>
      <w:r w:rsidR="007A0710" w:rsidRPr="00C40BD9">
        <w:rPr>
          <w:rFonts w:ascii="Verdana" w:hAnsi="Verdana" w:cs="Verdana"/>
          <w:sz w:val="20"/>
          <w:szCs w:val="20"/>
          <w:lang w:val="pt-BR"/>
        </w:rPr>
        <w:t xml:space="preserve">ordenado tal </w:t>
      </w:r>
      <w:r w:rsidRPr="00C40BD9">
        <w:rPr>
          <w:rFonts w:ascii="Verdana" w:hAnsi="Verdana" w:cs="Verdana"/>
          <w:sz w:val="20"/>
          <w:szCs w:val="20"/>
          <w:lang w:val="pt-BR"/>
        </w:rPr>
        <w:t>especificidad</w:t>
      </w:r>
      <w:r w:rsidR="00FA3B08" w:rsidRPr="00C40BD9">
        <w:rPr>
          <w:rFonts w:ascii="Verdana" w:hAnsi="Verdana" w:cs="Verdana"/>
          <w:sz w:val="20"/>
          <w:szCs w:val="20"/>
          <w:lang w:val="pt-BR"/>
        </w:rPr>
        <w:t>e</w:t>
      </w:r>
      <w:r w:rsidR="00D90043">
        <w:rPr>
          <w:rFonts w:ascii="Verdana" w:hAnsi="Verdana" w:cs="Verdana"/>
          <w:sz w:val="20"/>
          <w:szCs w:val="20"/>
          <w:lang w:val="pt-BR"/>
        </w:rPr>
        <w:t>.</w:t>
      </w:r>
      <w:r w:rsidRPr="00C40BD9">
        <w:rPr>
          <w:rFonts w:ascii="Verdana" w:hAnsi="Verdana" w:cs="Verdana"/>
          <w:sz w:val="20"/>
          <w:szCs w:val="20"/>
          <w:lang w:val="pt-BR"/>
        </w:rPr>
        <w:t xml:space="preserve"> </w:t>
      </w:r>
      <w:r w:rsidR="00FA3B08" w:rsidRPr="00C40BD9">
        <w:rPr>
          <w:rFonts w:ascii="Verdana" w:hAnsi="Verdana" w:cs="Verdana"/>
          <w:sz w:val="20"/>
          <w:szCs w:val="20"/>
          <w:lang w:val="pt-BR"/>
        </w:rPr>
        <w:t xml:space="preserve">Esta é a conclusão </w:t>
      </w:r>
      <w:r w:rsidR="004B0A78" w:rsidRPr="00C40BD9">
        <w:rPr>
          <w:rFonts w:ascii="Verdana" w:hAnsi="Verdana" w:cs="Verdana"/>
          <w:sz w:val="20"/>
          <w:szCs w:val="20"/>
          <w:lang w:val="pt-BR"/>
        </w:rPr>
        <w:t xml:space="preserve">lógica </w:t>
      </w:r>
      <w:r w:rsidR="00F633DD" w:rsidRPr="00C40BD9">
        <w:rPr>
          <w:rFonts w:ascii="Verdana" w:hAnsi="Verdana" w:cs="Verdana"/>
          <w:sz w:val="20"/>
          <w:szCs w:val="20"/>
          <w:lang w:val="pt-BR"/>
        </w:rPr>
        <w:t xml:space="preserve">da </w:t>
      </w:r>
      <w:r w:rsidR="004B0A78" w:rsidRPr="00C40BD9">
        <w:rPr>
          <w:rFonts w:ascii="Verdana" w:hAnsi="Verdana" w:cs="Verdana"/>
          <w:sz w:val="20"/>
          <w:szCs w:val="20"/>
          <w:lang w:val="pt-BR"/>
        </w:rPr>
        <w:t>le</w:t>
      </w:r>
      <w:r w:rsidR="00FA3B08" w:rsidRPr="00C40BD9">
        <w:rPr>
          <w:rFonts w:ascii="Verdana" w:hAnsi="Verdana" w:cs="Verdana"/>
          <w:sz w:val="20"/>
          <w:szCs w:val="20"/>
          <w:lang w:val="pt-BR"/>
        </w:rPr>
        <w:t>i</w:t>
      </w:r>
      <w:r w:rsidR="004B0A78" w:rsidRPr="00C40BD9">
        <w:rPr>
          <w:rFonts w:ascii="Verdana" w:hAnsi="Verdana" w:cs="Verdana"/>
          <w:sz w:val="20"/>
          <w:szCs w:val="20"/>
          <w:lang w:val="pt-BR"/>
        </w:rPr>
        <w:t xml:space="preserve">tura conjunta </w:t>
      </w:r>
      <w:r w:rsidR="00C06A9B" w:rsidRPr="00C40BD9">
        <w:rPr>
          <w:rFonts w:ascii="Verdana" w:hAnsi="Verdana" w:cs="Verdana"/>
          <w:sz w:val="20"/>
          <w:szCs w:val="20"/>
          <w:lang w:val="pt-BR"/>
        </w:rPr>
        <w:t xml:space="preserve">dos </w:t>
      </w:r>
      <w:r w:rsidR="00635878" w:rsidRPr="00C40BD9">
        <w:rPr>
          <w:rFonts w:ascii="Verdana" w:hAnsi="Verdana" w:cs="Verdana"/>
          <w:sz w:val="20"/>
          <w:szCs w:val="20"/>
          <w:lang w:val="pt-BR"/>
        </w:rPr>
        <w:t>parágrafos</w:t>
      </w:r>
      <w:r w:rsidR="00DE316A">
        <w:rPr>
          <w:rFonts w:ascii="Verdana" w:hAnsi="Verdana" w:cs="Verdana"/>
          <w:sz w:val="20"/>
          <w:szCs w:val="20"/>
          <w:lang w:val="pt-BR"/>
        </w:rPr>
        <w:t xml:space="preserve"> </w:t>
      </w:r>
      <w:r w:rsidR="004B0A78" w:rsidRPr="00C40BD9">
        <w:rPr>
          <w:rFonts w:ascii="Verdana" w:hAnsi="Verdana" w:cs="Verdana"/>
          <w:sz w:val="20"/>
          <w:szCs w:val="20"/>
          <w:lang w:val="pt-BR"/>
        </w:rPr>
        <w:t xml:space="preserve">292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004B0A78" w:rsidRPr="00C40BD9">
        <w:rPr>
          <w:rFonts w:ascii="Verdana" w:hAnsi="Verdana" w:cs="Verdana"/>
          <w:sz w:val="20"/>
          <w:szCs w:val="20"/>
          <w:lang w:val="pt-BR"/>
        </w:rPr>
        <w:t xml:space="preserve">293 </w:t>
      </w:r>
      <w:r w:rsidR="00F633DD" w:rsidRPr="00C40BD9">
        <w:rPr>
          <w:rFonts w:ascii="Verdana" w:hAnsi="Verdana" w:cs="Verdana"/>
          <w:sz w:val="20"/>
          <w:szCs w:val="20"/>
          <w:lang w:val="pt-BR"/>
        </w:rPr>
        <w:t>da Sentença</w:t>
      </w:r>
      <w:r w:rsidRPr="00C40BD9">
        <w:rPr>
          <w:rFonts w:ascii="Verdana" w:hAnsi="Verdana" w:cs="Verdana"/>
          <w:sz w:val="20"/>
          <w:szCs w:val="20"/>
          <w:lang w:val="pt-BR"/>
        </w:rPr>
        <w:t>.</w:t>
      </w:r>
    </w:p>
    <w:p w:rsidR="00351415" w:rsidRPr="00C40BD9" w:rsidRDefault="00351415" w:rsidP="00351415">
      <w:pPr>
        <w:autoSpaceDE w:val="0"/>
        <w:autoSpaceDN w:val="0"/>
        <w:adjustRightInd w:val="0"/>
        <w:spacing w:after="0" w:line="240" w:lineRule="auto"/>
        <w:jc w:val="both"/>
        <w:rPr>
          <w:rFonts w:ascii="Verdana" w:hAnsi="Verdana" w:cs="Verdana"/>
          <w:sz w:val="20"/>
          <w:szCs w:val="20"/>
          <w:lang w:val="pt-BR"/>
        </w:rPr>
      </w:pPr>
    </w:p>
    <w:p w:rsidR="00E841FD" w:rsidRPr="00C40BD9" w:rsidRDefault="005E14D7" w:rsidP="00A82FB4">
      <w:pPr>
        <w:numPr>
          <w:ilvl w:val="0"/>
          <w:numId w:val="2"/>
        </w:numPr>
        <w:tabs>
          <w:tab w:val="clear" w:pos="1247"/>
        </w:tabs>
        <w:autoSpaceDE w:val="0"/>
        <w:autoSpaceDN w:val="0"/>
        <w:adjustRightInd w:val="0"/>
        <w:spacing w:after="0" w:line="240" w:lineRule="auto"/>
        <w:jc w:val="both"/>
        <w:rPr>
          <w:rFonts w:ascii="Verdana" w:hAnsi="Verdana" w:cs="Verdana"/>
          <w:sz w:val="18"/>
          <w:szCs w:val="18"/>
          <w:lang w:val="pt-BR"/>
        </w:rPr>
      </w:pPr>
      <w:r w:rsidRPr="00B672A6">
        <w:rPr>
          <w:rFonts w:ascii="Verdana" w:hAnsi="Verdana"/>
          <w:sz w:val="20"/>
          <w:szCs w:val="20"/>
          <w:lang w:val="pt-BR"/>
        </w:rPr>
        <w:t>S</w:t>
      </w:r>
      <w:r w:rsidR="00FA3B08" w:rsidRPr="00B672A6">
        <w:rPr>
          <w:rFonts w:ascii="Verdana" w:hAnsi="Verdana"/>
          <w:sz w:val="20"/>
          <w:szCs w:val="20"/>
          <w:lang w:val="pt-BR"/>
        </w:rPr>
        <w:t>em</w:t>
      </w:r>
      <w:r w:rsidR="00FA3B08" w:rsidRPr="00C40BD9">
        <w:rPr>
          <w:rFonts w:ascii="Verdana" w:hAnsi="Verdana"/>
          <w:sz w:val="20"/>
          <w:szCs w:val="20"/>
          <w:lang w:val="pt-BR"/>
        </w:rPr>
        <w:t xml:space="preserve"> prejuízo do exposto</w:t>
      </w:r>
      <w:r w:rsidR="00274B71" w:rsidRPr="00C40BD9">
        <w:rPr>
          <w:rFonts w:ascii="Verdana" w:hAnsi="Verdana"/>
          <w:sz w:val="20"/>
          <w:szCs w:val="20"/>
          <w:lang w:val="pt-BR"/>
        </w:rPr>
        <w:t>,</w:t>
      </w:r>
      <w:r w:rsidRPr="00C40BD9">
        <w:rPr>
          <w:rFonts w:ascii="Verdana" w:hAnsi="Verdana"/>
          <w:sz w:val="20"/>
          <w:szCs w:val="20"/>
          <w:lang w:val="pt-BR"/>
        </w:rPr>
        <w:t xml:space="preserve"> </w:t>
      </w:r>
      <w:r w:rsidR="00274B71" w:rsidRPr="00C40BD9">
        <w:rPr>
          <w:rFonts w:ascii="Verdana" w:hAnsi="Verdana"/>
          <w:sz w:val="20"/>
          <w:szCs w:val="20"/>
          <w:lang w:val="pt-BR"/>
        </w:rPr>
        <w:t>e</w:t>
      </w:r>
      <w:r w:rsidR="00FA3B08" w:rsidRPr="00C40BD9">
        <w:rPr>
          <w:rFonts w:ascii="Verdana" w:hAnsi="Verdana"/>
          <w:sz w:val="20"/>
          <w:szCs w:val="20"/>
          <w:lang w:val="pt-BR"/>
        </w:rPr>
        <w:t xml:space="preserve">m </w:t>
      </w:r>
      <w:r w:rsidR="00274B71" w:rsidRPr="00C40BD9">
        <w:rPr>
          <w:rFonts w:ascii="Verdana" w:hAnsi="Verdana"/>
          <w:sz w:val="20"/>
          <w:szCs w:val="20"/>
          <w:lang w:val="pt-BR"/>
        </w:rPr>
        <w:t>aten</w:t>
      </w:r>
      <w:r w:rsidR="00F633DD" w:rsidRPr="00C40BD9">
        <w:rPr>
          <w:rFonts w:ascii="Verdana" w:hAnsi="Verdana"/>
          <w:sz w:val="20"/>
          <w:szCs w:val="20"/>
          <w:lang w:val="pt-BR"/>
        </w:rPr>
        <w:t>ção</w:t>
      </w:r>
      <w:r w:rsidR="00274B71" w:rsidRPr="00C40BD9">
        <w:rPr>
          <w:rFonts w:ascii="Verdana" w:hAnsi="Verdana"/>
          <w:sz w:val="20"/>
          <w:szCs w:val="20"/>
          <w:lang w:val="pt-BR"/>
        </w:rPr>
        <w:t xml:space="preserve"> aos </w:t>
      </w:r>
      <w:r w:rsidR="00FA3B08" w:rsidRPr="00C40BD9">
        <w:rPr>
          <w:rFonts w:ascii="Verdana" w:hAnsi="Verdana"/>
          <w:sz w:val="20"/>
          <w:szCs w:val="20"/>
          <w:lang w:val="pt-BR"/>
        </w:rPr>
        <w:t xml:space="preserve">argumentos </w:t>
      </w:r>
      <w:r w:rsidR="00970B13" w:rsidRPr="00C40BD9">
        <w:rPr>
          <w:rFonts w:ascii="Verdana" w:hAnsi="Verdana"/>
          <w:sz w:val="20"/>
          <w:szCs w:val="20"/>
          <w:lang w:val="pt-BR"/>
        </w:rPr>
        <w:t xml:space="preserve">do Estado </w:t>
      </w:r>
      <w:r w:rsidR="00180A5B" w:rsidRPr="00C40BD9">
        <w:rPr>
          <w:rFonts w:ascii="Verdana" w:hAnsi="Verdana"/>
          <w:sz w:val="20"/>
          <w:szCs w:val="20"/>
          <w:lang w:val="pt-BR"/>
        </w:rPr>
        <w:t>(p</w:t>
      </w:r>
      <w:r w:rsidR="00FA3B08" w:rsidRPr="00C40BD9">
        <w:rPr>
          <w:rFonts w:ascii="Verdana" w:hAnsi="Verdana"/>
          <w:sz w:val="20"/>
          <w:szCs w:val="20"/>
          <w:lang w:val="pt-BR"/>
        </w:rPr>
        <w:t>a</w:t>
      </w:r>
      <w:r w:rsidR="00180A5B" w:rsidRPr="00C40BD9">
        <w:rPr>
          <w:rFonts w:ascii="Verdana" w:hAnsi="Verdana"/>
          <w:sz w:val="20"/>
          <w:szCs w:val="20"/>
          <w:lang w:val="pt-BR"/>
        </w:rPr>
        <w:t xml:space="preserve">r. </w:t>
      </w:r>
      <w:r w:rsidR="00F86BC7" w:rsidRPr="00C40BD9">
        <w:rPr>
          <w:rFonts w:ascii="Verdana" w:hAnsi="Verdana"/>
          <w:sz w:val="20"/>
          <w:szCs w:val="20"/>
          <w:lang w:val="pt-BR"/>
        </w:rPr>
        <w:t>1</w:t>
      </w:r>
      <w:r w:rsidR="003A6010" w:rsidRPr="00C40BD9">
        <w:rPr>
          <w:rFonts w:ascii="Verdana" w:hAnsi="Verdana"/>
          <w:sz w:val="20"/>
          <w:szCs w:val="20"/>
          <w:lang w:val="pt-BR"/>
        </w:rPr>
        <w:t>9</w:t>
      </w:r>
      <w:r w:rsidR="00FA3B08" w:rsidRPr="00C40BD9">
        <w:rPr>
          <w:rFonts w:ascii="Verdana" w:hAnsi="Verdana"/>
          <w:sz w:val="20"/>
          <w:szCs w:val="20"/>
          <w:lang w:val="pt-BR"/>
        </w:rPr>
        <w:t xml:space="preserve"> </w:t>
      </w:r>
      <w:r w:rsidR="00FA3B08" w:rsidRPr="00C40BD9">
        <w:rPr>
          <w:rFonts w:ascii="Verdana" w:hAnsi="Verdana"/>
          <w:i/>
          <w:sz w:val="20"/>
          <w:szCs w:val="20"/>
          <w:lang w:val="pt-BR"/>
        </w:rPr>
        <w:t>supra</w:t>
      </w:r>
      <w:r w:rsidR="00180A5B" w:rsidRPr="00C40BD9">
        <w:rPr>
          <w:rFonts w:ascii="Verdana" w:hAnsi="Verdana"/>
          <w:sz w:val="20"/>
          <w:szCs w:val="20"/>
          <w:lang w:val="pt-BR"/>
        </w:rPr>
        <w:t xml:space="preserve">), </w:t>
      </w:r>
      <w:r w:rsidR="00036A1B" w:rsidRPr="00C40BD9">
        <w:rPr>
          <w:rFonts w:ascii="Verdana" w:hAnsi="Verdana"/>
          <w:sz w:val="20"/>
          <w:szCs w:val="20"/>
          <w:lang w:val="pt-BR"/>
        </w:rPr>
        <w:t xml:space="preserve">a Corte </w:t>
      </w:r>
      <w:r w:rsidR="00180A5B" w:rsidRPr="00C40BD9">
        <w:rPr>
          <w:rFonts w:ascii="Verdana" w:hAnsi="Verdana"/>
          <w:sz w:val="20"/>
          <w:szCs w:val="20"/>
          <w:lang w:val="pt-BR"/>
        </w:rPr>
        <w:t>rec</w:t>
      </w:r>
      <w:r w:rsidR="00FA3B08" w:rsidRPr="00C40BD9">
        <w:rPr>
          <w:rFonts w:ascii="Verdana" w:hAnsi="Verdana"/>
          <w:sz w:val="20"/>
          <w:szCs w:val="20"/>
          <w:lang w:val="pt-BR"/>
        </w:rPr>
        <w:t>o</w:t>
      </w:r>
      <w:r w:rsidR="00180A5B" w:rsidRPr="00C40BD9">
        <w:rPr>
          <w:rFonts w:ascii="Verdana" w:hAnsi="Verdana"/>
          <w:sz w:val="20"/>
          <w:szCs w:val="20"/>
          <w:lang w:val="pt-BR"/>
        </w:rPr>
        <w:t xml:space="preserve">rda </w:t>
      </w:r>
      <w:r w:rsidR="00D121D6" w:rsidRPr="00C40BD9">
        <w:rPr>
          <w:rFonts w:ascii="Verdana" w:hAnsi="Verdana"/>
          <w:sz w:val="20"/>
          <w:szCs w:val="20"/>
          <w:lang w:val="pt-BR"/>
        </w:rPr>
        <w:t>que</w:t>
      </w:r>
      <w:r w:rsidR="00FA3B08" w:rsidRPr="00C40BD9">
        <w:rPr>
          <w:rFonts w:ascii="Verdana" w:hAnsi="Verdana"/>
          <w:sz w:val="20"/>
          <w:szCs w:val="20"/>
          <w:lang w:val="pt-BR"/>
        </w:rPr>
        <w:t xml:space="preserve">, na </w:t>
      </w:r>
      <w:r w:rsidR="00D121D6" w:rsidRPr="00C40BD9">
        <w:rPr>
          <w:rFonts w:ascii="Verdana" w:hAnsi="Verdana"/>
          <w:sz w:val="20"/>
          <w:szCs w:val="20"/>
          <w:lang w:val="pt-BR"/>
        </w:rPr>
        <w:t>eventual anális</w:t>
      </w:r>
      <w:r w:rsidR="00FA3B08" w:rsidRPr="00C40BD9">
        <w:rPr>
          <w:rFonts w:ascii="Verdana" w:hAnsi="Verdana"/>
          <w:sz w:val="20"/>
          <w:szCs w:val="20"/>
          <w:lang w:val="pt-BR"/>
        </w:rPr>
        <w:t>e</w:t>
      </w:r>
      <w:r w:rsidR="00D121D6" w:rsidRPr="00C40BD9">
        <w:rPr>
          <w:rFonts w:ascii="Verdana" w:hAnsi="Verdana"/>
          <w:sz w:val="20"/>
          <w:szCs w:val="20"/>
          <w:lang w:val="pt-BR"/>
        </w:rPr>
        <w:t xml:space="preserve"> </w:t>
      </w:r>
      <w:r w:rsidR="00F633DD" w:rsidRPr="00C40BD9">
        <w:rPr>
          <w:rFonts w:ascii="Verdana" w:hAnsi="Verdana"/>
          <w:sz w:val="20"/>
          <w:szCs w:val="20"/>
          <w:lang w:val="pt-BR"/>
        </w:rPr>
        <w:t xml:space="preserve">da </w:t>
      </w:r>
      <w:r w:rsidR="00D121D6" w:rsidRPr="00C40BD9">
        <w:rPr>
          <w:rFonts w:ascii="Verdana" w:hAnsi="Verdana"/>
          <w:sz w:val="20"/>
          <w:szCs w:val="20"/>
          <w:lang w:val="pt-BR"/>
        </w:rPr>
        <w:t>impunidad</w:t>
      </w:r>
      <w:r w:rsidR="00FA3B08" w:rsidRPr="00C40BD9">
        <w:rPr>
          <w:rFonts w:ascii="Verdana" w:hAnsi="Verdana"/>
          <w:sz w:val="20"/>
          <w:szCs w:val="20"/>
          <w:lang w:val="pt-BR"/>
        </w:rPr>
        <w:t>e</w:t>
      </w:r>
      <w:r w:rsidR="00D121D6" w:rsidRPr="00C40BD9">
        <w:rPr>
          <w:rFonts w:ascii="Verdana" w:hAnsi="Verdana"/>
          <w:sz w:val="20"/>
          <w:szCs w:val="20"/>
          <w:lang w:val="pt-BR"/>
        </w:rPr>
        <w:t xml:space="preserve"> e</w:t>
      </w:r>
      <w:r w:rsidR="00FA3B08" w:rsidRPr="00C40BD9">
        <w:rPr>
          <w:rFonts w:ascii="Verdana" w:hAnsi="Verdana"/>
          <w:sz w:val="20"/>
          <w:szCs w:val="20"/>
          <w:lang w:val="pt-BR"/>
        </w:rPr>
        <w:t xml:space="preserve">m um </w:t>
      </w:r>
      <w:r w:rsidR="00D121D6" w:rsidRPr="00C40BD9">
        <w:rPr>
          <w:rFonts w:ascii="Verdana" w:hAnsi="Verdana"/>
          <w:sz w:val="20"/>
          <w:szCs w:val="20"/>
          <w:lang w:val="pt-BR"/>
        </w:rPr>
        <w:t>proce</w:t>
      </w:r>
      <w:r w:rsidR="00FA3B08" w:rsidRPr="00C40BD9">
        <w:rPr>
          <w:rFonts w:ascii="Verdana" w:hAnsi="Verdana"/>
          <w:sz w:val="20"/>
          <w:szCs w:val="20"/>
          <w:lang w:val="pt-BR"/>
        </w:rPr>
        <w:t>s</w:t>
      </w:r>
      <w:r w:rsidR="00D121D6" w:rsidRPr="00C40BD9">
        <w:rPr>
          <w:rFonts w:ascii="Verdana" w:hAnsi="Verdana"/>
          <w:sz w:val="20"/>
          <w:szCs w:val="20"/>
          <w:lang w:val="pt-BR"/>
        </w:rPr>
        <w:t xml:space="preserve">so judicial, </w:t>
      </w:r>
      <w:r w:rsidR="00FA3B08" w:rsidRPr="00C40BD9">
        <w:rPr>
          <w:rFonts w:ascii="Verdana" w:hAnsi="Verdana"/>
          <w:sz w:val="20"/>
          <w:szCs w:val="20"/>
          <w:lang w:val="pt-BR"/>
        </w:rPr>
        <w:t xml:space="preserve">é </w:t>
      </w:r>
      <w:r w:rsidR="00D121D6" w:rsidRPr="00C40BD9">
        <w:rPr>
          <w:rFonts w:ascii="Verdana" w:hAnsi="Verdana"/>
          <w:sz w:val="20"/>
          <w:szCs w:val="20"/>
          <w:lang w:val="pt-BR"/>
        </w:rPr>
        <w:t xml:space="preserve">importante </w:t>
      </w:r>
      <w:r w:rsidR="006770ED" w:rsidRPr="00C40BD9">
        <w:rPr>
          <w:rFonts w:ascii="Verdana" w:hAnsi="Verdana"/>
          <w:sz w:val="20"/>
          <w:szCs w:val="20"/>
          <w:lang w:val="pt-BR"/>
        </w:rPr>
        <w:t>ter</w:t>
      </w:r>
      <w:r w:rsidR="00DE316A">
        <w:rPr>
          <w:rFonts w:ascii="Verdana" w:hAnsi="Verdana"/>
          <w:sz w:val="20"/>
          <w:szCs w:val="20"/>
          <w:lang w:val="pt-BR"/>
        </w:rPr>
        <w:t xml:space="preserve"> </w:t>
      </w:r>
      <w:r w:rsidR="00D121D6" w:rsidRPr="00C40BD9">
        <w:rPr>
          <w:rFonts w:ascii="Verdana" w:hAnsi="Verdana"/>
          <w:sz w:val="20"/>
          <w:szCs w:val="20"/>
          <w:lang w:val="pt-BR"/>
        </w:rPr>
        <w:t xml:space="preserve">presente que certos contextos de </w:t>
      </w:r>
      <w:r w:rsidR="00C06A9B" w:rsidRPr="00C40BD9">
        <w:rPr>
          <w:rFonts w:ascii="Verdana" w:hAnsi="Verdana"/>
          <w:sz w:val="20"/>
          <w:szCs w:val="20"/>
          <w:lang w:val="pt-BR"/>
        </w:rPr>
        <w:t>violência</w:t>
      </w:r>
      <w:r w:rsidR="00DE316A">
        <w:rPr>
          <w:rFonts w:ascii="Verdana" w:hAnsi="Verdana"/>
          <w:sz w:val="20"/>
          <w:szCs w:val="20"/>
          <w:lang w:val="pt-BR"/>
        </w:rPr>
        <w:t xml:space="preserve"> </w:t>
      </w:r>
      <w:r w:rsidR="00D121D6" w:rsidRPr="00C40BD9">
        <w:rPr>
          <w:rFonts w:ascii="Verdana" w:hAnsi="Verdana"/>
          <w:sz w:val="20"/>
          <w:szCs w:val="20"/>
          <w:lang w:val="pt-BR"/>
        </w:rPr>
        <w:t xml:space="preserve">institucional </w:t>
      </w:r>
      <w:r w:rsidR="00E76384" w:rsidRPr="00C40BD9">
        <w:rPr>
          <w:rFonts w:ascii="Verdana" w:hAnsi="Verdana"/>
          <w:sz w:val="20"/>
          <w:szCs w:val="20"/>
          <w:lang w:val="pt-BR"/>
        </w:rPr>
        <w:t>–</w:t>
      </w:r>
      <w:r w:rsidR="00FA3B08" w:rsidRPr="00C40BD9">
        <w:rPr>
          <w:rFonts w:ascii="Verdana" w:hAnsi="Verdana"/>
          <w:sz w:val="20"/>
          <w:szCs w:val="20"/>
          <w:lang w:val="pt-BR"/>
        </w:rPr>
        <w:t xml:space="preserve"> além de certos </w:t>
      </w:r>
      <w:r w:rsidR="00D121D6" w:rsidRPr="00C40BD9">
        <w:rPr>
          <w:rFonts w:ascii="Verdana" w:hAnsi="Verdana"/>
          <w:sz w:val="20"/>
          <w:szCs w:val="20"/>
          <w:lang w:val="pt-BR"/>
        </w:rPr>
        <w:t xml:space="preserve">obstáculos </w:t>
      </w:r>
      <w:r w:rsidR="000814BE" w:rsidRPr="00C40BD9">
        <w:rPr>
          <w:rFonts w:ascii="Verdana" w:hAnsi="Verdana"/>
          <w:sz w:val="20"/>
          <w:szCs w:val="20"/>
          <w:lang w:val="pt-BR"/>
        </w:rPr>
        <w:t xml:space="preserve">na </w:t>
      </w:r>
      <w:r w:rsidR="00D121D6" w:rsidRPr="00C40BD9">
        <w:rPr>
          <w:rFonts w:ascii="Verdana" w:hAnsi="Verdana"/>
          <w:sz w:val="20"/>
          <w:szCs w:val="20"/>
          <w:lang w:val="pt-BR"/>
        </w:rPr>
        <w:t>investiga</w:t>
      </w:r>
      <w:r w:rsidR="00F633DD" w:rsidRPr="00C40BD9">
        <w:rPr>
          <w:rFonts w:ascii="Verdana" w:hAnsi="Verdana"/>
          <w:sz w:val="20"/>
          <w:szCs w:val="20"/>
          <w:lang w:val="pt-BR"/>
        </w:rPr>
        <w:t>ção</w:t>
      </w:r>
      <w:r w:rsidR="00FA3B08" w:rsidRPr="00C40BD9">
        <w:rPr>
          <w:rFonts w:ascii="Verdana" w:hAnsi="Verdana"/>
          <w:sz w:val="20"/>
          <w:szCs w:val="20"/>
          <w:lang w:val="pt-BR"/>
        </w:rPr>
        <w:t xml:space="preserve"> </w:t>
      </w:r>
      <w:r w:rsidR="00E76384" w:rsidRPr="00C40BD9">
        <w:rPr>
          <w:rFonts w:ascii="Verdana" w:hAnsi="Verdana"/>
          <w:sz w:val="20"/>
          <w:szCs w:val="20"/>
          <w:lang w:val="pt-BR"/>
        </w:rPr>
        <w:t>–</w:t>
      </w:r>
      <w:r w:rsidR="00D121D6" w:rsidRPr="00C40BD9">
        <w:rPr>
          <w:rFonts w:ascii="Verdana" w:hAnsi="Verdana"/>
          <w:sz w:val="20"/>
          <w:szCs w:val="20"/>
          <w:lang w:val="pt-BR"/>
        </w:rPr>
        <w:t xml:space="preserve"> p</w:t>
      </w:r>
      <w:r w:rsidR="00FA3B08" w:rsidRPr="00C40BD9">
        <w:rPr>
          <w:rFonts w:ascii="Verdana" w:hAnsi="Verdana"/>
          <w:sz w:val="20"/>
          <w:szCs w:val="20"/>
          <w:lang w:val="pt-BR"/>
        </w:rPr>
        <w:t>odem oferecer</w:t>
      </w:r>
      <w:r w:rsidR="00D121D6" w:rsidRPr="00C40BD9">
        <w:rPr>
          <w:rFonts w:ascii="Verdana" w:hAnsi="Verdana"/>
          <w:sz w:val="20"/>
          <w:szCs w:val="20"/>
          <w:lang w:val="pt-BR"/>
        </w:rPr>
        <w:t xml:space="preserve"> s</w:t>
      </w:r>
      <w:r w:rsidR="00FA3B08" w:rsidRPr="00C40BD9">
        <w:rPr>
          <w:rFonts w:ascii="Verdana" w:hAnsi="Verdana"/>
          <w:sz w:val="20"/>
          <w:szCs w:val="20"/>
          <w:lang w:val="pt-BR"/>
        </w:rPr>
        <w:t>é</w:t>
      </w:r>
      <w:r w:rsidR="00D121D6" w:rsidRPr="00C40BD9">
        <w:rPr>
          <w:rFonts w:ascii="Verdana" w:hAnsi="Verdana"/>
          <w:sz w:val="20"/>
          <w:szCs w:val="20"/>
          <w:lang w:val="pt-BR"/>
        </w:rPr>
        <w:t>rias dificul</w:t>
      </w:r>
      <w:r w:rsidR="00FA3B08" w:rsidRPr="00C40BD9">
        <w:rPr>
          <w:rFonts w:ascii="Verdana" w:hAnsi="Verdana"/>
          <w:sz w:val="20"/>
          <w:szCs w:val="20"/>
          <w:lang w:val="pt-BR"/>
        </w:rPr>
        <w:t>d</w:t>
      </w:r>
      <w:r w:rsidR="00D121D6" w:rsidRPr="00C40BD9">
        <w:rPr>
          <w:rFonts w:ascii="Verdana" w:hAnsi="Verdana"/>
          <w:sz w:val="20"/>
          <w:szCs w:val="20"/>
          <w:lang w:val="pt-BR"/>
        </w:rPr>
        <w:t xml:space="preserve">ades para </w:t>
      </w:r>
      <w:r w:rsidR="00E76384" w:rsidRPr="00C40BD9">
        <w:rPr>
          <w:rFonts w:ascii="Verdana" w:hAnsi="Verdana"/>
          <w:sz w:val="20"/>
          <w:szCs w:val="20"/>
          <w:lang w:val="pt-BR"/>
        </w:rPr>
        <w:t xml:space="preserve">esclarecer </w:t>
      </w:r>
      <w:r w:rsidR="00D121D6" w:rsidRPr="00C40BD9">
        <w:rPr>
          <w:rFonts w:ascii="Verdana" w:hAnsi="Verdana"/>
          <w:sz w:val="20"/>
          <w:szCs w:val="20"/>
          <w:lang w:val="pt-BR"/>
        </w:rPr>
        <w:t>viola</w:t>
      </w:r>
      <w:r w:rsidR="00F633DD" w:rsidRPr="00C40BD9">
        <w:rPr>
          <w:rFonts w:ascii="Verdana" w:hAnsi="Verdana"/>
          <w:sz w:val="20"/>
          <w:szCs w:val="20"/>
          <w:lang w:val="pt-BR"/>
        </w:rPr>
        <w:t>ções</w:t>
      </w:r>
      <w:r w:rsidR="00D121D6" w:rsidRPr="00C40BD9">
        <w:rPr>
          <w:rFonts w:ascii="Verdana" w:hAnsi="Verdana"/>
          <w:sz w:val="20"/>
          <w:szCs w:val="20"/>
          <w:lang w:val="pt-BR"/>
        </w:rPr>
        <w:t xml:space="preserve"> de </w:t>
      </w:r>
      <w:r w:rsidR="000814BE" w:rsidRPr="00C40BD9">
        <w:rPr>
          <w:rFonts w:ascii="Verdana" w:hAnsi="Verdana"/>
          <w:sz w:val="20"/>
          <w:szCs w:val="20"/>
          <w:lang w:val="pt-BR"/>
        </w:rPr>
        <w:t>direitos</w:t>
      </w:r>
      <w:r w:rsidR="00DE316A">
        <w:rPr>
          <w:rFonts w:ascii="Verdana" w:hAnsi="Verdana"/>
          <w:sz w:val="20"/>
          <w:szCs w:val="20"/>
          <w:lang w:val="pt-BR"/>
        </w:rPr>
        <w:t xml:space="preserve"> </w:t>
      </w:r>
      <w:r w:rsidR="00D121D6" w:rsidRPr="00C40BD9">
        <w:rPr>
          <w:rFonts w:ascii="Verdana" w:hAnsi="Verdana"/>
          <w:sz w:val="20"/>
          <w:szCs w:val="20"/>
          <w:lang w:val="pt-BR"/>
        </w:rPr>
        <w:t>humanos. E</w:t>
      </w:r>
      <w:r w:rsidR="00FA3B08" w:rsidRPr="00C40BD9">
        <w:rPr>
          <w:rFonts w:ascii="Verdana" w:hAnsi="Verdana"/>
          <w:sz w:val="20"/>
          <w:szCs w:val="20"/>
          <w:lang w:val="pt-BR"/>
        </w:rPr>
        <w:t>m</w:t>
      </w:r>
      <w:r w:rsidR="00D121D6" w:rsidRPr="00C40BD9">
        <w:rPr>
          <w:rFonts w:ascii="Verdana" w:hAnsi="Verdana"/>
          <w:sz w:val="20"/>
          <w:szCs w:val="20"/>
          <w:lang w:val="pt-BR"/>
        </w:rPr>
        <w:t xml:space="preserve"> cada caso concreto</w:t>
      </w:r>
      <w:r w:rsidR="002240EA" w:rsidRPr="00C40BD9">
        <w:rPr>
          <w:rFonts w:ascii="Verdana" w:hAnsi="Verdana"/>
          <w:sz w:val="20"/>
          <w:szCs w:val="20"/>
          <w:lang w:val="pt-BR"/>
        </w:rPr>
        <w:t xml:space="preserve">, </w:t>
      </w:r>
      <w:r w:rsidR="00FA3B08" w:rsidRPr="00C40BD9">
        <w:rPr>
          <w:rFonts w:ascii="Verdana" w:hAnsi="Verdana"/>
          <w:sz w:val="20"/>
          <w:szCs w:val="20"/>
          <w:lang w:val="pt-BR"/>
        </w:rPr>
        <w:t xml:space="preserve">se deverá avaliar se a </w:t>
      </w:r>
      <w:r w:rsidR="00F40859" w:rsidRPr="00C40BD9">
        <w:rPr>
          <w:rFonts w:ascii="Verdana" w:hAnsi="Verdana"/>
          <w:sz w:val="20"/>
          <w:szCs w:val="20"/>
          <w:lang w:val="pt-BR"/>
        </w:rPr>
        <w:t>eventual</w:t>
      </w:r>
      <w:r w:rsidR="00D121D6" w:rsidRPr="00C40BD9">
        <w:rPr>
          <w:rFonts w:ascii="Verdana" w:hAnsi="Verdana"/>
          <w:sz w:val="20"/>
          <w:szCs w:val="20"/>
          <w:lang w:val="pt-BR"/>
        </w:rPr>
        <w:t xml:space="preserve"> </w:t>
      </w:r>
      <w:r w:rsidR="00F40859" w:rsidRPr="00C40BD9">
        <w:rPr>
          <w:rFonts w:ascii="Verdana" w:hAnsi="Verdana"/>
          <w:sz w:val="20"/>
          <w:szCs w:val="20"/>
          <w:lang w:val="pt-BR"/>
        </w:rPr>
        <w:t>im</w:t>
      </w:r>
      <w:r w:rsidR="00D121D6" w:rsidRPr="00C40BD9">
        <w:rPr>
          <w:rFonts w:ascii="Verdana" w:hAnsi="Verdana"/>
          <w:sz w:val="20"/>
          <w:szCs w:val="20"/>
          <w:lang w:val="pt-BR"/>
        </w:rPr>
        <w:t>proced</w:t>
      </w:r>
      <w:r w:rsidR="00FA3B08" w:rsidRPr="00C40BD9">
        <w:rPr>
          <w:rFonts w:ascii="Verdana" w:hAnsi="Verdana"/>
          <w:sz w:val="20"/>
          <w:szCs w:val="20"/>
          <w:lang w:val="pt-BR"/>
        </w:rPr>
        <w:t>ê</w:t>
      </w:r>
      <w:r w:rsidR="00D121D6" w:rsidRPr="00C40BD9">
        <w:rPr>
          <w:rFonts w:ascii="Verdana" w:hAnsi="Verdana"/>
          <w:sz w:val="20"/>
          <w:szCs w:val="20"/>
          <w:lang w:val="pt-BR"/>
        </w:rPr>
        <w:t xml:space="preserve">ncia </w:t>
      </w:r>
      <w:r w:rsidR="00F633DD" w:rsidRPr="00C40BD9">
        <w:rPr>
          <w:rFonts w:ascii="Verdana" w:hAnsi="Verdana"/>
          <w:sz w:val="20"/>
          <w:szCs w:val="20"/>
          <w:lang w:val="pt-BR"/>
        </w:rPr>
        <w:t xml:space="preserve">da </w:t>
      </w:r>
      <w:r w:rsidR="00D121D6" w:rsidRPr="00C40BD9">
        <w:rPr>
          <w:rFonts w:ascii="Verdana" w:hAnsi="Verdana"/>
          <w:sz w:val="20"/>
          <w:szCs w:val="20"/>
          <w:lang w:val="pt-BR"/>
        </w:rPr>
        <w:t>prescri</w:t>
      </w:r>
      <w:r w:rsidR="00F633DD" w:rsidRPr="00C40BD9">
        <w:rPr>
          <w:rFonts w:ascii="Verdana" w:hAnsi="Verdana"/>
          <w:sz w:val="20"/>
          <w:szCs w:val="20"/>
          <w:lang w:val="pt-BR"/>
        </w:rPr>
        <w:t>ção</w:t>
      </w:r>
      <w:r w:rsidR="00D121D6" w:rsidRPr="00C40BD9">
        <w:rPr>
          <w:rFonts w:ascii="Verdana" w:hAnsi="Verdana"/>
          <w:sz w:val="20"/>
          <w:szCs w:val="20"/>
          <w:lang w:val="pt-BR"/>
        </w:rPr>
        <w:t xml:space="preserve"> </w:t>
      </w:r>
      <w:r w:rsidR="00FA3B08" w:rsidRPr="00C40BD9">
        <w:rPr>
          <w:rFonts w:ascii="Verdana" w:hAnsi="Verdana"/>
          <w:sz w:val="20"/>
          <w:szCs w:val="20"/>
          <w:lang w:val="pt-BR"/>
        </w:rPr>
        <w:t xml:space="preserve">conseguiria </w:t>
      </w:r>
      <w:r w:rsidR="00B72CF1" w:rsidRPr="00C40BD9">
        <w:rPr>
          <w:rFonts w:ascii="Verdana" w:hAnsi="Verdana"/>
          <w:sz w:val="20"/>
          <w:szCs w:val="20"/>
          <w:lang w:val="pt-BR"/>
        </w:rPr>
        <w:t>impedir</w:t>
      </w:r>
      <w:r w:rsidR="00D121D6" w:rsidRPr="00C40BD9">
        <w:rPr>
          <w:rFonts w:ascii="Verdana" w:hAnsi="Verdana"/>
          <w:sz w:val="20"/>
          <w:szCs w:val="20"/>
          <w:lang w:val="pt-BR"/>
        </w:rPr>
        <w:t xml:space="preserve"> que</w:t>
      </w:r>
      <w:r w:rsidR="00911BF2" w:rsidRPr="00C40BD9">
        <w:rPr>
          <w:rFonts w:ascii="Verdana" w:hAnsi="Verdana"/>
          <w:sz w:val="20"/>
          <w:szCs w:val="20"/>
          <w:lang w:val="pt-BR"/>
        </w:rPr>
        <w:t xml:space="preserve"> agentes </w:t>
      </w:r>
      <w:r w:rsidR="00970B13" w:rsidRPr="00C40BD9">
        <w:rPr>
          <w:rFonts w:ascii="Verdana" w:hAnsi="Verdana"/>
          <w:sz w:val="20"/>
          <w:szCs w:val="20"/>
          <w:lang w:val="pt-BR"/>
        </w:rPr>
        <w:t xml:space="preserve">do Estado </w:t>
      </w:r>
      <w:r w:rsidR="00FA3B08" w:rsidRPr="00C40BD9">
        <w:rPr>
          <w:rFonts w:ascii="Verdana" w:hAnsi="Verdana"/>
          <w:sz w:val="20"/>
          <w:szCs w:val="20"/>
          <w:lang w:val="pt-BR"/>
        </w:rPr>
        <w:t xml:space="preserve">se </w:t>
      </w:r>
      <w:r w:rsidR="001A4631">
        <w:rPr>
          <w:rFonts w:ascii="Verdana" w:hAnsi="Verdana"/>
          <w:sz w:val="20"/>
          <w:szCs w:val="20"/>
          <w:lang w:val="pt-BR"/>
        </w:rPr>
        <w:t>furtem à</w:t>
      </w:r>
      <w:r w:rsidR="00CD6AAF">
        <w:rPr>
          <w:rFonts w:ascii="Verdana" w:hAnsi="Verdana"/>
          <w:sz w:val="20"/>
          <w:szCs w:val="20"/>
          <w:lang w:val="pt-BR"/>
        </w:rPr>
        <w:t xml:space="preserve"> </w:t>
      </w:r>
      <w:r w:rsidR="00FA3B08" w:rsidRPr="00C40BD9">
        <w:rPr>
          <w:rFonts w:ascii="Verdana" w:hAnsi="Verdana"/>
          <w:sz w:val="20"/>
          <w:szCs w:val="20"/>
          <w:lang w:val="pt-BR"/>
        </w:rPr>
        <w:t xml:space="preserve">sua </w:t>
      </w:r>
      <w:r w:rsidR="00B72CF1" w:rsidRPr="00C40BD9">
        <w:rPr>
          <w:rFonts w:ascii="Verdana" w:hAnsi="Verdana"/>
          <w:sz w:val="20"/>
          <w:szCs w:val="20"/>
          <w:lang w:val="pt-BR"/>
        </w:rPr>
        <w:t>ob</w:t>
      </w:r>
      <w:r w:rsidR="00FA3B08" w:rsidRPr="00C40BD9">
        <w:rPr>
          <w:rFonts w:ascii="Verdana" w:hAnsi="Verdana"/>
          <w:sz w:val="20"/>
          <w:szCs w:val="20"/>
          <w:lang w:val="pt-BR"/>
        </w:rPr>
        <w:t>r</w:t>
      </w:r>
      <w:r w:rsidR="00B72CF1" w:rsidRPr="00C40BD9">
        <w:rPr>
          <w:rFonts w:ascii="Verdana" w:hAnsi="Verdana"/>
          <w:sz w:val="20"/>
          <w:szCs w:val="20"/>
          <w:lang w:val="pt-BR"/>
        </w:rPr>
        <w:t>iga</w:t>
      </w:r>
      <w:r w:rsidR="00F633DD" w:rsidRPr="00C40BD9">
        <w:rPr>
          <w:rFonts w:ascii="Verdana" w:hAnsi="Verdana"/>
          <w:sz w:val="20"/>
          <w:szCs w:val="20"/>
          <w:lang w:val="pt-BR"/>
        </w:rPr>
        <w:t>ção</w:t>
      </w:r>
      <w:r w:rsidR="00B72CF1" w:rsidRPr="00C40BD9">
        <w:rPr>
          <w:rFonts w:ascii="Verdana" w:hAnsi="Verdana"/>
          <w:sz w:val="20"/>
          <w:szCs w:val="20"/>
          <w:lang w:val="pt-BR"/>
        </w:rPr>
        <w:t xml:space="preserve"> de </w:t>
      </w:r>
      <w:r w:rsidR="00FA3B08" w:rsidRPr="00C40BD9">
        <w:rPr>
          <w:rFonts w:ascii="Verdana" w:hAnsi="Verdana"/>
          <w:sz w:val="20"/>
          <w:szCs w:val="20"/>
          <w:lang w:val="pt-BR"/>
        </w:rPr>
        <w:t xml:space="preserve">prestar contas de possíveis </w:t>
      </w:r>
      <w:r w:rsidR="00D121D6" w:rsidRPr="00C40BD9">
        <w:rPr>
          <w:rFonts w:ascii="Verdana" w:hAnsi="Verdana"/>
          <w:sz w:val="20"/>
          <w:szCs w:val="20"/>
          <w:lang w:val="pt-BR"/>
        </w:rPr>
        <w:t xml:space="preserve">arbitrariedades </w:t>
      </w:r>
      <w:r w:rsidR="008919B8" w:rsidRPr="00C40BD9">
        <w:rPr>
          <w:rFonts w:ascii="Verdana" w:hAnsi="Verdana"/>
          <w:sz w:val="20"/>
          <w:szCs w:val="20"/>
          <w:lang w:val="pt-BR"/>
        </w:rPr>
        <w:t>cometidas</w:t>
      </w:r>
      <w:r w:rsidR="00D121D6" w:rsidRPr="00C40BD9">
        <w:rPr>
          <w:rFonts w:ascii="Verdana" w:hAnsi="Verdana"/>
          <w:sz w:val="20"/>
          <w:szCs w:val="20"/>
          <w:lang w:val="pt-BR"/>
        </w:rPr>
        <w:t xml:space="preserve"> </w:t>
      </w:r>
      <w:r w:rsidR="00FA3B08" w:rsidRPr="00C40BD9">
        <w:rPr>
          <w:rFonts w:ascii="Verdana" w:hAnsi="Verdana"/>
          <w:sz w:val="20"/>
          <w:szCs w:val="20"/>
          <w:lang w:val="pt-BR"/>
        </w:rPr>
        <w:t xml:space="preserve">no âmbito </w:t>
      </w:r>
      <w:r w:rsidR="00C06A9B" w:rsidRPr="00C40BD9">
        <w:rPr>
          <w:rFonts w:ascii="Verdana" w:hAnsi="Verdana"/>
          <w:sz w:val="20"/>
          <w:szCs w:val="20"/>
          <w:lang w:val="pt-BR"/>
        </w:rPr>
        <w:t xml:space="preserve">dos </w:t>
      </w:r>
      <w:r w:rsidR="00D121D6" w:rsidRPr="00C40BD9">
        <w:rPr>
          <w:rFonts w:ascii="Verdana" w:hAnsi="Verdana"/>
          <w:sz w:val="20"/>
          <w:szCs w:val="20"/>
          <w:lang w:val="pt-BR"/>
        </w:rPr>
        <w:t>contextos</w:t>
      </w:r>
      <w:r w:rsidR="00B72CF1" w:rsidRPr="00C40BD9">
        <w:rPr>
          <w:rFonts w:ascii="Verdana" w:hAnsi="Verdana"/>
          <w:sz w:val="20"/>
          <w:szCs w:val="20"/>
          <w:lang w:val="pt-BR"/>
        </w:rPr>
        <w:t xml:space="preserve"> antes mencionados</w:t>
      </w:r>
      <w:r w:rsidR="00FA3B08" w:rsidRPr="00C40BD9">
        <w:rPr>
          <w:rFonts w:ascii="Verdana" w:hAnsi="Verdana"/>
          <w:sz w:val="20"/>
          <w:szCs w:val="20"/>
          <w:lang w:val="pt-BR"/>
        </w:rPr>
        <w:t>.</w:t>
      </w:r>
      <w:r w:rsidR="00D121D6" w:rsidRPr="00C40BD9">
        <w:rPr>
          <w:rStyle w:val="FootnoteReference"/>
          <w:sz w:val="20"/>
          <w:szCs w:val="20"/>
          <w:lang w:val="pt-BR"/>
        </w:rPr>
        <w:footnoteReference w:id="9"/>
      </w:r>
      <w:r w:rsidR="00D121D6" w:rsidRPr="00C40BD9">
        <w:rPr>
          <w:rFonts w:ascii="Verdana" w:hAnsi="Verdana"/>
          <w:sz w:val="20"/>
          <w:szCs w:val="20"/>
          <w:lang w:val="pt-BR"/>
        </w:rPr>
        <w:t xml:space="preserve"> </w:t>
      </w:r>
      <w:r w:rsidR="00FA3B08" w:rsidRPr="00C40BD9">
        <w:rPr>
          <w:rFonts w:ascii="Verdana" w:hAnsi="Verdana"/>
          <w:sz w:val="20"/>
          <w:szCs w:val="20"/>
          <w:lang w:val="pt-BR"/>
        </w:rPr>
        <w:t xml:space="preserve">Isso </w:t>
      </w:r>
      <w:r w:rsidR="00D121D6" w:rsidRPr="00C40BD9">
        <w:rPr>
          <w:rFonts w:ascii="Verdana" w:hAnsi="Verdana"/>
          <w:sz w:val="20"/>
          <w:szCs w:val="20"/>
          <w:lang w:val="pt-BR"/>
        </w:rPr>
        <w:t>significa que</w:t>
      </w:r>
      <w:r w:rsidR="00CD6AAF">
        <w:rPr>
          <w:rFonts w:ascii="Verdana" w:hAnsi="Verdana"/>
          <w:sz w:val="20"/>
          <w:szCs w:val="20"/>
          <w:lang w:val="pt-BR"/>
        </w:rPr>
        <w:t>,</w:t>
      </w:r>
      <w:r w:rsidR="00D121D6" w:rsidRPr="00C40BD9">
        <w:rPr>
          <w:rFonts w:ascii="Verdana" w:hAnsi="Verdana"/>
          <w:sz w:val="20"/>
          <w:szCs w:val="20"/>
          <w:lang w:val="pt-BR"/>
        </w:rPr>
        <w:t xml:space="preserve"> </w:t>
      </w:r>
      <w:r w:rsidR="007A0710" w:rsidRPr="00C40BD9">
        <w:rPr>
          <w:rFonts w:ascii="Verdana" w:hAnsi="Verdana"/>
          <w:sz w:val="20"/>
          <w:szCs w:val="20"/>
          <w:lang w:val="pt-BR"/>
        </w:rPr>
        <w:t xml:space="preserve">para </w:t>
      </w:r>
      <w:r w:rsidR="00E841FD" w:rsidRPr="00C40BD9">
        <w:rPr>
          <w:rFonts w:ascii="Verdana" w:hAnsi="Verdana"/>
          <w:sz w:val="20"/>
          <w:szCs w:val="20"/>
          <w:lang w:val="pt-BR"/>
        </w:rPr>
        <w:t>garantir u</w:t>
      </w:r>
      <w:r w:rsidR="00FA3B08" w:rsidRPr="00C40BD9">
        <w:rPr>
          <w:rFonts w:ascii="Verdana" w:hAnsi="Verdana"/>
          <w:sz w:val="20"/>
          <w:szCs w:val="20"/>
          <w:lang w:val="pt-BR"/>
        </w:rPr>
        <w:t>m</w:t>
      </w:r>
      <w:r w:rsidR="00E841FD" w:rsidRPr="00C40BD9">
        <w:rPr>
          <w:rFonts w:ascii="Verdana" w:hAnsi="Verdana"/>
          <w:sz w:val="20"/>
          <w:szCs w:val="20"/>
          <w:lang w:val="pt-BR"/>
        </w:rPr>
        <w:t xml:space="preserve"> recurso efetivo de prote</w:t>
      </w:r>
      <w:r w:rsidR="00F633DD" w:rsidRPr="00C40BD9">
        <w:rPr>
          <w:rFonts w:ascii="Verdana" w:hAnsi="Verdana"/>
          <w:sz w:val="20"/>
          <w:szCs w:val="20"/>
          <w:lang w:val="pt-BR"/>
        </w:rPr>
        <w:t>ção</w:t>
      </w:r>
      <w:r w:rsidR="00E841FD" w:rsidRPr="00C40BD9">
        <w:rPr>
          <w:rFonts w:ascii="Verdana" w:hAnsi="Verdana"/>
          <w:sz w:val="20"/>
          <w:szCs w:val="20"/>
          <w:lang w:val="pt-BR"/>
        </w:rPr>
        <w:t xml:space="preserve"> judicial</w:t>
      </w:r>
      <w:r w:rsidR="007A0710" w:rsidRPr="00C40BD9">
        <w:rPr>
          <w:rFonts w:ascii="Verdana" w:hAnsi="Verdana"/>
          <w:sz w:val="20"/>
          <w:szCs w:val="20"/>
          <w:lang w:val="pt-BR"/>
        </w:rPr>
        <w:t xml:space="preserve">, </w:t>
      </w:r>
      <w:r w:rsidR="00FA3B08" w:rsidRPr="00C40BD9">
        <w:rPr>
          <w:rFonts w:ascii="Verdana" w:hAnsi="Verdana"/>
          <w:sz w:val="20"/>
          <w:szCs w:val="20"/>
          <w:lang w:val="pt-BR"/>
        </w:rPr>
        <w:t xml:space="preserve">o </w:t>
      </w:r>
      <w:r w:rsidR="00E841FD" w:rsidRPr="00C40BD9">
        <w:rPr>
          <w:rFonts w:ascii="Verdana" w:hAnsi="Verdana"/>
          <w:sz w:val="20"/>
          <w:szCs w:val="20"/>
          <w:lang w:val="pt-BR"/>
        </w:rPr>
        <w:t>proce</w:t>
      </w:r>
      <w:r w:rsidR="00FA3B08" w:rsidRPr="00C40BD9">
        <w:rPr>
          <w:rFonts w:ascii="Verdana" w:hAnsi="Verdana"/>
          <w:sz w:val="20"/>
          <w:szCs w:val="20"/>
          <w:lang w:val="pt-BR"/>
        </w:rPr>
        <w:t>s</w:t>
      </w:r>
      <w:r w:rsidR="00E841FD" w:rsidRPr="00C40BD9">
        <w:rPr>
          <w:rFonts w:ascii="Verdana" w:hAnsi="Verdana"/>
          <w:sz w:val="20"/>
          <w:szCs w:val="20"/>
          <w:lang w:val="pt-BR"/>
        </w:rPr>
        <w:t>so penal n</w:t>
      </w:r>
      <w:r w:rsidR="00FA3B08" w:rsidRPr="00C40BD9">
        <w:rPr>
          <w:rFonts w:ascii="Verdana" w:hAnsi="Verdana"/>
          <w:sz w:val="20"/>
          <w:szCs w:val="20"/>
          <w:lang w:val="pt-BR"/>
        </w:rPr>
        <w:t>ã</w:t>
      </w:r>
      <w:r w:rsidR="00E841FD" w:rsidRPr="00C40BD9">
        <w:rPr>
          <w:rFonts w:ascii="Verdana" w:hAnsi="Verdana"/>
          <w:sz w:val="20"/>
          <w:szCs w:val="20"/>
          <w:lang w:val="pt-BR"/>
        </w:rPr>
        <w:t xml:space="preserve">o </w:t>
      </w:r>
      <w:r w:rsidR="006770ED" w:rsidRPr="00C40BD9">
        <w:rPr>
          <w:rFonts w:ascii="Verdana" w:hAnsi="Verdana"/>
          <w:sz w:val="20"/>
          <w:szCs w:val="20"/>
          <w:lang w:val="pt-BR"/>
        </w:rPr>
        <w:t>deve</w:t>
      </w:r>
      <w:r w:rsidR="00DE316A">
        <w:rPr>
          <w:rFonts w:ascii="Verdana" w:hAnsi="Verdana"/>
          <w:sz w:val="20"/>
          <w:szCs w:val="20"/>
          <w:lang w:val="pt-BR"/>
        </w:rPr>
        <w:t xml:space="preserve"> </w:t>
      </w:r>
      <w:r w:rsidR="00E841FD" w:rsidRPr="00C40BD9">
        <w:rPr>
          <w:rFonts w:ascii="Verdana" w:hAnsi="Verdana"/>
          <w:sz w:val="20"/>
          <w:szCs w:val="20"/>
          <w:lang w:val="pt-BR"/>
        </w:rPr>
        <w:t>enfrent</w:t>
      </w:r>
      <w:r w:rsidR="007A0710" w:rsidRPr="00C40BD9">
        <w:rPr>
          <w:rFonts w:ascii="Verdana" w:hAnsi="Verdana"/>
          <w:sz w:val="20"/>
          <w:szCs w:val="20"/>
          <w:lang w:val="pt-BR"/>
        </w:rPr>
        <w:t>ar</w:t>
      </w:r>
      <w:r w:rsidR="00E841FD" w:rsidRPr="00C40BD9">
        <w:rPr>
          <w:rFonts w:ascii="Verdana" w:hAnsi="Verdana"/>
          <w:sz w:val="20"/>
          <w:szCs w:val="20"/>
          <w:lang w:val="pt-BR"/>
        </w:rPr>
        <w:t xml:space="preserve"> limita</w:t>
      </w:r>
      <w:r w:rsidR="00F633DD" w:rsidRPr="00C40BD9">
        <w:rPr>
          <w:rFonts w:ascii="Verdana" w:hAnsi="Verdana"/>
          <w:sz w:val="20"/>
          <w:szCs w:val="20"/>
          <w:lang w:val="pt-BR"/>
        </w:rPr>
        <w:t>ções</w:t>
      </w:r>
      <w:r w:rsidR="00E841FD" w:rsidRPr="00C40BD9">
        <w:rPr>
          <w:rFonts w:ascii="Verdana" w:hAnsi="Verdana"/>
          <w:sz w:val="20"/>
          <w:szCs w:val="20"/>
          <w:lang w:val="pt-BR"/>
        </w:rPr>
        <w:t xml:space="preserve"> </w:t>
      </w:r>
      <w:r w:rsidR="00FA3B08" w:rsidRPr="00C40BD9">
        <w:rPr>
          <w:rFonts w:ascii="Verdana" w:hAnsi="Verdana"/>
          <w:sz w:val="20"/>
          <w:szCs w:val="20"/>
          <w:lang w:val="pt-BR"/>
        </w:rPr>
        <w:t xml:space="preserve">decorrentes </w:t>
      </w:r>
      <w:r w:rsidR="00F633DD" w:rsidRPr="00C40BD9">
        <w:rPr>
          <w:rFonts w:ascii="Verdana" w:hAnsi="Verdana"/>
          <w:sz w:val="20"/>
          <w:szCs w:val="20"/>
          <w:lang w:val="pt-BR"/>
        </w:rPr>
        <w:t xml:space="preserve">da </w:t>
      </w:r>
      <w:r w:rsidR="00E841FD" w:rsidRPr="00C40BD9">
        <w:rPr>
          <w:rFonts w:ascii="Verdana" w:hAnsi="Verdana"/>
          <w:sz w:val="20"/>
          <w:szCs w:val="20"/>
          <w:lang w:val="pt-BR"/>
        </w:rPr>
        <w:t>prescri</w:t>
      </w:r>
      <w:r w:rsidR="00F633DD" w:rsidRPr="00C40BD9">
        <w:rPr>
          <w:rFonts w:ascii="Verdana" w:hAnsi="Verdana"/>
          <w:sz w:val="20"/>
          <w:szCs w:val="20"/>
          <w:lang w:val="pt-BR"/>
        </w:rPr>
        <w:t>ção</w:t>
      </w:r>
      <w:r w:rsidR="00E841FD" w:rsidRPr="00C40BD9">
        <w:rPr>
          <w:rFonts w:ascii="Verdana" w:hAnsi="Verdana"/>
          <w:sz w:val="20"/>
          <w:szCs w:val="20"/>
          <w:lang w:val="pt-BR"/>
        </w:rPr>
        <w:t xml:space="preserve"> </w:t>
      </w:r>
      <w:r w:rsidR="00FA3B08" w:rsidRPr="00C40BD9">
        <w:rPr>
          <w:rFonts w:ascii="Verdana" w:hAnsi="Verdana"/>
          <w:sz w:val="20"/>
          <w:szCs w:val="20"/>
          <w:lang w:val="pt-BR"/>
        </w:rPr>
        <w:t>o</w:t>
      </w:r>
      <w:r w:rsidR="00E841FD" w:rsidRPr="00C40BD9">
        <w:rPr>
          <w:rFonts w:ascii="Verdana" w:hAnsi="Verdana"/>
          <w:sz w:val="20"/>
          <w:szCs w:val="20"/>
          <w:lang w:val="pt-BR"/>
        </w:rPr>
        <w:t>u o</w:t>
      </w:r>
      <w:r w:rsidR="00FA3B08" w:rsidRPr="00C40BD9">
        <w:rPr>
          <w:rFonts w:ascii="Verdana" w:hAnsi="Verdana"/>
          <w:sz w:val="20"/>
          <w:szCs w:val="20"/>
          <w:lang w:val="pt-BR"/>
        </w:rPr>
        <w:t>u</w:t>
      </w:r>
      <w:r w:rsidR="00E841FD" w:rsidRPr="00C40BD9">
        <w:rPr>
          <w:rFonts w:ascii="Verdana" w:hAnsi="Verdana"/>
          <w:sz w:val="20"/>
          <w:szCs w:val="20"/>
          <w:lang w:val="pt-BR"/>
        </w:rPr>
        <w:t>tro tipo de obstáculo</w:t>
      </w:r>
      <w:r w:rsidR="00FA3B08" w:rsidRPr="00C40BD9">
        <w:rPr>
          <w:rFonts w:ascii="Verdana" w:hAnsi="Verdana"/>
          <w:sz w:val="20"/>
          <w:szCs w:val="20"/>
          <w:lang w:val="pt-BR"/>
        </w:rPr>
        <w:t>, como a anistia.</w:t>
      </w:r>
      <w:r w:rsidR="00E8168B" w:rsidRPr="00C40BD9">
        <w:rPr>
          <w:rStyle w:val="FootnoteReference"/>
          <w:sz w:val="20"/>
          <w:szCs w:val="20"/>
          <w:lang w:val="pt-BR"/>
        </w:rPr>
        <w:footnoteReference w:id="10"/>
      </w:r>
    </w:p>
    <w:p w:rsidR="00422634" w:rsidRPr="00C40BD9" w:rsidRDefault="00422634" w:rsidP="00422634">
      <w:pPr>
        <w:autoSpaceDE w:val="0"/>
        <w:autoSpaceDN w:val="0"/>
        <w:adjustRightInd w:val="0"/>
        <w:spacing w:after="0" w:line="240" w:lineRule="auto"/>
        <w:jc w:val="both"/>
        <w:rPr>
          <w:rFonts w:ascii="Verdana" w:hAnsi="Verdana" w:cs="Verdana"/>
          <w:sz w:val="20"/>
          <w:szCs w:val="20"/>
          <w:lang w:val="pt-BR"/>
        </w:rPr>
      </w:pPr>
    </w:p>
    <w:p w:rsidR="00BD1CBD" w:rsidRPr="00C40BD9" w:rsidRDefault="00C633C6" w:rsidP="00BD1CBD">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pt-BR"/>
        </w:rPr>
      </w:pPr>
      <w:r w:rsidRPr="00C40BD9">
        <w:rPr>
          <w:rFonts w:ascii="Verdana" w:hAnsi="Verdana"/>
          <w:sz w:val="20"/>
          <w:szCs w:val="20"/>
          <w:lang w:val="pt-BR"/>
        </w:rPr>
        <w:t xml:space="preserve">Como </w:t>
      </w:r>
      <w:r w:rsidR="00FA3B08" w:rsidRPr="00C40BD9">
        <w:rPr>
          <w:rFonts w:ascii="Verdana" w:hAnsi="Verdana"/>
          <w:sz w:val="20"/>
          <w:szCs w:val="20"/>
          <w:lang w:val="pt-BR"/>
        </w:rPr>
        <w:t>o</w:t>
      </w:r>
      <w:r w:rsidRPr="00C40BD9">
        <w:rPr>
          <w:rFonts w:ascii="Verdana" w:hAnsi="Verdana"/>
          <w:sz w:val="20"/>
          <w:szCs w:val="20"/>
          <w:lang w:val="pt-BR"/>
        </w:rPr>
        <w:t xml:space="preserve"> Tribunal afirm</w:t>
      </w:r>
      <w:r w:rsidR="00FA3B08" w:rsidRPr="00C40BD9">
        <w:rPr>
          <w:rFonts w:ascii="Verdana" w:hAnsi="Verdana"/>
          <w:sz w:val="20"/>
          <w:szCs w:val="20"/>
          <w:lang w:val="pt-BR"/>
        </w:rPr>
        <w:t xml:space="preserve">ou em </w:t>
      </w:r>
      <w:r w:rsidRPr="00C40BD9">
        <w:rPr>
          <w:rFonts w:ascii="Verdana" w:hAnsi="Verdana"/>
          <w:sz w:val="20"/>
          <w:szCs w:val="20"/>
          <w:lang w:val="pt-BR"/>
        </w:rPr>
        <w:t>repetidas ocasi</w:t>
      </w:r>
      <w:r w:rsidR="00FA3B08" w:rsidRPr="00C40BD9">
        <w:rPr>
          <w:rFonts w:ascii="Verdana" w:hAnsi="Verdana"/>
          <w:sz w:val="20"/>
          <w:szCs w:val="20"/>
          <w:lang w:val="pt-BR"/>
        </w:rPr>
        <w:t xml:space="preserve">ões, nenhuma lei ou </w:t>
      </w:r>
      <w:r w:rsidRPr="00C40BD9">
        <w:rPr>
          <w:rFonts w:ascii="Verdana" w:hAnsi="Verdana"/>
          <w:sz w:val="20"/>
          <w:szCs w:val="20"/>
          <w:lang w:val="pt-BR"/>
        </w:rPr>
        <w:t>disposi</w:t>
      </w:r>
      <w:r w:rsidR="00F633DD" w:rsidRPr="00C40BD9">
        <w:rPr>
          <w:rFonts w:ascii="Verdana" w:hAnsi="Verdana"/>
          <w:sz w:val="20"/>
          <w:szCs w:val="20"/>
          <w:lang w:val="pt-BR"/>
        </w:rPr>
        <w:t>ção</w:t>
      </w:r>
      <w:r w:rsidRPr="00C40BD9">
        <w:rPr>
          <w:rFonts w:ascii="Verdana" w:hAnsi="Verdana"/>
          <w:sz w:val="20"/>
          <w:szCs w:val="20"/>
          <w:lang w:val="pt-BR"/>
        </w:rPr>
        <w:t xml:space="preserve"> interna</w:t>
      </w:r>
      <w:r w:rsidR="00FA3B08" w:rsidRPr="00C40BD9">
        <w:rPr>
          <w:rFonts w:ascii="Verdana" w:hAnsi="Verdana"/>
          <w:sz w:val="20"/>
          <w:szCs w:val="20"/>
          <w:lang w:val="pt-BR"/>
        </w:rPr>
        <w:t>,</w:t>
      </w:r>
      <w:r w:rsidRPr="00C40BD9">
        <w:rPr>
          <w:rFonts w:ascii="Verdana" w:hAnsi="Verdana"/>
          <w:sz w:val="20"/>
          <w:szCs w:val="20"/>
          <w:lang w:val="pt-BR"/>
        </w:rPr>
        <w:t xml:space="preserve"> </w:t>
      </w:r>
      <w:r w:rsidR="00FA3B08" w:rsidRPr="00C40BD9">
        <w:rPr>
          <w:rFonts w:ascii="Verdana" w:hAnsi="Verdana"/>
          <w:sz w:val="20"/>
          <w:szCs w:val="20"/>
          <w:lang w:val="pt-BR"/>
        </w:rPr>
        <w:t xml:space="preserve">inclusive leis de anistia e prazos de prescrição, </w:t>
      </w:r>
      <w:r w:rsidR="006770ED" w:rsidRPr="00C40BD9">
        <w:rPr>
          <w:rFonts w:ascii="Verdana" w:hAnsi="Verdana"/>
          <w:sz w:val="20"/>
          <w:szCs w:val="20"/>
          <w:lang w:val="pt-BR"/>
        </w:rPr>
        <w:t>pode</w:t>
      </w:r>
      <w:r w:rsidR="00DE316A">
        <w:rPr>
          <w:rFonts w:ascii="Verdana" w:hAnsi="Verdana"/>
          <w:sz w:val="20"/>
          <w:szCs w:val="20"/>
          <w:lang w:val="pt-BR"/>
        </w:rPr>
        <w:t xml:space="preserve"> </w:t>
      </w:r>
      <w:r w:rsidR="00FA3B08" w:rsidRPr="00C40BD9">
        <w:rPr>
          <w:rFonts w:ascii="Verdana" w:hAnsi="Verdana"/>
          <w:sz w:val="20"/>
          <w:szCs w:val="20"/>
          <w:lang w:val="pt-BR"/>
        </w:rPr>
        <w:t xml:space="preserve">ser invocada </w:t>
      </w:r>
      <w:r w:rsidR="001364F4" w:rsidRPr="00C40BD9">
        <w:rPr>
          <w:rFonts w:ascii="Verdana" w:hAnsi="Verdana"/>
          <w:sz w:val="20"/>
          <w:szCs w:val="20"/>
          <w:lang w:val="pt-BR"/>
        </w:rPr>
        <w:t xml:space="preserve">para </w:t>
      </w:r>
      <w:r w:rsidR="00FA3B08" w:rsidRPr="00C40BD9">
        <w:rPr>
          <w:rFonts w:ascii="Verdana" w:hAnsi="Verdana"/>
          <w:sz w:val="20"/>
          <w:szCs w:val="20"/>
          <w:lang w:val="pt-BR"/>
        </w:rPr>
        <w:t xml:space="preserve">o descumprimento das </w:t>
      </w:r>
      <w:r w:rsidR="001364F4" w:rsidRPr="00C40BD9">
        <w:rPr>
          <w:rFonts w:ascii="Verdana" w:hAnsi="Verdana"/>
          <w:sz w:val="20"/>
          <w:szCs w:val="20"/>
          <w:lang w:val="pt-BR"/>
        </w:rPr>
        <w:t>ob</w:t>
      </w:r>
      <w:r w:rsidR="00FA3B08" w:rsidRPr="00C40BD9">
        <w:rPr>
          <w:rFonts w:ascii="Verdana" w:hAnsi="Verdana"/>
          <w:sz w:val="20"/>
          <w:szCs w:val="20"/>
          <w:lang w:val="pt-BR"/>
        </w:rPr>
        <w:t>r</w:t>
      </w:r>
      <w:r w:rsidR="001364F4" w:rsidRPr="00C40BD9">
        <w:rPr>
          <w:rFonts w:ascii="Verdana" w:hAnsi="Verdana"/>
          <w:sz w:val="20"/>
          <w:szCs w:val="20"/>
          <w:lang w:val="pt-BR"/>
        </w:rPr>
        <w:t>iga</w:t>
      </w:r>
      <w:r w:rsidR="00F633DD" w:rsidRPr="00C40BD9">
        <w:rPr>
          <w:rFonts w:ascii="Verdana" w:hAnsi="Verdana"/>
          <w:sz w:val="20"/>
          <w:szCs w:val="20"/>
          <w:lang w:val="pt-BR"/>
        </w:rPr>
        <w:t>ções</w:t>
      </w:r>
      <w:r w:rsidR="001364F4" w:rsidRPr="00C40BD9">
        <w:rPr>
          <w:rFonts w:ascii="Verdana" w:hAnsi="Verdana"/>
          <w:sz w:val="20"/>
          <w:szCs w:val="20"/>
          <w:lang w:val="pt-BR"/>
        </w:rPr>
        <w:t xml:space="preserve"> internacion</w:t>
      </w:r>
      <w:r w:rsidR="00C06A9B" w:rsidRPr="00C40BD9">
        <w:rPr>
          <w:rFonts w:ascii="Verdana" w:hAnsi="Verdana"/>
          <w:sz w:val="20"/>
          <w:szCs w:val="20"/>
          <w:lang w:val="pt-BR"/>
        </w:rPr>
        <w:t>ais</w:t>
      </w:r>
      <w:r w:rsidR="00DE316A">
        <w:rPr>
          <w:rFonts w:ascii="Verdana" w:hAnsi="Verdana"/>
          <w:sz w:val="20"/>
          <w:szCs w:val="20"/>
          <w:lang w:val="pt-BR"/>
        </w:rPr>
        <w:t xml:space="preserve"> </w:t>
      </w:r>
      <w:r w:rsidR="00C06A9B" w:rsidRPr="00C40BD9">
        <w:rPr>
          <w:rFonts w:ascii="Verdana" w:hAnsi="Verdana"/>
          <w:sz w:val="20"/>
          <w:szCs w:val="20"/>
          <w:lang w:val="pt-BR"/>
        </w:rPr>
        <w:t xml:space="preserve">dos </w:t>
      </w:r>
      <w:r w:rsidR="001364F4" w:rsidRPr="00C40BD9">
        <w:rPr>
          <w:rFonts w:ascii="Verdana" w:hAnsi="Verdana"/>
          <w:sz w:val="20"/>
          <w:szCs w:val="20"/>
          <w:lang w:val="pt-BR"/>
        </w:rPr>
        <w:t xml:space="preserve">Estados, </w:t>
      </w:r>
      <w:r w:rsidR="00FA3B08" w:rsidRPr="00C40BD9">
        <w:rPr>
          <w:rFonts w:ascii="Verdana" w:hAnsi="Verdana"/>
          <w:sz w:val="20"/>
          <w:szCs w:val="20"/>
          <w:lang w:val="pt-BR"/>
        </w:rPr>
        <w:t xml:space="preserve">até mesmo as decisões da própria </w:t>
      </w:r>
      <w:r w:rsidRPr="00C40BD9">
        <w:rPr>
          <w:rFonts w:ascii="Verdana" w:hAnsi="Verdana"/>
          <w:sz w:val="20"/>
          <w:szCs w:val="20"/>
          <w:lang w:val="pt-BR"/>
        </w:rPr>
        <w:t xml:space="preserve">Corte </w:t>
      </w:r>
      <w:r w:rsidR="00FA3B08" w:rsidRPr="00C40BD9">
        <w:rPr>
          <w:rFonts w:ascii="Verdana" w:hAnsi="Verdana"/>
          <w:sz w:val="20"/>
          <w:szCs w:val="20"/>
          <w:lang w:val="pt-BR"/>
        </w:rPr>
        <w:t xml:space="preserve">quanto à </w:t>
      </w:r>
      <w:r w:rsidRPr="00C40BD9">
        <w:rPr>
          <w:rFonts w:ascii="Verdana" w:hAnsi="Verdana"/>
          <w:sz w:val="20"/>
          <w:szCs w:val="20"/>
          <w:lang w:val="pt-BR"/>
        </w:rPr>
        <w:t>investiga</w:t>
      </w:r>
      <w:r w:rsidR="00F633DD" w:rsidRPr="00C40BD9">
        <w:rPr>
          <w:rFonts w:ascii="Verdana" w:hAnsi="Verdana"/>
          <w:sz w:val="20"/>
          <w:szCs w:val="20"/>
          <w:lang w:val="pt-BR"/>
        </w:rPr>
        <w:t>ção</w:t>
      </w:r>
      <w:r w:rsidRPr="00C40BD9">
        <w:rPr>
          <w:rFonts w:ascii="Verdana" w:hAnsi="Verdana"/>
          <w:sz w:val="20"/>
          <w:szCs w:val="20"/>
          <w:lang w:val="pt-BR"/>
        </w:rPr>
        <w:t xml:space="preserve"> </w:t>
      </w:r>
      <w:r w:rsidR="00F633DD" w:rsidRPr="00C40BD9">
        <w:rPr>
          <w:rFonts w:ascii="Verdana" w:hAnsi="Verdana"/>
          <w:sz w:val="20"/>
          <w:szCs w:val="20"/>
          <w:lang w:val="pt-BR"/>
        </w:rPr>
        <w:t>e</w:t>
      </w:r>
      <w:r w:rsidR="00DE316A">
        <w:rPr>
          <w:rFonts w:ascii="Verdana" w:hAnsi="Verdana"/>
          <w:sz w:val="20"/>
          <w:szCs w:val="20"/>
          <w:lang w:val="pt-BR"/>
        </w:rPr>
        <w:t xml:space="preserve"> </w:t>
      </w:r>
      <w:r w:rsidR="00FA3B08" w:rsidRPr="00C40BD9">
        <w:rPr>
          <w:rFonts w:ascii="Verdana" w:hAnsi="Verdana"/>
          <w:sz w:val="20"/>
          <w:szCs w:val="20"/>
          <w:lang w:val="pt-BR"/>
        </w:rPr>
        <w:t xml:space="preserve">punição dos responsáveis por </w:t>
      </w:r>
      <w:r w:rsidRPr="00C40BD9">
        <w:rPr>
          <w:rFonts w:ascii="Verdana" w:hAnsi="Verdana"/>
          <w:sz w:val="20"/>
          <w:szCs w:val="20"/>
          <w:lang w:val="pt-BR"/>
        </w:rPr>
        <w:t>viola</w:t>
      </w:r>
      <w:r w:rsidR="00F633DD" w:rsidRPr="00C40BD9">
        <w:rPr>
          <w:rFonts w:ascii="Verdana" w:hAnsi="Verdana"/>
          <w:sz w:val="20"/>
          <w:szCs w:val="20"/>
          <w:lang w:val="pt-BR"/>
        </w:rPr>
        <w:t>ções</w:t>
      </w:r>
      <w:r w:rsidRPr="00C40BD9">
        <w:rPr>
          <w:rFonts w:ascii="Verdana" w:hAnsi="Verdana"/>
          <w:sz w:val="20"/>
          <w:szCs w:val="20"/>
          <w:lang w:val="pt-BR"/>
        </w:rPr>
        <w:t xml:space="preserve"> de </w:t>
      </w:r>
      <w:r w:rsidR="000814BE" w:rsidRPr="00C40BD9">
        <w:rPr>
          <w:rFonts w:ascii="Verdana" w:hAnsi="Verdana"/>
          <w:sz w:val="20"/>
          <w:szCs w:val="20"/>
          <w:lang w:val="pt-BR"/>
        </w:rPr>
        <w:t>direitos</w:t>
      </w:r>
      <w:r w:rsidR="00DE316A">
        <w:rPr>
          <w:rFonts w:ascii="Verdana" w:hAnsi="Verdana"/>
          <w:sz w:val="20"/>
          <w:szCs w:val="20"/>
          <w:lang w:val="pt-BR"/>
        </w:rPr>
        <w:t xml:space="preserve"> </w:t>
      </w:r>
      <w:r w:rsidRPr="00C40BD9">
        <w:rPr>
          <w:rFonts w:ascii="Verdana" w:hAnsi="Verdana"/>
          <w:sz w:val="20"/>
          <w:szCs w:val="20"/>
          <w:lang w:val="pt-BR"/>
        </w:rPr>
        <w:t xml:space="preserve">humanos. </w:t>
      </w:r>
      <w:r w:rsidR="00FA3B08" w:rsidRPr="00C40BD9">
        <w:rPr>
          <w:rFonts w:ascii="Verdana" w:hAnsi="Verdana"/>
          <w:sz w:val="20"/>
          <w:szCs w:val="20"/>
          <w:lang w:val="pt-BR"/>
        </w:rPr>
        <w:t xml:space="preserve">Não fosse assim, os </w:t>
      </w:r>
      <w:r w:rsidR="000814BE" w:rsidRPr="00C40BD9">
        <w:rPr>
          <w:rFonts w:ascii="Verdana" w:hAnsi="Verdana"/>
          <w:sz w:val="20"/>
          <w:szCs w:val="20"/>
          <w:lang w:val="pt-BR"/>
        </w:rPr>
        <w:t>direitos</w:t>
      </w:r>
      <w:r w:rsidR="00DE316A">
        <w:rPr>
          <w:rFonts w:ascii="Verdana" w:hAnsi="Verdana"/>
          <w:sz w:val="20"/>
          <w:szCs w:val="20"/>
          <w:lang w:val="pt-BR"/>
        </w:rPr>
        <w:t xml:space="preserve"> </w:t>
      </w:r>
      <w:r w:rsidRPr="00C40BD9">
        <w:rPr>
          <w:rFonts w:ascii="Verdana" w:hAnsi="Verdana"/>
          <w:sz w:val="20"/>
          <w:szCs w:val="20"/>
          <w:lang w:val="pt-BR"/>
        </w:rPr>
        <w:t xml:space="preserve">consagrados </w:t>
      </w:r>
      <w:r w:rsidR="000814BE" w:rsidRPr="00C40BD9">
        <w:rPr>
          <w:rFonts w:ascii="Verdana" w:hAnsi="Verdana"/>
          <w:sz w:val="20"/>
          <w:szCs w:val="20"/>
          <w:lang w:val="pt-BR"/>
        </w:rPr>
        <w:t xml:space="preserve">na </w:t>
      </w:r>
      <w:r w:rsidRPr="00C40BD9">
        <w:rPr>
          <w:rFonts w:ascii="Verdana" w:hAnsi="Verdana"/>
          <w:sz w:val="20"/>
          <w:szCs w:val="20"/>
          <w:lang w:val="pt-BR"/>
        </w:rPr>
        <w:t>Conven</w:t>
      </w:r>
      <w:r w:rsidR="00F633DD" w:rsidRPr="00C40BD9">
        <w:rPr>
          <w:rFonts w:ascii="Verdana" w:hAnsi="Verdana"/>
          <w:sz w:val="20"/>
          <w:szCs w:val="20"/>
          <w:lang w:val="pt-BR"/>
        </w:rPr>
        <w:t>ção</w:t>
      </w:r>
      <w:r w:rsidRPr="00C40BD9">
        <w:rPr>
          <w:rFonts w:ascii="Verdana" w:hAnsi="Verdana"/>
          <w:sz w:val="20"/>
          <w:szCs w:val="20"/>
          <w:lang w:val="pt-BR"/>
        </w:rPr>
        <w:t xml:space="preserve"> Americana </w:t>
      </w:r>
      <w:r w:rsidR="00FA3B08" w:rsidRPr="00C40BD9">
        <w:rPr>
          <w:rFonts w:ascii="Verdana" w:hAnsi="Verdana"/>
          <w:sz w:val="20"/>
          <w:szCs w:val="20"/>
          <w:lang w:val="pt-BR"/>
        </w:rPr>
        <w:t xml:space="preserve">estariam </w:t>
      </w:r>
      <w:r w:rsidRPr="00C40BD9">
        <w:rPr>
          <w:rFonts w:ascii="Verdana" w:hAnsi="Verdana"/>
          <w:sz w:val="20"/>
          <w:szCs w:val="20"/>
          <w:lang w:val="pt-BR"/>
        </w:rPr>
        <w:t>desprovi</w:t>
      </w:r>
      <w:r w:rsidR="00FA3B08" w:rsidRPr="00C40BD9">
        <w:rPr>
          <w:rFonts w:ascii="Verdana" w:hAnsi="Verdana"/>
          <w:sz w:val="20"/>
          <w:szCs w:val="20"/>
          <w:lang w:val="pt-BR"/>
        </w:rPr>
        <w:t xml:space="preserve">dos </w:t>
      </w:r>
      <w:r w:rsidRPr="00C40BD9">
        <w:rPr>
          <w:rFonts w:ascii="Verdana" w:hAnsi="Verdana"/>
          <w:sz w:val="20"/>
          <w:szCs w:val="20"/>
          <w:lang w:val="pt-BR"/>
        </w:rPr>
        <w:t>de prote</w:t>
      </w:r>
      <w:r w:rsidR="00F633DD" w:rsidRPr="00C40BD9">
        <w:rPr>
          <w:rFonts w:ascii="Verdana" w:hAnsi="Verdana"/>
          <w:sz w:val="20"/>
          <w:szCs w:val="20"/>
          <w:lang w:val="pt-BR"/>
        </w:rPr>
        <w:t>ção</w:t>
      </w:r>
      <w:r w:rsidRPr="00C40BD9">
        <w:rPr>
          <w:rFonts w:ascii="Verdana" w:hAnsi="Verdana"/>
          <w:sz w:val="20"/>
          <w:szCs w:val="20"/>
          <w:lang w:val="pt-BR"/>
        </w:rPr>
        <w:t xml:space="preserve"> efetiva. Es</w:t>
      </w:r>
      <w:r w:rsidR="00FA3B08" w:rsidRPr="00C40BD9">
        <w:rPr>
          <w:rFonts w:ascii="Verdana" w:hAnsi="Verdana"/>
          <w:sz w:val="20"/>
          <w:szCs w:val="20"/>
          <w:lang w:val="pt-BR"/>
        </w:rPr>
        <w:t>s</w:t>
      </w:r>
      <w:r w:rsidRPr="00C40BD9">
        <w:rPr>
          <w:rFonts w:ascii="Verdana" w:hAnsi="Verdana"/>
          <w:sz w:val="20"/>
          <w:szCs w:val="20"/>
          <w:lang w:val="pt-BR"/>
        </w:rPr>
        <w:t xml:space="preserve">e entendimento </w:t>
      </w:r>
      <w:r w:rsidR="00F633DD" w:rsidRPr="00C40BD9">
        <w:rPr>
          <w:rFonts w:ascii="Verdana" w:hAnsi="Verdana"/>
          <w:sz w:val="20"/>
          <w:szCs w:val="20"/>
          <w:lang w:val="pt-BR"/>
        </w:rPr>
        <w:t xml:space="preserve">da </w:t>
      </w:r>
      <w:r w:rsidRPr="00C40BD9">
        <w:rPr>
          <w:rFonts w:ascii="Verdana" w:hAnsi="Verdana"/>
          <w:sz w:val="20"/>
          <w:szCs w:val="20"/>
          <w:lang w:val="pt-BR"/>
        </w:rPr>
        <w:t xml:space="preserve">Corte </w:t>
      </w:r>
      <w:r w:rsidR="001B15B1" w:rsidRPr="00C40BD9">
        <w:rPr>
          <w:rFonts w:ascii="Verdana" w:hAnsi="Verdana"/>
          <w:sz w:val="20"/>
          <w:szCs w:val="20"/>
          <w:lang w:val="pt-BR"/>
        </w:rPr>
        <w:t xml:space="preserve">obedece à </w:t>
      </w:r>
      <w:r w:rsidRPr="00C40BD9">
        <w:rPr>
          <w:rFonts w:ascii="Verdana" w:hAnsi="Verdana"/>
          <w:sz w:val="20"/>
          <w:szCs w:val="20"/>
          <w:lang w:val="pt-BR"/>
        </w:rPr>
        <w:t xml:space="preserve">letra </w:t>
      </w:r>
      <w:r w:rsidR="00F633DD" w:rsidRPr="00C40BD9">
        <w:rPr>
          <w:rFonts w:ascii="Verdana" w:hAnsi="Verdana"/>
          <w:sz w:val="20"/>
          <w:szCs w:val="20"/>
          <w:lang w:val="pt-BR"/>
        </w:rPr>
        <w:t>e</w:t>
      </w:r>
      <w:r w:rsidR="00DE316A">
        <w:rPr>
          <w:rFonts w:ascii="Verdana" w:hAnsi="Verdana"/>
          <w:sz w:val="20"/>
          <w:szCs w:val="20"/>
          <w:lang w:val="pt-BR"/>
        </w:rPr>
        <w:t xml:space="preserve"> </w:t>
      </w:r>
      <w:r w:rsidR="001B15B1" w:rsidRPr="00C40BD9">
        <w:rPr>
          <w:rFonts w:ascii="Verdana" w:hAnsi="Verdana"/>
          <w:sz w:val="20"/>
          <w:szCs w:val="20"/>
          <w:lang w:val="pt-BR"/>
        </w:rPr>
        <w:t xml:space="preserve">ao </w:t>
      </w:r>
      <w:r w:rsidRPr="00C40BD9">
        <w:rPr>
          <w:rFonts w:ascii="Verdana" w:hAnsi="Verdana"/>
          <w:sz w:val="20"/>
          <w:szCs w:val="20"/>
          <w:lang w:val="pt-BR"/>
        </w:rPr>
        <w:t>espírit</w:t>
      </w:r>
      <w:r w:rsidR="001B15B1" w:rsidRPr="00C40BD9">
        <w:rPr>
          <w:rFonts w:ascii="Verdana" w:hAnsi="Verdana"/>
          <w:sz w:val="20"/>
          <w:szCs w:val="20"/>
          <w:lang w:val="pt-BR"/>
        </w:rPr>
        <w:t>o</w:t>
      </w:r>
      <w:r w:rsidRPr="00C40BD9">
        <w:rPr>
          <w:rFonts w:ascii="Verdana" w:hAnsi="Verdana"/>
          <w:sz w:val="20"/>
          <w:szCs w:val="20"/>
          <w:lang w:val="pt-BR"/>
        </w:rPr>
        <w:t xml:space="preserve"> </w:t>
      </w:r>
      <w:r w:rsidR="00F633DD" w:rsidRPr="00C40BD9">
        <w:rPr>
          <w:rFonts w:ascii="Verdana" w:hAnsi="Verdana"/>
          <w:sz w:val="20"/>
          <w:szCs w:val="20"/>
          <w:lang w:val="pt-BR"/>
        </w:rPr>
        <w:t xml:space="preserve">da </w:t>
      </w:r>
      <w:r w:rsidRPr="00C40BD9">
        <w:rPr>
          <w:rFonts w:ascii="Verdana" w:hAnsi="Verdana"/>
          <w:sz w:val="20"/>
          <w:szCs w:val="20"/>
          <w:lang w:val="pt-BR"/>
        </w:rPr>
        <w:t>Conven</w:t>
      </w:r>
      <w:r w:rsidR="00F633DD" w:rsidRPr="00C40BD9">
        <w:rPr>
          <w:rFonts w:ascii="Verdana" w:hAnsi="Verdana"/>
          <w:sz w:val="20"/>
          <w:szCs w:val="20"/>
          <w:lang w:val="pt-BR"/>
        </w:rPr>
        <w:t>ção</w:t>
      </w:r>
      <w:r w:rsidRPr="00C40BD9">
        <w:rPr>
          <w:rFonts w:ascii="Verdana" w:hAnsi="Verdana"/>
          <w:sz w:val="20"/>
          <w:szCs w:val="20"/>
          <w:lang w:val="pt-BR"/>
        </w:rPr>
        <w:t xml:space="preserve"> </w:t>
      </w:r>
      <w:r w:rsidR="001B15B1" w:rsidRPr="00C40BD9">
        <w:rPr>
          <w:rFonts w:ascii="Verdana" w:hAnsi="Verdana"/>
          <w:sz w:val="20"/>
          <w:szCs w:val="20"/>
          <w:lang w:val="pt-BR"/>
        </w:rPr>
        <w:t>bem como aos princípios gerais do D</w:t>
      </w:r>
      <w:r w:rsidR="006770ED" w:rsidRPr="00C40BD9">
        <w:rPr>
          <w:rFonts w:ascii="Verdana" w:hAnsi="Verdana"/>
          <w:sz w:val="20"/>
          <w:szCs w:val="20"/>
          <w:lang w:val="pt-BR"/>
        </w:rPr>
        <w:t>ireito</w:t>
      </w:r>
      <w:r w:rsidR="00DE316A">
        <w:rPr>
          <w:rFonts w:ascii="Verdana" w:hAnsi="Verdana"/>
          <w:sz w:val="20"/>
          <w:szCs w:val="20"/>
          <w:lang w:val="pt-BR"/>
        </w:rPr>
        <w:t xml:space="preserve"> </w:t>
      </w:r>
      <w:r w:rsidR="001B15B1" w:rsidRPr="00C40BD9">
        <w:rPr>
          <w:rFonts w:ascii="Verdana" w:hAnsi="Verdana"/>
          <w:sz w:val="20"/>
          <w:szCs w:val="20"/>
          <w:lang w:val="pt-BR"/>
        </w:rPr>
        <w:t>I</w:t>
      </w:r>
      <w:r w:rsidRPr="00C40BD9">
        <w:rPr>
          <w:rFonts w:ascii="Verdana" w:hAnsi="Verdana"/>
          <w:sz w:val="20"/>
          <w:szCs w:val="20"/>
          <w:lang w:val="pt-BR"/>
        </w:rPr>
        <w:t>nternacional</w:t>
      </w:r>
      <w:r w:rsidR="001B15B1" w:rsidRPr="00C40BD9">
        <w:rPr>
          <w:rFonts w:ascii="Verdana" w:hAnsi="Verdana"/>
          <w:sz w:val="20"/>
          <w:szCs w:val="20"/>
          <w:lang w:val="pt-BR"/>
        </w:rPr>
        <w:t>.</w:t>
      </w:r>
      <w:r w:rsidR="00245984" w:rsidRPr="00C40BD9">
        <w:rPr>
          <w:rStyle w:val="FootnoteReference"/>
          <w:sz w:val="20"/>
          <w:szCs w:val="20"/>
          <w:lang w:val="pt-BR"/>
        </w:rPr>
        <w:footnoteReference w:id="11"/>
      </w:r>
      <w:r w:rsidRPr="00C40BD9">
        <w:rPr>
          <w:rFonts w:ascii="Times New Roman" w:eastAsia="Times New Roman" w:hAnsi="Times New Roman"/>
          <w:sz w:val="20"/>
          <w:szCs w:val="20"/>
          <w:lang w:val="pt-BR"/>
        </w:rPr>
        <w:t xml:space="preserve"> </w:t>
      </w:r>
    </w:p>
    <w:p w:rsidR="00422634" w:rsidRPr="00C40BD9" w:rsidRDefault="00422634" w:rsidP="00BD1CBD">
      <w:pPr>
        <w:autoSpaceDE w:val="0"/>
        <w:autoSpaceDN w:val="0"/>
        <w:adjustRightInd w:val="0"/>
        <w:spacing w:after="0" w:line="240" w:lineRule="auto"/>
        <w:jc w:val="both"/>
        <w:rPr>
          <w:rFonts w:ascii="Verdana" w:hAnsi="Verdana" w:cs="Verdana"/>
          <w:sz w:val="20"/>
          <w:szCs w:val="20"/>
          <w:lang w:val="pt-BR"/>
        </w:rPr>
      </w:pPr>
    </w:p>
    <w:p w:rsidR="005177B3" w:rsidRPr="00C40BD9" w:rsidRDefault="009E24B5" w:rsidP="00A82FB4">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pt-BR"/>
        </w:rPr>
      </w:pPr>
      <w:r w:rsidRPr="00C40BD9">
        <w:rPr>
          <w:rFonts w:ascii="Verdana" w:hAnsi="Verdana" w:cs="Verdana"/>
          <w:sz w:val="20"/>
          <w:szCs w:val="20"/>
          <w:lang w:val="pt-BR"/>
        </w:rPr>
        <w:t>E</w:t>
      </w:r>
      <w:r w:rsidR="001B15B1" w:rsidRPr="00C40BD9">
        <w:rPr>
          <w:rFonts w:ascii="Verdana" w:hAnsi="Verdana" w:cs="Verdana"/>
          <w:sz w:val="20"/>
          <w:szCs w:val="20"/>
          <w:lang w:val="pt-BR"/>
        </w:rPr>
        <w:t>m</w:t>
      </w:r>
      <w:r w:rsidRPr="00C40BD9">
        <w:rPr>
          <w:rFonts w:ascii="Verdana" w:hAnsi="Verdana" w:cs="Verdana"/>
          <w:sz w:val="20"/>
          <w:szCs w:val="20"/>
          <w:lang w:val="pt-BR"/>
        </w:rPr>
        <w:t xml:space="preserve"> suma</w:t>
      </w:r>
      <w:r w:rsidR="008F19C9" w:rsidRPr="00C40BD9">
        <w:rPr>
          <w:rFonts w:ascii="Verdana" w:hAnsi="Verdana" w:cs="Verdana"/>
          <w:sz w:val="20"/>
          <w:szCs w:val="20"/>
          <w:lang w:val="pt-BR"/>
        </w:rPr>
        <w:t xml:space="preserve">, </w:t>
      </w:r>
      <w:r w:rsidRPr="00C40BD9">
        <w:rPr>
          <w:rFonts w:ascii="Verdana" w:hAnsi="Verdana" w:cs="Verdana"/>
          <w:sz w:val="20"/>
          <w:szCs w:val="20"/>
          <w:lang w:val="pt-BR"/>
        </w:rPr>
        <w:t>a</w:t>
      </w:r>
      <w:r w:rsidR="001B15B1" w:rsidRPr="00C40BD9">
        <w:rPr>
          <w:rFonts w:ascii="Verdana" w:hAnsi="Verdana" w:cs="Verdana"/>
          <w:sz w:val="20"/>
          <w:szCs w:val="20"/>
          <w:lang w:val="pt-BR"/>
        </w:rPr>
        <w:t>o</w:t>
      </w:r>
      <w:r w:rsidRPr="00C40BD9">
        <w:rPr>
          <w:rFonts w:ascii="Verdana" w:hAnsi="Verdana" w:cs="Verdana"/>
          <w:sz w:val="20"/>
          <w:szCs w:val="20"/>
          <w:lang w:val="pt-BR"/>
        </w:rPr>
        <w:t xml:space="preserve"> interpretar </w:t>
      </w:r>
      <w:r w:rsidR="00A6445A" w:rsidRPr="00C40BD9">
        <w:rPr>
          <w:rFonts w:ascii="Verdana" w:hAnsi="Verdana" w:cs="Verdana"/>
          <w:sz w:val="20"/>
          <w:szCs w:val="20"/>
          <w:lang w:val="pt-BR"/>
        </w:rPr>
        <w:t xml:space="preserve">os </w:t>
      </w:r>
      <w:r w:rsidR="00635878" w:rsidRPr="00C40BD9">
        <w:rPr>
          <w:rFonts w:ascii="Verdana" w:hAnsi="Verdana" w:cs="Verdana"/>
          <w:sz w:val="20"/>
          <w:szCs w:val="20"/>
          <w:lang w:val="pt-BR"/>
        </w:rPr>
        <w:t xml:space="preserve">parágrafos </w:t>
      </w:r>
      <w:r w:rsidR="002F1998" w:rsidRPr="00C40BD9">
        <w:rPr>
          <w:rFonts w:ascii="Verdana" w:hAnsi="Verdana" w:cs="Verdana"/>
          <w:sz w:val="20"/>
          <w:szCs w:val="20"/>
          <w:lang w:val="pt-BR"/>
        </w:rPr>
        <w:t>250, 252, 255</w:t>
      </w:r>
      <w:r w:rsidR="00CD6AAF">
        <w:rPr>
          <w:rFonts w:ascii="Verdana" w:hAnsi="Verdana" w:cs="Verdana"/>
          <w:sz w:val="20"/>
          <w:szCs w:val="20"/>
          <w:lang w:val="pt-BR"/>
        </w:rPr>
        <w:t xml:space="preserve"> e</w:t>
      </w:r>
      <w:r w:rsidR="002F1998" w:rsidRPr="00C40BD9">
        <w:rPr>
          <w:rFonts w:ascii="Verdana" w:hAnsi="Verdana" w:cs="Verdana"/>
          <w:sz w:val="20"/>
          <w:szCs w:val="20"/>
          <w:lang w:val="pt-BR"/>
        </w:rPr>
        <w:t xml:space="preserve"> 291 a 293</w:t>
      </w:r>
      <w:r w:rsidR="00CD6AAF">
        <w:rPr>
          <w:rFonts w:ascii="Verdana" w:hAnsi="Verdana" w:cs="Verdana"/>
          <w:sz w:val="20"/>
          <w:szCs w:val="20"/>
          <w:lang w:val="pt-BR"/>
        </w:rPr>
        <w:t>, além d</w:t>
      </w:r>
      <w:r w:rsidR="001B15B1" w:rsidRPr="00C40BD9">
        <w:rPr>
          <w:rFonts w:ascii="Verdana" w:hAnsi="Verdana" w:cs="Verdana"/>
          <w:sz w:val="20"/>
          <w:szCs w:val="20"/>
          <w:lang w:val="pt-BR"/>
        </w:rPr>
        <w:t xml:space="preserve">o ponto </w:t>
      </w:r>
      <w:r w:rsidR="002F1998" w:rsidRPr="00C40BD9">
        <w:rPr>
          <w:rFonts w:ascii="Verdana" w:hAnsi="Verdana" w:cs="Verdana"/>
          <w:sz w:val="20"/>
          <w:szCs w:val="20"/>
          <w:lang w:val="pt-BR"/>
        </w:rPr>
        <w:t>resolutivo 10</w:t>
      </w:r>
      <w:r w:rsidR="00B672A6">
        <w:rPr>
          <w:rFonts w:ascii="Verdana" w:hAnsi="Verdana" w:cs="Verdana"/>
          <w:sz w:val="20"/>
          <w:szCs w:val="20"/>
          <w:lang w:val="pt-BR"/>
        </w:rPr>
        <w:t>,</w:t>
      </w:r>
      <w:r w:rsidRPr="00C40BD9">
        <w:rPr>
          <w:rFonts w:ascii="Verdana" w:hAnsi="Verdana" w:cs="Verdana"/>
          <w:sz w:val="20"/>
          <w:szCs w:val="20"/>
          <w:lang w:val="pt-BR"/>
        </w:rPr>
        <w:t xml:space="preserve"> </w:t>
      </w:r>
      <w:r w:rsidR="00F633DD" w:rsidRPr="00C40BD9">
        <w:rPr>
          <w:rFonts w:ascii="Verdana" w:hAnsi="Verdana" w:cs="Verdana"/>
          <w:sz w:val="20"/>
          <w:szCs w:val="20"/>
          <w:lang w:val="pt-BR"/>
        </w:rPr>
        <w:t>da Sentença</w:t>
      </w:r>
      <w:r w:rsidR="00FD0992" w:rsidRPr="00C40BD9">
        <w:rPr>
          <w:rFonts w:ascii="Verdana" w:hAnsi="Verdana" w:cs="Verdana"/>
          <w:sz w:val="20"/>
          <w:szCs w:val="20"/>
          <w:lang w:val="pt-BR"/>
        </w:rPr>
        <w:t>,</w:t>
      </w:r>
      <w:r w:rsidR="002F1998" w:rsidRPr="00C40BD9">
        <w:rPr>
          <w:rFonts w:ascii="Verdana" w:hAnsi="Verdana" w:cs="Verdana"/>
          <w:sz w:val="20"/>
          <w:szCs w:val="20"/>
          <w:lang w:val="pt-BR"/>
        </w:rPr>
        <w:t xml:space="preserve"> </w:t>
      </w:r>
      <w:r w:rsidRPr="00C40BD9">
        <w:rPr>
          <w:rFonts w:ascii="Verdana" w:hAnsi="Verdana" w:cs="Verdana"/>
          <w:sz w:val="20"/>
          <w:szCs w:val="20"/>
          <w:lang w:val="pt-BR"/>
        </w:rPr>
        <w:t>observa</w:t>
      </w:r>
      <w:r w:rsidR="001B15B1" w:rsidRPr="00C40BD9">
        <w:rPr>
          <w:rFonts w:ascii="Verdana" w:hAnsi="Verdana" w:cs="Verdana"/>
          <w:sz w:val="20"/>
          <w:szCs w:val="20"/>
          <w:lang w:val="pt-BR"/>
        </w:rPr>
        <w:t>-se</w:t>
      </w:r>
      <w:r w:rsidRPr="00C40BD9">
        <w:rPr>
          <w:rFonts w:ascii="Verdana" w:hAnsi="Verdana" w:cs="Verdana"/>
          <w:sz w:val="20"/>
          <w:szCs w:val="20"/>
          <w:lang w:val="pt-BR"/>
        </w:rPr>
        <w:t xml:space="preserve"> </w:t>
      </w:r>
      <w:r w:rsidR="005177B3" w:rsidRPr="00C40BD9">
        <w:rPr>
          <w:rFonts w:ascii="Verdana" w:hAnsi="Verdana" w:cs="Verdana"/>
          <w:sz w:val="20"/>
          <w:szCs w:val="20"/>
          <w:lang w:val="pt-BR"/>
        </w:rPr>
        <w:t xml:space="preserve">que: i) </w:t>
      </w:r>
      <w:r w:rsidR="001C0BCF" w:rsidRPr="00C40BD9">
        <w:rPr>
          <w:rFonts w:ascii="Verdana" w:hAnsi="Verdana" w:cs="Verdana"/>
          <w:sz w:val="20"/>
          <w:szCs w:val="20"/>
          <w:lang w:val="pt-BR"/>
        </w:rPr>
        <w:t>n</w:t>
      </w:r>
      <w:r w:rsidR="001B15B1" w:rsidRPr="00C40BD9">
        <w:rPr>
          <w:rFonts w:ascii="Verdana" w:hAnsi="Verdana" w:cs="Verdana"/>
          <w:sz w:val="20"/>
          <w:szCs w:val="20"/>
          <w:lang w:val="pt-BR"/>
        </w:rPr>
        <w:t xml:space="preserve">ão </w:t>
      </w:r>
      <w:r w:rsidR="00CD6AAF">
        <w:rPr>
          <w:rFonts w:ascii="Verdana" w:hAnsi="Verdana" w:cs="Verdana"/>
          <w:sz w:val="20"/>
          <w:szCs w:val="20"/>
          <w:lang w:val="pt-BR"/>
        </w:rPr>
        <w:t xml:space="preserve">são </w:t>
      </w:r>
      <w:r w:rsidR="001B15B1" w:rsidRPr="00C40BD9">
        <w:rPr>
          <w:rFonts w:ascii="Verdana" w:hAnsi="Verdana" w:cs="Verdana"/>
          <w:sz w:val="20"/>
          <w:szCs w:val="20"/>
          <w:lang w:val="pt-BR"/>
        </w:rPr>
        <w:t>admissíve</w:t>
      </w:r>
      <w:r w:rsidR="00CD6AAF">
        <w:rPr>
          <w:rFonts w:ascii="Verdana" w:hAnsi="Verdana" w:cs="Verdana"/>
          <w:sz w:val="20"/>
          <w:szCs w:val="20"/>
          <w:lang w:val="pt-BR"/>
        </w:rPr>
        <w:t>is</w:t>
      </w:r>
      <w:r w:rsidR="001B15B1" w:rsidRPr="00C40BD9">
        <w:rPr>
          <w:rFonts w:ascii="Verdana" w:hAnsi="Verdana" w:cs="Verdana"/>
          <w:sz w:val="20"/>
          <w:szCs w:val="20"/>
          <w:lang w:val="pt-BR"/>
        </w:rPr>
        <w:t xml:space="preserve"> </w:t>
      </w:r>
      <w:r w:rsidR="001C0BCF" w:rsidRPr="00C40BD9">
        <w:rPr>
          <w:rFonts w:ascii="Verdana" w:hAnsi="Verdana" w:cs="Verdana"/>
          <w:sz w:val="20"/>
          <w:szCs w:val="20"/>
          <w:lang w:val="pt-BR"/>
        </w:rPr>
        <w:t>obstáculo</w:t>
      </w:r>
      <w:r w:rsidR="00CD6AAF">
        <w:rPr>
          <w:rFonts w:ascii="Verdana" w:hAnsi="Verdana" w:cs="Verdana"/>
          <w:sz w:val="20"/>
          <w:szCs w:val="20"/>
          <w:lang w:val="pt-BR"/>
        </w:rPr>
        <w:t>s</w:t>
      </w:r>
      <w:r w:rsidR="001C0BCF" w:rsidRPr="00C40BD9">
        <w:rPr>
          <w:rFonts w:ascii="Verdana" w:hAnsi="Verdana" w:cs="Verdana"/>
          <w:sz w:val="20"/>
          <w:szCs w:val="20"/>
          <w:lang w:val="pt-BR"/>
        </w:rPr>
        <w:t xml:space="preserve"> </w:t>
      </w:r>
      <w:r w:rsidR="007558A5" w:rsidRPr="00C40BD9">
        <w:rPr>
          <w:rFonts w:ascii="Verdana" w:hAnsi="Verdana" w:cs="Verdana"/>
          <w:sz w:val="20"/>
          <w:szCs w:val="20"/>
          <w:lang w:val="pt-BR"/>
        </w:rPr>
        <w:t>processua</w:t>
      </w:r>
      <w:r w:rsidR="00CD6AAF">
        <w:rPr>
          <w:rFonts w:ascii="Verdana" w:hAnsi="Verdana" w:cs="Verdana"/>
          <w:sz w:val="20"/>
          <w:szCs w:val="20"/>
          <w:lang w:val="pt-BR"/>
        </w:rPr>
        <w:t>is</w:t>
      </w:r>
      <w:r w:rsidR="00DE316A">
        <w:rPr>
          <w:rFonts w:ascii="Verdana" w:hAnsi="Verdana" w:cs="Verdana"/>
          <w:sz w:val="20"/>
          <w:szCs w:val="20"/>
          <w:lang w:val="pt-BR"/>
        </w:rPr>
        <w:t xml:space="preserve"> </w:t>
      </w:r>
      <w:r w:rsidR="00CD6AAF">
        <w:rPr>
          <w:rFonts w:ascii="Verdana" w:hAnsi="Verdana" w:cs="Verdana"/>
          <w:sz w:val="20"/>
          <w:szCs w:val="20"/>
          <w:lang w:val="pt-BR"/>
        </w:rPr>
        <w:t>de nenhuma espécie</w:t>
      </w:r>
      <w:r w:rsidR="00B672A6">
        <w:rPr>
          <w:rFonts w:ascii="Verdana" w:hAnsi="Verdana" w:cs="Verdana"/>
          <w:sz w:val="20"/>
          <w:szCs w:val="20"/>
          <w:lang w:val="pt-BR"/>
        </w:rPr>
        <w:t>,</w:t>
      </w:r>
      <w:r w:rsidR="00CD6AAF">
        <w:rPr>
          <w:rFonts w:ascii="Verdana" w:hAnsi="Verdana" w:cs="Verdana"/>
          <w:sz w:val="20"/>
          <w:szCs w:val="20"/>
          <w:lang w:val="pt-BR"/>
        </w:rPr>
        <w:t xml:space="preserve"> </w:t>
      </w:r>
      <w:r w:rsidR="001C0BCF" w:rsidRPr="00C40BD9">
        <w:rPr>
          <w:rFonts w:ascii="Verdana" w:hAnsi="Verdana" w:cs="Verdana"/>
          <w:sz w:val="20"/>
          <w:szCs w:val="20"/>
          <w:lang w:val="pt-BR"/>
        </w:rPr>
        <w:t>que imp</w:t>
      </w:r>
      <w:r w:rsidR="001B15B1" w:rsidRPr="00C40BD9">
        <w:rPr>
          <w:rFonts w:ascii="Verdana" w:hAnsi="Verdana" w:cs="Verdana"/>
          <w:sz w:val="20"/>
          <w:szCs w:val="20"/>
          <w:lang w:val="pt-BR"/>
        </w:rPr>
        <w:t>eça</w:t>
      </w:r>
      <w:r w:rsidR="00CD6AAF">
        <w:rPr>
          <w:rFonts w:ascii="Verdana" w:hAnsi="Verdana" w:cs="Verdana"/>
          <w:sz w:val="20"/>
          <w:szCs w:val="20"/>
          <w:lang w:val="pt-BR"/>
        </w:rPr>
        <w:t>m</w:t>
      </w:r>
      <w:r w:rsidR="001B15B1" w:rsidRPr="00C40BD9">
        <w:rPr>
          <w:rFonts w:ascii="Verdana" w:hAnsi="Verdana" w:cs="Verdana"/>
          <w:sz w:val="20"/>
          <w:szCs w:val="20"/>
          <w:lang w:val="pt-BR"/>
        </w:rPr>
        <w:t xml:space="preserve"> a </w:t>
      </w:r>
      <w:r w:rsidR="001C0BCF" w:rsidRPr="00C40BD9">
        <w:rPr>
          <w:rFonts w:ascii="Verdana" w:hAnsi="Verdana" w:cs="Verdana"/>
          <w:sz w:val="20"/>
          <w:szCs w:val="20"/>
          <w:lang w:val="pt-BR"/>
        </w:rPr>
        <w:t>investiga</w:t>
      </w:r>
      <w:r w:rsidR="00F633DD" w:rsidRPr="00C40BD9">
        <w:rPr>
          <w:rFonts w:ascii="Verdana" w:hAnsi="Verdana" w:cs="Verdana"/>
          <w:sz w:val="20"/>
          <w:szCs w:val="20"/>
          <w:lang w:val="pt-BR"/>
        </w:rPr>
        <w:t>ção</w:t>
      </w:r>
      <w:r w:rsidR="001C0BCF" w:rsidRPr="00C40BD9">
        <w:rPr>
          <w:rFonts w:ascii="Verdana" w:hAnsi="Verdana" w:cs="Verdana"/>
          <w:sz w:val="20"/>
          <w:szCs w:val="20"/>
          <w:lang w:val="pt-BR"/>
        </w:rPr>
        <w:t xml:space="preserve"> de</w:t>
      </w:r>
      <w:r w:rsidR="005177B3" w:rsidRPr="00C40BD9">
        <w:rPr>
          <w:rFonts w:ascii="Verdana" w:hAnsi="Verdana" w:cs="Verdana"/>
          <w:sz w:val="20"/>
          <w:szCs w:val="20"/>
          <w:lang w:val="pt-BR"/>
        </w:rPr>
        <w:t xml:space="preserve"> graves viola</w:t>
      </w:r>
      <w:r w:rsidR="00F633DD" w:rsidRPr="00C40BD9">
        <w:rPr>
          <w:rFonts w:ascii="Verdana" w:hAnsi="Verdana" w:cs="Verdana"/>
          <w:sz w:val="20"/>
          <w:szCs w:val="20"/>
          <w:lang w:val="pt-BR"/>
        </w:rPr>
        <w:t>ções</w:t>
      </w:r>
      <w:r w:rsidR="005177B3" w:rsidRPr="00C40BD9">
        <w:rPr>
          <w:rFonts w:ascii="Verdana" w:hAnsi="Verdana" w:cs="Verdana"/>
          <w:sz w:val="20"/>
          <w:szCs w:val="20"/>
          <w:lang w:val="pt-BR"/>
        </w:rPr>
        <w:t xml:space="preserve"> de </w:t>
      </w:r>
      <w:r w:rsidR="000814BE" w:rsidRPr="00C40BD9">
        <w:rPr>
          <w:rFonts w:ascii="Verdana" w:hAnsi="Verdana" w:cs="Verdana"/>
          <w:sz w:val="20"/>
          <w:szCs w:val="20"/>
          <w:lang w:val="pt-BR"/>
        </w:rPr>
        <w:t>direitos</w:t>
      </w:r>
      <w:r w:rsidR="00DE316A">
        <w:rPr>
          <w:rFonts w:ascii="Verdana" w:hAnsi="Verdana" w:cs="Verdana"/>
          <w:sz w:val="20"/>
          <w:szCs w:val="20"/>
          <w:lang w:val="pt-BR"/>
        </w:rPr>
        <w:t xml:space="preserve"> </w:t>
      </w:r>
      <w:r w:rsidR="005177B3" w:rsidRPr="00C40BD9">
        <w:rPr>
          <w:rFonts w:ascii="Verdana" w:hAnsi="Verdana" w:cs="Verdana"/>
          <w:sz w:val="20"/>
          <w:szCs w:val="20"/>
          <w:lang w:val="pt-BR"/>
        </w:rPr>
        <w:t xml:space="preserve">humanos; ii) os </w:t>
      </w:r>
      <w:r w:rsidR="00DC5BE7" w:rsidRPr="00C40BD9">
        <w:rPr>
          <w:rFonts w:ascii="Verdana" w:hAnsi="Verdana" w:cs="Verdana"/>
          <w:sz w:val="20"/>
          <w:szCs w:val="20"/>
          <w:lang w:val="pt-BR"/>
        </w:rPr>
        <w:t>crimes</w:t>
      </w:r>
      <w:r w:rsidR="00DE316A">
        <w:rPr>
          <w:rFonts w:ascii="Verdana" w:hAnsi="Verdana" w:cs="Verdana"/>
          <w:sz w:val="20"/>
          <w:szCs w:val="20"/>
          <w:lang w:val="pt-BR"/>
        </w:rPr>
        <w:t xml:space="preserve"> </w:t>
      </w:r>
      <w:r w:rsidR="005177B3" w:rsidRPr="00C40BD9">
        <w:rPr>
          <w:rFonts w:ascii="Verdana" w:hAnsi="Verdana" w:cs="Verdana"/>
          <w:sz w:val="20"/>
          <w:szCs w:val="20"/>
          <w:lang w:val="pt-BR"/>
        </w:rPr>
        <w:t xml:space="preserve">de </w:t>
      </w:r>
      <w:r w:rsidR="00CD6AAF">
        <w:rPr>
          <w:rFonts w:ascii="Verdana" w:hAnsi="Verdana" w:cs="Verdana"/>
          <w:sz w:val="20"/>
          <w:szCs w:val="20"/>
          <w:lang w:val="pt-BR"/>
        </w:rPr>
        <w:t>estupro</w:t>
      </w:r>
      <w:r w:rsidR="005177B3" w:rsidRPr="00C40BD9">
        <w:rPr>
          <w:rFonts w:ascii="Verdana" w:hAnsi="Verdana" w:cs="Verdana"/>
          <w:sz w:val="20"/>
          <w:szCs w:val="20"/>
          <w:lang w:val="pt-BR"/>
        </w:rPr>
        <w:t xml:space="preserve"> p</w:t>
      </w:r>
      <w:r w:rsidR="001B15B1" w:rsidRPr="00C40BD9">
        <w:rPr>
          <w:rFonts w:ascii="Verdana" w:hAnsi="Verdana" w:cs="Verdana"/>
          <w:sz w:val="20"/>
          <w:szCs w:val="20"/>
          <w:lang w:val="pt-BR"/>
        </w:rPr>
        <w:t xml:space="preserve">odem </w:t>
      </w:r>
      <w:r w:rsidR="005177B3" w:rsidRPr="00C40BD9">
        <w:rPr>
          <w:rFonts w:ascii="Verdana" w:hAnsi="Verdana" w:cs="Verdana"/>
          <w:sz w:val="20"/>
          <w:szCs w:val="20"/>
          <w:lang w:val="pt-BR"/>
        </w:rPr>
        <w:t xml:space="preserve">ser considerados </w:t>
      </w:r>
      <w:r w:rsidR="006770ED" w:rsidRPr="00C40BD9">
        <w:rPr>
          <w:rFonts w:ascii="Verdana" w:hAnsi="Verdana" w:cs="Verdana"/>
          <w:sz w:val="20"/>
          <w:szCs w:val="20"/>
          <w:lang w:val="pt-BR"/>
        </w:rPr>
        <w:t>uma</w:t>
      </w:r>
      <w:r w:rsidR="00DE316A">
        <w:rPr>
          <w:rFonts w:ascii="Verdana" w:hAnsi="Verdana" w:cs="Verdana"/>
          <w:sz w:val="20"/>
          <w:szCs w:val="20"/>
          <w:lang w:val="pt-BR"/>
        </w:rPr>
        <w:t xml:space="preserve"> </w:t>
      </w:r>
      <w:r w:rsidR="005177B3" w:rsidRPr="00C40BD9">
        <w:rPr>
          <w:rFonts w:ascii="Verdana" w:hAnsi="Verdana" w:cs="Verdana"/>
          <w:sz w:val="20"/>
          <w:szCs w:val="20"/>
          <w:lang w:val="pt-BR"/>
        </w:rPr>
        <w:t xml:space="preserve">forma de tortura;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005177B3" w:rsidRPr="00C40BD9">
        <w:rPr>
          <w:rFonts w:ascii="Verdana" w:hAnsi="Verdana" w:cs="Verdana"/>
          <w:sz w:val="20"/>
          <w:szCs w:val="20"/>
          <w:lang w:val="pt-BR"/>
        </w:rPr>
        <w:t>i</w:t>
      </w:r>
      <w:r w:rsidR="0028496F" w:rsidRPr="00C40BD9">
        <w:rPr>
          <w:rFonts w:ascii="Verdana" w:hAnsi="Verdana" w:cs="Verdana"/>
          <w:sz w:val="20"/>
          <w:szCs w:val="20"/>
          <w:lang w:val="pt-BR"/>
        </w:rPr>
        <w:t>ii</w:t>
      </w:r>
      <w:r w:rsidR="005177B3" w:rsidRPr="00C40BD9">
        <w:rPr>
          <w:rFonts w:ascii="Verdana" w:hAnsi="Verdana" w:cs="Verdana"/>
          <w:sz w:val="20"/>
          <w:szCs w:val="20"/>
          <w:lang w:val="pt-BR"/>
        </w:rPr>
        <w:t xml:space="preserve">) os </w:t>
      </w:r>
      <w:r w:rsidR="001B15B1" w:rsidRPr="00C40BD9">
        <w:rPr>
          <w:rFonts w:ascii="Verdana" w:hAnsi="Verdana" w:cs="Verdana"/>
          <w:sz w:val="20"/>
          <w:szCs w:val="20"/>
          <w:lang w:val="pt-BR"/>
        </w:rPr>
        <w:t xml:space="preserve">atos </w:t>
      </w:r>
      <w:r w:rsidR="005177B3" w:rsidRPr="00C40BD9">
        <w:rPr>
          <w:rFonts w:ascii="Verdana" w:hAnsi="Verdana" w:cs="Verdana"/>
          <w:sz w:val="20"/>
          <w:szCs w:val="20"/>
          <w:lang w:val="pt-BR"/>
        </w:rPr>
        <w:t xml:space="preserve">de </w:t>
      </w:r>
      <w:r w:rsidR="00CD6AAF">
        <w:rPr>
          <w:rFonts w:ascii="Verdana" w:hAnsi="Verdana" w:cs="Verdana"/>
          <w:sz w:val="20"/>
          <w:szCs w:val="20"/>
          <w:lang w:val="pt-BR"/>
        </w:rPr>
        <w:t xml:space="preserve">estupro </w:t>
      </w:r>
      <w:r w:rsidR="001B15B1" w:rsidRPr="00C40BD9">
        <w:rPr>
          <w:rFonts w:ascii="Verdana" w:hAnsi="Verdana" w:cs="Verdana"/>
          <w:sz w:val="20"/>
          <w:szCs w:val="20"/>
          <w:lang w:val="pt-BR"/>
        </w:rPr>
        <w:t xml:space="preserve">no </w:t>
      </w:r>
      <w:r w:rsidR="00C0777A" w:rsidRPr="00C40BD9">
        <w:rPr>
          <w:rFonts w:ascii="Verdana" w:hAnsi="Verdana" w:cs="Verdana"/>
          <w:sz w:val="20"/>
          <w:szCs w:val="20"/>
          <w:lang w:val="pt-BR"/>
        </w:rPr>
        <w:t xml:space="preserve">presente caso </w:t>
      </w:r>
      <w:r w:rsidR="005177B3" w:rsidRPr="00C40BD9">
        <w:rPr>
          <w:rFonts w:ascii="Verdana" w:hAnsi="Verdana" w:cs="Verdana"/>
          <w:sz w:val="20"/>
          <w:szCs w:val="20"/>
          <w:lang w:val="pt-BR"/>
        </w:rPr>
        <w:t>f</w:t>
      </w:r>
      <w:r w:rsidR="001B15B1" w:rsidRPr="00C40BD9">
        <w:rPr>
          <w:rFonts w:ascii="Verdana" w:hAnsi="Verdana" w:cs="Verdana"/>
          <w:sz w:val="20"/>
          <w:szCs w:val="20"/>
          <w:lang w:val="pt-BR"/>
        </w:rPr>
        <w:t xml:space="preserve">oram </w:t>
      </w:r>
      <w:r w:rsidR="005177B3" w:rsidRPr="00C40BD9">
        <w:rPr>
          <w:rFonts w:ascii="Verdana" w:hAnsi="Verdana" w:cs="Verdana"/>
          <w:sz w:val="20"/>
          <w:szCs w:val="20"/>
          <w:lang w:val="pt-BR"/>
        </w:rPr>
        <w:t xml:space="preserve">cometidos por agentes </w:t>
      </w:r>
      <w:r w:rsidR="00970B13" w:rsidRPr="00C40BD9">
        <w:rPr>
          <w:rFonts w:ascii="Verdana" w:hAnsi="Verdana" w:cs="Verdana"/>
          <w:sz w:val="20"/>
          <w:szCs w:val="20"/>
          <w:lang w:val="pt-BR"/>
        </w:rPr>
        <w:t xml:space="preserve">do Estado </w:t>
      </w:r>
      <w:r w:rsidR="001B15B1" w:rsidRPr="00C40BD9">
        <w:rPr>
          <w:rFonts w:ascii="Verdana" w:hAnsi="Verdana" w:cs="Verdana"/>
          <w:sz w:val="20"/>
          <w:szCs w:val="20"/>
          <w:lang w:val="pt-BR"/>
        </w:rPr>
        <w:t xml:space="preserve">contra pessoas que estavam sob sua custódia e num </w:t>
      </w:r>
      <w:r w:rsidR="001C0BCF" w:rsidRPr="00C40BD9">
        <w:rPr>
          <w:rFonts w:ascii="Verdana" w:hAnsi="Verdana" w:cs="Verdana"/>
          <w:sz w:val="20"/>
          <w:szCs w:val="20"/>
          <w:lang w:val="pt-BR"/>
        </w:rPr>
        <w:t>contexto</w:t>
      </w:r>
      <w:r w:rsidR="00944587" w:rsidRPr="00C40BD9">
        <w:rPr>
          <w:rFonts w:ascii="Verdana" w:hAnsi="Verdana" w:cs="Verdana"/>
          <w:sz w:val="20"/>
          <w:szCs w:val="20"/>
          <w:lang w:val="pt-BR"/>
        </w:rPr>
        <w:t xml:space="preserve"> de </w:t>
      </w:r>
      <w:r w:rsidR="00C06A9B" w:rsidRPr="00C40BD9">
        <w:rPr>
          <w:rFonts w:ascii="Verdana" w:hAnsi="Verdana" w:cs="Verdana"/>
          <w:sz w:val="20"/>
          <w:szCs w:val="20"/>
          <w:lang w:val="pt-BR"/>
        </w:rPr>
        <w:t>execuções</w:t>
      </w:r>
      <w:r w:rsidR="00DE316A">
        <w:rPr>
          <w:rFonts w:ascii="Verdana" w:hAnsi="Verdana" w:cs="Verdana"/>
          <w:sz w:val="20"/>
          <w:szCs w:val="20"/>
          <w:lang w:val="pt-BR"/>
        </w:rPr>
        <w:t xml:space="preserve"> </w:t>
      </w:r>
      <w:r w:rsidR="00944587" w:rsidRPr="00C40BD9">
        <w:rPr>
          <w:rFonts w:ascii="Verdana" w:hAnsi="Verdana" w:cs="Verdana"/>
          <w:sz w:val="20"/>
          <w:szCs w:val="20"/>
          <w:lang w:val="pt-BR"/>
        </w:rPr>
        <w:t>extrajudici</w:t>
      </w:r>
      <w:r w:rsidR="00C06A9B" w:rsidRPr="00C40BD9">
        <w:rPr>
          <w:rFonts w:ascii="Verdana" w:hAnsi="Verdana" w:cs="Verdana"/>
          <w:sz w:val="20"/>
          <w:szCs w:val="20"/>
          <w:lang w:val="pt-BR"/>
        </w:rPr>
        <w:t>ais</w:t>
      </w:r>
      <w:r w:rsidR="00DE316A">
        <w:rPr>
          <w:rFonts w:ascii="Verdana" w:hAnsi="Verdana" w:cs="Verdana"/>
          <w:sz w:val="20"/>
          <w:szCs w:val="20"/>
          <w:lang w:val="pt-BR"/>
        </w:rPr>
        <w:t xml:space="preserve">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00944587" w:rsidRPr="00C40BD9">
        <w:rPr>
          <w:rFonts w:ascii="Verdana" w:hAnsi="Verdana" w:cs="Verdana"/>
          <w:sz w:val="20"/>
          <w:szCs w:val="20"/>
          <w:lang w:val="pt-BR"/>
        </w:rPr>
        <w:t>torturas</w:t>
      </w:r>
      <w:r w:rsidR="00C0777A" w:rsidRPr="00C40BD9">
        <w:rPr>
          <w:rFonts w:ascii="Verdana" w:hAnsi="Verdana" w:cs="Verdana"/>
          <w:sz w:val="20"/>
          <w:szCs w:val="20"/>
          <w:lang w:val="pt-BR"/>
        </w:rPr>
        <w:t xml:space="preserve">, o que </w:t>
      </w:r>
      <w:r w:rsidR="00944587" w:rsidRPr="00C40BD9">
        <w:rPr>
          <w:rFonts w:ascii="Verdana" w:hAnsi="Verdana" w:cs="Verdana"/>
          <w:sz w:val="20"/>
          <w:szCs w:val="20"/>
          <w:lang w:val="pt-BR"/>
        </w:rPr>
        <w:t>f</w:t>
      </w:r>
      <w:r w:rsidR="001B15B1" w:rsidRPr="00C40BD9">
        <w:rPr>
          <w:rFonts w:ascii="Verdana" w:hAnsi="Verdana" w:cs="Verdana"/>
          <w:sz w:val="20"/>
          <w:szCs w:val="20"/>
          <w:lang w:val="pt-BR"/>
        </w:rPr>
        <w:t xml:space="preserve">oi </w:t>
      </w:r>
      <w:r w:rsidR="00C0777A" w:rsidRPr="00C40BD9">
        <w:rPr>
          <w:rFonts w:ascii="Verdana" w:hAnsi="Verdana" w:cs="Verdana"/>
          <w:sz w:val="20"/>
          <w:szCs w:val="20"/>
          <w:lang w:val="pt-BR"/>
        </w:rPr>
        <w:t>considerado de extrema grav</w:t>
      </w:r>
      <w:r w:rsidR="001B15B1" w:rsidRPr="00C40BD9">
        <w:rPr>
          <w:rFonts w:ascii="Verdana" w:hAnsi="Verdana" w:cs="Verdana"/>
          <w:sz w:val="20"/>
          <w:szCs w:val="20"/>
          <w:lang w:val="pt-BR"/>
        </w:rPr>
        <w:t xml:space="preserve">idade por </w:t>
      </w:r>
      <w:r w:rsidR="00C0777A" w:rsidRPr="00C40BD9">
        <w:rPr>
          <w:rFonts w:ascii="Verdana" w:hAnsi="Verdana" w:cs="Verdana"/>
          <w:sz w:val="20"/>
          <w:szCs w:val="20"/>
          <w:lang w:val="pt-BR"/>
        </w:rPr>
        <w:t>este Tribunal</w:t>
      </w:r>
      <w:r w:rsidR="00944587" w:rsidRPr="00C40BD9">
        <w:rPr>
          <w:rFonts w:ascii="Verdana" w:hAnsi="Verdana" w:cs="Verdana"/>
          <w:sz w:val="20"/>
          <w:szCs w:val="20"/>
          <w:lang w:val="pt-BR"/>
        </w:rPr>
        <w:t>. As</w:t>
      </w:r>
      <w:r w:rsidR="001B15B1" w:rsidRPr="00C40BD9">
        <w:rPr>
          <w:rFonts w:ascii="Verdana" w:hAnsi="Verdana" w:cs="Verdana"/>
          <w:sz w:val="20"/>
          <w:szCs w:val="20"/>
          <w:lang w:val="pt-BR"/>
        </w:rPr>
        <w:t>sim</w:t>
      </w:r>
      <w:r w:rsidR="00944587" w:rsidRPr="00C40BD9">
        <w:rPr>
          <w:rFonts w:ascii="Verdana" w:hAnsi="Verdana" w:cs="Verdana"/>
          <w:sz w:val="20"/>
          <w:szCs w:val="20"/>
          <w:lang w:val="pt-BR"/>
        </w:rPr>
        <w:t>,</w:t>
      </w:r>
      <w:r w:rsidR="0079694E" w:rsidRPr="00C40BD9">
        <w:rPr>
          <w:rFonts w:ascii="Verdana" w:hAnsi="Verdana" w:cs="Verdana"/>
          <w:sz w:val="20"/>
          <w:szCs w:val="20"/>
          <w:lang w:val="pt-BR"/>
        </w:rPr>
        <w:t xml:space="preserve"> esta Corte </w:t>
      </w:r>
      <w:r w:rsidR="001B15B1" w:rsidRPr="00C40BD9">
        <w:rPr>
          <w:rFonts w:ascii="Verdana" w:hAnsi="Verdana" w:cs="Verdana"/>
          <w:sz w:val="20"/>
          <w:szCs w:val="20"/>
          <w:lang w:val="pt-BR"/>
        </w:rPr>
        <w:t xml:space="preserve">esclarece o </w:t>
      </w:r>
      <w:r w:rsidR="001B5A90" w:rsidRPr="00C40BD9">
        <w:rPr>
          <w:rFonts w:ascii="Verdana" w:hAnsi="Verdana" w:cs="Verdana"/>
          <w:sz w:val="20"/>
          <w:szCs w:val="20"/>
          <w:lang w:val="pt-BR"/>
        </w:rPr>
        <w:t xml:space="preserve">motivo </w:t>
      </w:r>
      <w:r w:rsidR="00036A1B" w:rsidRPr="00C40BD9">
        <w:rPr>
          <w:rFonts w:ascii="Verdana" w:hAnsi="Verdana" w:cs="Verdana"/>
          <w:sz w:val="20"/>
          <w:szCs w:val="20"/>
          <w:lang w:val="pt-BR"/>
        </w:rPr>
        <w:t xml:space="preserve">pelo </w:t>
      </w:r>
      <w:r w:rsidR="001B15B1" w:rsidRPr="00C40BD9">
        <w:rPr>
          <w:rFonts w:ascii="Verdana" w:hAnsi="Verdana" w:cs="Verdana"/>
          <w:sz w:val="20"/>
          <w:szCs w:val="20"/>
          <w:lang w:val="pt-BR"/>
        </w:rPr>
        <w:t>q</w:t>
      </w:r>
      <w:r w:rsidR="001B5A90" w:rsidRPr="00C40BD9">
        <w:rPr>
          <w:rFonts w:ascii="Verdana" w:hAnsi="Verdana" w:cs="Verdana"/>
          <w:sz w:val="20"/>
          <w:szCs w:val="20"/>
          <w:lang w:val="pt-BR"/>
        </w:rPr>
        <w:t>ual decidi</w:t>
      </w:r>
      <w:r w:rsidR="001B15B1" w:rsidRPr="00C40BD9">
        <w:rPr>
          <w:rFonts w:ascii="Verdana" w:hAnsi="Verdana" w:cs="Verdana"/>
          <w:sz w:val="20"/>
          <w:szCs w:val="20"/>
          <w:lang w:val="pt-BR"/>
        </w:rPr>
        <w:t xml:space="preserve">u </w:t>
      </w:r>
      <w:r w:rsidR="001B15B1" w:rsidRPr="00C40BD9">
        <w:rPr>
          <w:rFonts w:ascii="Verdana" w:hAnsi="Verdana" w:cs="Verdana"/>
          <w:sz w:val="20"/>
          <w:szCs w:val="20"/>
          <w:lang w:val="pt-BR"/>
        </w:rPr>
        <w:lastRenderedPageBreak/>
        <w:t xml:space="preserve">pela </w:t>
      </w:r>
      <w:r w:rsidR="0079694E" w:rsidRPr="00C40BD9">
        <w:rPr>
          <w:rFonts w:ascii="Verdana" w:hAnsi="Verdana" w:cs="Verdana"/>
          <w:sz w:val="20"/>
          <w:szCs w:val="20"/>
          <w:lang w:val="pt-BR"/>
        </w:rPr>
        <w:t>impo</w:t>
      </w:r>
      <w:r w:rsidR="001B15B1" w:rsidRPr="00C40BD9">
        <w:rPr>
          <w:rFonts w:ascii="Verdana" w:hAnsi="Verdana" w:cs="Verdana"/>
          <w:sz w:val="20"/>
          <w:szCs w:val="20"/>
          <w:lang w:val="pt-BR"/>
        </w:rPr>
        <w:t>s</w:t>
      </w:r>
      <w:r w:rsidR="0079694E" w:rsidRPr="00C40BD9">
        <w:rPr>
          <w:rFonts w:ascii="Verdana" w:hAnsi="Verdana" w:cs="Verdana"/>
          <w:sz w:val="20"/>
          <w:szCs w:val="20"/>
          <w:lang w:val="pt-BR"/>
        </w:rPr>
        <w:t>sibilidad</w:t>
      </w:r>
      <w:r w:rsidR="001B15B1" w:rsidRPr="00C40BD9">
        <w:rPr>
          <w:rFonts w:ascii="Verdana" w:hAnsi="Verdana" w:cs="Verdana"/>
          <w:sz w:val="20"/>
          <w:szCs w:val="20"/>
          <w:lang w:val="pt-BR"/>
        </w:rPr>
        <w:t>e</w:t>
      </w:r>
      <w:r w:rsidR="0079694E" w:rsidRPr="00C40BD9">
        <w:rPr>
          <w:rFonts w:ascii="Verdana" w:hAnsi="Verdana" w:cs="Verdana"/>
          <w:sz w:val="20"/>
          <w:szCs w:val="20"/>
          <w:lang w:val="pt-BR"/>
        </w:rPr>
        <w:t xml:space="preserve"> de aplica</w:t>
      </w:r>
      <w:r w:rsidR="00F633DD" w:rsidRPr="00C40BD9">
        <w:rPr>
          <w:rFonts w:ascii="Verdana" w:hAnsi="Verdana" w:cs="Verdana"/>
          <w:sz w:val="20"/>
          <w:szCs w:val="20"/>
          <w:lang w:val="pt-BR"/>
        </w:rPr>
        <w:t>ção</w:t>
      </w:r>
      <w:r w:rsidR="0079694E" w:rsidRPr="00C40BD9">
        <w:rPr>
          <w:rFonts w:ascii="Verdana" w:hAnsi="Verdana" w:cs="Verdana"/>
          <w:sz w:val="20"/>
          <w:szCs w:val="20"/>
          <w:lang w:val="pt-BR"/>
        </w:rPr>
        <w:t xml:space="preserve"> </w:t>
      </w:r>
      <w:r w:rsidR="00C06A9B" w:rsidRPr="00C40BD9">
        <w:rPr>
          <w:rFonts w:ascii="Verdana" w:hAnsi="Verdana" w:cs="Verdana"/>
          <w:sz w:val="20"/>
          <w:szCs w:val="20"/>
          <w:lang w:val="pt-BR"/>
        </w:rPr>
        <w:t xml:space="preserve">dos </w:t>
      </w:r>
      <w:r w:rsidR="0079694E" w:rsidRPr="00C40BD9">
        <w:rPr>
          <w:rFonts w:ascii="Verdana" w:hAnsi="Verdana" w:cs="Verdana"/>
          <w:sz w:val="20"/>
          <w:szCs w:val="20"/>
          <w:lang w:val="pt-BR"/>
        </w:rPr>
        <w:t xml:space="preserve">“obstáculos </w:t>
      </w:r>
      <w:r w:rsidR="007558A5" w:rsidRPr="00C40BD9">
        <w:rPr>
          <w:rFonts w:ascii="Verdana" w:hAnsi="Verdana" w:cs="Verdana"/>
          <w:sz w:val="20"/>
          <w:szCs w:val="20"/>
          <w:lang w:val="pt-BR"/>
        </w:rPr>
        <w:t>processuais</w:t>
      </w:r>
      <w:r w:rsidR="0079694E" w:rsidRPr="00C40BD9">
        <w:rPr>
          <w:rFonts w:ascii="Verdana" w:hAnsi="Verdana" w:cs="Verdana"/>
          <w:sz w:val="20"/>
          <w:szCs w:val="20"/>
          <w:lang w:val="pt-BR"/>
        </w:rPr>
        <w:t xml:space="preserve">” aos </w:t>
      </w:r>
      <w:r w:rsidR="00C06A9B" w:rsidRPr="00C40BD9">
        <w:rPr>
          <w:rFonts w:ascii="Verdana" w:hAnsi="Verdana" w:cs="Verdana"/>
          <w:sz w:val="20"/>
          <w:szCs w:val="20"/>
          <w:lang w:val="pt-BR"/>
        </w:rPr>
        <w:t>atos</w:t>
      </w:r>
      <w:r w:rsidR="00DE316A">
        <w:rPr>
          <w:rFonts w:ascii="Verdana" w:hAnsi="Verdana" w:cs="Verdana"/>
          <w:sz w:val="20"/>
          <w:szCs w:val="20"/>
          <w:lang w:val="pt-BR"/>
        </w:rPr>
        <w:t xml:space="preserve"> </w:t>
      </w:r>
      <w:r w:rsidR="0079694E" w:rsidRPr="00C40BD9">
        <w:rPr>
          <w:rFonts w:ascii="Verdana" w:hAnsi="Verdana" w:cs="Verdana"/>
          <w:sz w:val="20"/>
          <w:szCs w:val="20"/>
          <w:lang w:val="pt-BR"/>
        </w:rPr>
        <w:t xml:space="preserve">de </w:t>
      </w:r>
      <w:r w:rsidR="00C06A9B" w:rsidRPr="00C40BD9">
        <w:rPr>
          <w:rFonts w:ascii="Verdana" w:hAnsi="Verdana" w:cs="Verdana"/>
          <w:sz w:val="20"/>
          <w:szCs w:val="20"/>
          <w:lang w:val="pt-BR"/>
        </w:rPr>
        <w:t>violência</w:t>
      </w:r>
      <w:r w:rsidR="00DE316A">
        <w:rPr>
          <w:rFonts w:ascii="Verdana" w:hAnsi="Verdana" w:cs="Verdana"/>
          <w:sz w:val="20"/>
          <w:szCs w:val="20"/>
          <w:lang w:val="pt-BR"/>
        </w:rPr>
        <w:t xml:space="preserve">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0079694E" w:rsidRPr="00C40BD9">
        <w:rPr>
          <w:rFonts w:ascii="Verdana" w:hAnsi="Verdana" w:cs="Verdana"/>
          <w:sz w:val="20"/>
          <w:szCs w:val="20"/>
          <w:lang w:val="pt-BR"/>
        </w:rPr>
        <w:t>e</w:t>
      </w:r>
      <w:r w:rsidR="001B15B1" w:rsidRPr="00C40BD9">
        <w:rPr>
          <w:rFonts w:ascii="Verdana" w:hAnsi="Verdana" w:cs="Verdana"/>
          <w:sz w:val="20"/>
          <w:szCs w:val="20"/>
          <w:lang w:val="pt-BR"/>
        </w:rPr>
        <w:t>x</w:t>
      </w:r>
      <w:r w:rsidR="0079694E" w:rsidRPr="00C40BD9">
        <w:rPr>
          <w:rFonts w:ascii="Verdana" w:hAnsi="Verdana" w:cs="Verdana"/>
          <w:sz w:val="20"/>
          <w:szCs w:val="20"/>
          <w:lang w:val="pt-BR"/>
        </w:rPr>
        <w:t>ecu</w:t>
      </w:r>
      <w:r w:rsidR="00F633DD" w:rsidRPr="00C40BD9">
        <w:rPr>
          <w:rFonts w:ascii="Verdana" w:hAnsi="Verdana" w:cs="Verdana"/>
          <w:sz w:val="20"/>
          <w:szCs w:val="20"/>
          <w:lang w:val="pt-BR"/>
        </w:rPr>
        <w:t>ção</w:t>
      </w:r>
      <w:r w:rsidR="0079694E" w:rsidRPr="00C40BD9">
        <w:rPr>
          <w:rFonts w:ascii="Verdana" w:hAnsi="Verdana" w:cs="Verdana"/>
          <w:sz w:val="20"/>
          <w:szCs w:val="20"/>
          <w:lang w:val="pt-BR"/>
        </w:rPr>
        <w:t xml:space="preserve"> extrajudicial</w:t>
      </w:r>
      <w:r w:rsidR="001B15B1" w:rsidRPr="00C40BD9">
        <w:rPr>
          <w:rFonts w:ascii="Verdana" w:hAnsi="Verdana" w:cs="Verdana"/>
          <w:sz w:val="20"/>
          <w:szCs w:val="20"/>
          <w:lang w:val="pt-BR"/>
        </w:rPr>
        <w:t xml:space="preserve">, e que </w:t>
      </w:r>
      <w:r w:rsidR="0079694E" w:rsidRPr="00C40BD9">
        <w:rPr>
          <w:rFonts w:ascii="Verdana" w:hAnsi="Verdana" w:cs="Verdana"/>
          <w:sz w:val="20"/>
          <w:szCs w:val="20"/>
          <w:lang w:val="pt-BR"/>
        </w:rPr>
        <w:t xml:space="preserve">tal </w:t>
      </w:r>
      <w:r w:rsidR="00C04922" w:rsidRPr="00C40BD9">
        <w:rPr>
          <w:rFonts w:ascii="Verdana" w:hAnsi="Verdana" w:cs="Verdana"/>
          <w:sz w:val="20"/>
          <w:szCs w:val="20"/>
          <w:lang w:val="pt-BR"/>
        </w:rPr>
        <w:t>decisão</w:t>
      </w:r>
      <w:r w:rsidR="00DE316A">
        <w:rPr>
          <w:rFonts w:ascii="Verdana" w:hAnsi="Verdana" w:cs="Verdana"/>
          <w:sz w:val="20"/>
          <w:szCs w:val="20"/>
          <w:lang w:val="pt-BR"/>
        </w:rPr>
        <w:t xml:space="preserve"> </w:t>
      </w:r>
      <w:r w:rsidR="0079694E" w:rsidRPr="00C40BD9">
        <w:rPr>
          <w:rFonts w:ascii="Verdana" w:hAnsi="Verdana" w:cs="Verdana"/>
          <w:sz w:val="20"/>
          <w:szCs w:val="20"/>
          <w:lang w:val="pt-BR"/>
        </w:rPr>
        <w:t>també</w:t>
      </w:r>
      <w:r w:rsidR="001B15B1" w:rsidRPr="00C40BD9">
        <w:rPr>
          <w:rFonts w:ascii="Verdana" w:hAnsi="Verdana" w:cs="Verdana"/>
          <w:sz w:val="20"/>
          <w:szCs w:val="20"/>
          <w:lang w:val="pt-BR"/>
        </w:rPr>
        <w:t xml:space="preserve">m se estende aos atos </w:t>
      </w:r>
      <w:r w:rsidR="0079694E" w:rsidRPr="00C40BD9">
        <w:rPr>
          <w:rFonts w:ascii="Verdana" w:hAnsi="Verdana" w:cs="Verdana"/>
          <w:sz w:val="20"/>
          <w:szCs w:val="20"/>
          <w:lang w:val="pt-BR"/>
        </w:rPr>
        <w:t xml:space="preserve">de </w:t>
      </w:r>
      <w:r w:rsidR="001B15B1" w:rsidRPr="00C40BD9">
        <w:rPr>
          <w:rFonts w:ascii="Verdana" w:hAnsi="Verdana" w:cs="Verdana"/>
          <w:sz w:val="20"/>
          <w:szCs w:val="20"/>
          <w:lang w:val="pt-BR"/>
        </w:rPr>
        <w:t>estup</w:t>
      </w:r>
      <w:r w:rsidR="00B672A6">
        <w:rPr>
          <w:rFonts w:ascii="Verdana" w:hAnsi="Verdana" w:cs="Verdana"/>
          <w:sz w:val="20"/>
          <w:szCs w:val="20"/>
          <w:lang w:val="pt-BR"/>
        </w:rPr>
        <w:t>r</w:t>
      </w:r>
      <w:r w:rsidR="001B15B1" w:rsidRPr="00C40BD9">
        <w:rPr>
          <w:rFonts w:ascii="Verdana" w:hAnsi="Verdana" w:cs="Verdana"/>
          <w:sz w:val="20"/>
          <w:szCs w:val="20"/>
          <w:lang w:val="pt-BR"/>
        </w:rPr>
        <w:t>o</w:t>
      </w:r>
      <w:r w:rsidR="00C0777A" w:rsidRPr="00C40BD9">
        <w:rPr>
          <w:rFonts w:ascii="Verdana" w:hAnsi="Verdana" w:cs="Verdana"/>
          <w:sz w:val="20"/>
          <w:szCs w:val="20"/>
          <w:lang w:val="pt-BR"/>
        </w:rPr>
        <w:t xml:space="preserve">, </w:t>
      </w:r>
      <w:r w:rsidR="00944587" w:rsidRPr="00C40BD9">
        <w:rPr>
          <w:rFonts w:ascii="Verdana" w:hAnsi="Verdana" w:cs="Verdana"/>
          <w:sz w:val="20"/>
          <w:szCs w:val="20"/>
          <w:lang w:val="pt-BR"/>
        </w:rPr>
        <w:t>aplic</w:t>
      </w:r>
      <w:r w:rsidR="001B15B1" w:rsidRPr="00C40BD9">
        <w:rPr>
          <w:rFonts w:ascii="Verdana" w:hAnsi="Verdana" w:cs="Verdana"/>
          <w:sz w:val="20"/>
          <w:szCs w:val="20"/>
          <w:lang w:val="pt-BR"/>
        </w:rPr>
        <w:t>a</w:t>
      </w:r>
      <w:r w:rsidR="00944587" w:rsidRPr="00C40BD9">
        <w:rPr>
          <w:rFonts w:ascii="Verdana" w:hAnsi="Verdana" w:cs="Verdana"/>
          <w:sz w:val="20"/>
          <w:szCs w:val="20"/>
          <w:lang w:val="pt-BR"/>
        </w:rPr>
        <w:t>ndo</w:t>
      </w:r>
      <w:r w:rsidR="001B15B1" w:rsidRPr="00C40BD9">
        <w:rPr>
          <w:rFonts w:ascii="Verdana" w:hAnsi="Verdana" w:cs="Verdana"/>
          <w:sz w:val="20"/>
          <w:szCs w:val="20"/>
          <w:lang w:val="pt-BR"/>
        </w:rPr>
        <w:t>-</w:t>
      </w:r>
      <w:r w:rsidR="00944587" w:rsidRPr="00C40BD9">
        <w:rPr>
          <w:rFonts w:ascii="Verdana" w:hAnsi="Verdana" w:cs="Verdana"/>
          <w:sz w:val="20"/>
          <w:szCs w:val="20"/>
          <w:lang w:val="pt-BR"/>
        </w:rPr>
        <w:t xml:space="preserve">se </w:t>
      </w:r>
      <w:r w:rsidR="00C0777A" w:rsidRPr="00C40BD9">
        <w:rPr>
          <w:rFonts w:ascii="Verdana" w:hAnsi="Verdana"/>
          <w:sz w:val="20"/>
          <w:szCs w:val="20"/>
          <w:lang w:val="pt-BR"/>
        </w:rPr>
        <w:t>a exclus</w:t>
      </w:r>
      <w:r w:rsidR="001B15B1" w:rsidRPr="00C40BD9">
        <w:rPr>
          <w:rFonts w:ascii="Verdana" w:hAnsi="Verdana"/>
          <w:sz w:val="20"/>
          <w:szCs w:val="20"/>
          <w:lang w:val="pt-BR"/>
        </w:rPr>
        <w:t xml:space="preserve">ão </w:t>
      </w:r>
      <w:r w:rsidR="00F633DD" w:rsidRPr="00C40BD9">
        <w:rPr>
          <w:rFonts w:ascii="Verdana" w:hAnsi="Verdana"/>
          <w:sz w:val="20"/>
          <w:szCs w:val="20"/>
          <w:lang w:val="pt-BR"/>
        </w:rPr>
        <w:t xml:space="preserve">da </w:t>
      </w:r>
      <w:r w:rsidR="00C0777A" w:rsidRPr="00C40BD9">
        <w:rPr>
          <w:rFonts w:ascii="Verdana" w:hAnsi="Verdana"/>
          <w:sz w:val="20"/>
          <w:szCs w:val="20"/>
          <w:lang w:val="pt-BR"/>
        </w:rPr>
        <w:t>prescri</w:t>
      </w:r>
      <w:r w:rsidR="00F633DD" w:rsidRPr="00C40BD9">
        <w:rPr>
          <w:rFonts w:ascii="Verdana" w:hAnsi="Verdana"/>
          <w:sz w:val="20"/>
          <w:szCs w:val="20"/>
          <w:lang w:val="pt-BR"/>
        </w:rPr>
        <w:t>ção</w:t>
      </w:r>
      <w:r w:rsidR="00C0777A" w:rsidRPr="00C40BD9">
        <w:rPr>
          <w:rFonts w:ascii="Verdana" w:hAnsi="Verdana"/>
          <w:sz w:val="20"/>
          <w:szCs w:val="20"/>
          <w:lang w:val="pt-BR"/>
        </w:rPr>
        <w:t xml:space="preserve"> </w:t>
      </w:r>
      <w:r w:rsidR="00F633DD" w:rsidRPr="00C40BD9">
        <w:rPr>
          <w:rFonts w:ascii="Verdana" w:hAnsi="Verdana"/>
          <w:sz w:val="20"/>
          <w:szCs w:val="20"/>
          <w:lang w:val="pt-BR"/>
        </w:rPr>
        <w:t xml:space="preserve">da </w:t>
      </w:r>
      <w:r w:rsidR="00C0777A" w:rsidRPr="00C40BD9">
        <w:rPr>
          <w:rFonts w:ascii="Verdana" w:hAnsi="Verdana"/>
          <w:sz w:val="20"/>
          <w:szCs w:val="20"/>
          <w:lang w:val="pt-BR"/>
        </w:rPr>
        <w:t>a</w:t>
      </w:r>
      <w:r w:rsidR="00F633DD" w:rsidRPr="00C40BD9">
        <w:rPr>
          <w:rFonts w:ascii="Verdana" w:hAnsi="Verdana"/>
          <w:sz w:val="20"/>
          <w:szCs w:val="20"/>
          <w:lang w:val="pt-BR"/>
        </w:rPr>
        <w:t>ção</w:t>
      </w:r>
      <w:r w:rsidR="00C0777A" w:rsidRPr="00C40BD9">
        <w:rPr>
          <w:rFonts w:ascii="Verdana" w:hAnsi="Verdana"/>
          <w:sz w:val="20"/>
          <w:szCs w:val="20"/>
          <w:lang w:val="pt-BR"/>
        </w:rPr>
        <w:t xml:space="preserve"> penal para os </w:t>
      </w:r>
      <w:r w:rsidR="00DC5BE7" w:rsidRPr="00C40BD9">
        <w:rPr>
          <w:rFonts w:ascii="Verdana" w:hAnsi="Verdana"/>
          <w:sz w:val="20"/>
          <w:szCs w:val="20"/>
          <w:lang w:val="pt-BR"/>
        </w:rPr>
        <w:t>crimes</w:t>
      </w:r>
      <w:r w:rsidR="00DE316A">
        <w:rPr>
          <w:rFonts w:ascii="Verdana" w:hAnsi="Verdana"/>
          <w:sz w:val="20"/>
          <w:szCs w:val="20"/>
          <w:lang w:val="pt-BR"/>
        </w:rPr>
        <w:t xml:space="preserve"> </w:t>
      </w:r>
      <w:r w:rsidR="00944587" w:rsidRPr="00C40BD9">
        <w:rPr>
          <w:rFonts w:ascii="Verdana" w:hAnsi="Verdana"/>
          <w:sz w:val="20"/>
          <w:szCs w:val="20"/>
          <w:lang w:val="pt-BR"/>
        </w:rPr>
        <w:t xml:space="preserve">cometidos </w:t>
      </w:r>
      <w:r w:rsidR="001B15B1" w:rsidRPr="00C40BD9">
        <w:rPr>
          <w:rFonts w:ascii="Verdana" w:hAnsi="Verdana"/>
          <w:sz w:val="20"/>
          <w:szCs w:val="20"/>
          <w:lang w:val="pt-BR"/>
        </w:rPr>
        <w:t xml:space="preserve">no </w:t>
      </w:r>
      <w:r w:rsidR="00944587" w:rsidRPr="00C40BD9">
        <w:rPr>
          <w:rFonts w:ascii="Verdana" w:hAnsi="Verdana"/>
          <w:sz w:val="20"/>
          <w:szCs w:val="20"/>
          <w:lang w:val="pt-BR"/>
        </w:rPr>
        <w:t>presente caso.</w:t>
      </w:r>
      <w:r w:rsidR="00DE316A">
        <w:rPr>
          <w:rFonts w:ascii="Verdana" w:hAnsi="Verdana"/>
          <w:sz w:val="20"/>
          <w:szCs w:val="20"/>
          <w:lang w:val="pt-BR"/>
        </w:rPr>
        <w:t xml:space="preserve"> </w:t>
      </w:r>
    </w:p>
    <w:p w:rsidR="000C2BED" w:rsidRPr="00C40BD9" w:rsidRDefault="005177B3" w:rsidP="00BD1CBD">
      <w:pPr>
        <w:autoSpaceDE w:val="0"/>
        <w:autoSpaceDN w:val="0"/>
        <w:adjustRightInd w:val="0"/>
        <w:spacing w:after="0" w:line="240" w:lineRule="auto"/>
        <w:jc w:val="both"/>
        <w:rPr>
          <w:rFonts w:ascii="Verdana" w:hAnsi="Verdana" w:cs="Verdana"/>
          <w:sz w:val="20"/>
          <w:szCs w:val="20"/>
          <w:lang w:val="pt-BR"/>
        </w:rPr>
      </w:pPr>
      <w:r w:rsidRPr="00C40BD9">
        <w:rPr>
          <w:rFonts w:ascii="Verdana" w:hAnsi="Verdana" w:cs="Verdana"/>
          <w:sz w:val="20"/>
          <w:szCs w:val="20"/>
          <w:lang w:val="pt-BR"/>
        </w:rPr>
        <w:t xml:space="preserve"> </w:t>
      </w:r>
    </w:p>
    <w:p w:rsidR="0074017B" w:rsidRPr="00C40BD9" w:rsidRDefault="0085449E" w:rsidP="001A6E65">
      <w:pPr>
        <w:pStyle w:val="Heading5"/>
        <w:rPr>
          <w:b/>
          <w:i w:val="0"/>
          <w:lang w:val="pt-BR"/>
        </w:rPr>
      </w:pPr>
      <w:r w:rsidRPr="00C40BD9">
        <w:rPr>
          <w:b/>
          <w:i w:val="0"/>
          <w:lang w:val="pt-BR"/>
        </w:rPr>
        <w:t>A</w:t>
      </w:r>
      <w:r w:rsidR="008275D2" w:rsidRPr="00C40BD9">
        <w:rPr>
          <w:b/>
          <w:i w:val="0"/>
          <w:lang w:val="pt-BR"/>
        </w:rPr>
        <w:t>de</w:t>
      </w:r>
      <w:r w:rsidR="001B15B1" w:rsidRPr="00C40BD9">
        <w:rPr>
          <w:b/>
          <w:i w:val="0"/>
          <w:lang w:val="pt-BR"/>
        </w:rPr>
        <w:t>q</w:t>
      </w:r>
      <w:r w:rsidR="008275D2" w:rsidRPr="00C40BD9">
        <w:rPr>
          <w:b/>
          <w:i w:val="0"/>
          <w:lang w:val="pt-BR"/>
        </w:rPr>
        <w:t xml:space="preserve">uada </w:t>
      </w:r>
      <w:r w:rsidR="001B15B1" w:rsidRPr="00C40BD9">
        <w:rPr>
          <w:b/>
          <w:i w:val="0"/>
          <w:lang w:val="pt-BR"/>
        </w:rPr>
        <w:t>r</w:t>
      </w:r>
      <w:r w:rsidR="008275D2" w:rsidRPr="00C40BD9">
        <w:rPr>
          <w:b/>
          <w:i w:val="0"/>
          <w:lang w:val="pt-BR"/>
        </w:rPr>
        <w:t>epresenta</w:t>
      </w:r>
      <w:r w:rsidR="00F633DD" w:rsidRPr="00C40BD9">
        <w:rPr>
          <w:b/>
          <w:i w:val="0"/>
          <w:lang w:val="pt-BR"/>
        </w:rPr>
        <w:t>ção</w:t>
      </w:r>
      <w:r w:rsidR="008275D2" w:rsidRPr="00C40BD9">
        <w:rPr>
          <w:b/>
          <w:i w:val="0"/>
          <w:lang w:val="pt-BR"/>
        </w:rPr>
        <w:t xml:space="preserve"> </w:t>
      </w:r>
      <w:r w:rsidR="00C06A9B" w:rsidRPr="00C40BD9">
        <w:rPr>
          <w:b/>
          <w:i w:val="0"/>
          <w:lang w:val="pt-BR"/>
        </w:rPr>
        <w:t xml:space="preserve">das </w:t>
      </w:r>
      <w:r w:rsidR="001B15B1" w:rsidRPr="00C40BD9">
        <w:rPr>
          <w:b/>
          <w:i w:val="0"/>
          <w:lang w:val="pt-BR"/>
        </w:rPr>
        <w:t>v</w:t>
      </w:r>
      <w:r w:rsidR="008275D2" w:rsidRPr="00C40BD9">
        <w:rPr>
          <w:b/>
          <w:i w:val="0"/>
          <w:lang w:val="pt-BR"/>
        </w:rPr>
        <w:t>ítimas</w:t>
      </w:r>
    </w:p>
    <w:p w:rsidR="0049492F" w:rsidRPr="00C40BD9" w:rsidRDefault="0049492F" w:rsidP="00A82FB4">
      <w:pPr>
        <w:autoSpaceDE w:val="0"/>
        <w:autoSpaceDN w:val="0"/>
        <w:adjustRightInd w:val="0"/>
        <w:spacing w:after="0" w:line="240" w:lineRule="auto"/>
        <w:ind w:left="720"/>
        <w:jc w:val="both"/>
        <w:rPr>
          <w:rFonts w:ascii="Verdana" w:hAnsi="Verdana" w:cs="Verdana"/>
          <w:i/>
          <w:sz w:val="20"/>
          <w:szCs w:val="20"/>
          <w:lang w:val="pt-BR"/>
        </w:rPr>
      </w:pPr>
    </w:p>
    <w:p w:rsidR="0049492F" w:rsidRPr="00C40BD9" w:rsidRDefault="0049492F" w:rsidP="00E048DB">
      <w:pPr>
        <w:pStyle w:val="Heading4"/>
        <w:tabs>
          <w:tab w:val="clear" w:pos="0"/>
        </w:tabs>
        <w:rPr>
          <w:lang w:val="pt-BR"/>
        </w:rPr>
      </w:pPr>
      <w:r w:rsidRPr="00C40BD9">
        <w:rPr>
          <w:lang w:val="pt-BR"/>
        </w:rPr>
        <w:t xml:space="preserve">B.1. Argumentos </w:t>
      </w:r>
      <w:r w:rsidR="00C06A9B" w:rsidRPr="00C40BD9">
        <w:rPr>
          <w:lang w:val="pt-BR"/>
        </w:rPr>
        <w:t xml:space="preserve">das </w:t>
      </w:r>
      <w:r w:rsidRPr="00C40BD9">
        <w:rPr>
          <w:lang w:val="pt-BR"/>
        </w:rPr>
        <w:t xml:space="preserve">partes </w:t>
      </w:r>
      <w:r w:rsidR="00F633DD" w:rsidRPr="00C40BD9">
        <w:rPr>
          <w:lang w:val="pt-BR"/>
        </w:rPr>
        <w:t>e</w:t>
      </w:r>
      <w:r w:rsidR="00DE316A">
        <w:rPr>
          <w:lang w:val="pt-BR"/>
        </w:rPr>
        <w:t xml:space="preserve"> </w:t>
      </w:r>
      <w:r w:rsidR="00F633DD" w:rsidRPr="00C40BD9">
        <w:rPr>
          <w:lang w:val="pt-BR"/>
        </w:rPr>
        <w:t xml:space="preserve">da </w:t>
      </w:r>
      <w:r w:rsidR="00C06A9B" w:rsidRPr="00C40BD9">
        <w:rPr>
          <w:lang w:val="pt-BR"/>
        </w:rPr>
        <w:t>Comissão</w:t>
      </w:r>
      <w:r w:rsidR="00DE316A">
        <w:rPr>
          <w:lang w:val="pt-BR"/>
        </w:rPr>
        <w:t xml:space="preserve"> </w:t>
      </w:r>
    </w:p>
    <w:p w:rsidR="0074017B" w:rsidRPr="00C40BD9" w:rsidRDefault="0074017B" w:rsidP="00A82FB4">
      <w:pPr>
        <w:widowControl w:val="0"/>
        <w:spacing w:after="0" w:line="240" w:lineRule="auto"/>
        <w:ind w:left="720"/>
        <w:jc w:val="both"/>
        <w:rPr>
          <w:rFonts w:ascii="Verdana" w:hAnsi="Verdana"/>
          <w:b/>
          <w:smallCaps/>
          <w:sz w:val="20"/>
          <w:szCs w:val="20"/>
          <w:lang w:val="pt-BR"/>
        </w:rPr>
      </w:pPr>
    </w:p>
    <w:p w:rsidR="0074017B" w:rsidRPr="00C40BD9" w:rsidRDefault="004A13CC" w:rsidP="00A82FB4">
      <w:pPr>
        <w:pStyle w:val="ListParagraph"/>
        <w:numPr>
          <w:ilvl w:val="0"/>
          <w:numId w:val="2"/>
        </w:numPr>
        <w:tabs>
          <w:tab w:val="clear" w:pos="1247"/>
        </w:tabs>
        <w:spacing w:after="0" w:line="240" w:lineRule="auto"/>
        <w:jc w:val="both"/>
        <w:rPr>
          <w:rFonts w:ascii="Verdana" w:hAnsi="Verdana"/>
          <w:sz w:val="20"/>
          <w:szCs w:val="20"/>
          <w:lang w:val="pt-BR"/>
        </w:rPr>
      </w:pPr>
      <w:r w:rsidRPr="00C40BD9">
        <w:rPr>
          <w:rFonts w:ascii="Verdana" w:hAnsi="Verdana"/>
          <w:sz w:val="20"/>
          <w:szCs w:val="20"/>
          <w:lang w:val="pt-BR"/>
        </w:rPr>
        <w:t xml:space="preserve">O </w:t>
      </w:r>
      <w:r w:rsidR="00C06A9B" w:rsidRPr="00C40BD9">
        <w:rPr>
          <w:rFonts w:ascii="Verdana" w:hAnsi="Verdana"/>
          <w:sz w:val="20"/>
          <w:szCs w:val="20"/>
          <w:lang w:val="pt-BR"/>
        </w:rPr>
        <w:t>parágrafo</w:t>
      </w:r>
      <w:r w:rsidR="00DE316A">
        <w:rPr>
          <w:rFonts w:ascii="Verdana" w:hAnsi="Verdana"/>
          <w:sz w:val="20"/>
          <w:szCs w:val="20"/>
          <w:lang w:val="pt-BR"/>
        </w:rPr>
        <w:t xml:space="preserve"> </w:t>
      </w:r>
      <w:r w:rsidR="0074017B" w:rsidRPr="00C40BD9">
        <w:rPr>
          <w:rFonts w:ascii="Verdana" w:hAnsi="Verdana"/>
          <w:sz w:val="20"/>
          <w:szCs w:val="20"/>
          <w:lang w:val="pt-BR"/>
        </w:rPr>
        <w:t xml:space="preserve">41 </w:t>
      </w:r>
      <w:r w:rsidR="00F633DD" w:rsidRPr="00C40BD9">
        <w:rPr>
          <w:rFonts w:ascii="Verdana" w:hAnsi="Verdana"/>
          <w:sz w:val="20"/>
          <w:szCs w:val="20"/>
          <w:lang w:val="pt-BR"/>
        </w:rPr>
        <w:t>da Sentença</w:t>
      </w:r>
      <w:r w:rsidR="00DE316A">
        <w:rPr>
          <w:rFonts w:ascii="Verdana" w:hAnsi="Verdana"/>
          <w:sz w:val="20"/>
          <w:szCs w:val="20"/>
          <w:lang w:val="pt-BR"/>
        </w:rPr>
        <w:t xml:space="preserve"> </w:t>
      </w:r>
      <w:r w:rsidR="00F633DD" w:rsidRPr="00C40BD9">
        <w:rPr>
          <w:rFonts w:ascii="Verdana" w:hAnsi="Verdana"/>
          <w:sz w:val="20"/>
          <w:szCs w:val="20"/>
          <w:lang w:val="pt-BR"/>
        </w:rPr>
        <w:t xml:space="preserve">da </w:t>
      </w:r>
      <w:r w:rsidR="0074017B" w:rsidRPr="00C40BD9">
        <w:rPr>
          <w:rFonts w:ascii="Verdana" w:hAnsi="Verdana"/>
          <w:sz w:val="20"/>
          <w:szCs w:val="20"/>
          <w:lang w:val="pt-BR"/>
        </w:rPr>
        <w:t xml:space="preserve">Corte </w:t>
      </w:r>
      <w:r w:rsidRPr="00C40BD9">
        <w:rPr>
          <w:rFonts w:ascii="Verdana" w:hAnsi="Verdana"/>
          <w:sz w:val="20"/>
          <w:szCs w:val="20"/>
          <w:lang w:val="pt-BR"/>
        </w:rPr>
        <w:t xml:space="preserve">considerou que os </w:t>
      </w:r>
      <w:r w:rsidR="0074017B" w:rsidRPr="00C40BD9">
        <w:rPr>
          <w:rFonts w:ascii="Verdana" w:hAnsi="Verdana"/>
          <w:sz w:val="20"/>
          <w:szCs w:val="20"/>
          <w:lang w:val="pt-BR"/>
        </w:rPr>
        <w:t xml:space="preserve">familiares </w:t>
      </w:r>
      <w:r w:rsidR="00C06A9B" w:rsidRPr="00C40BD9">
        <w:rPr>
          <w:rFonts w:ascii="Verdana" w:hAnsi="Verdana"/>
          <w:sz w:val="20"/>
          <w:szCs w:val="20"/>
          <w:lang w:val="pt-BR"/>
        </w:rPr>
        <w:t xml:space="preserve">das </w:t>
      </w:r>
      <w:r w:rsidRPr="00C40BD9">
        <w:rPr>
          <w:rFonts w:ascii="Verdana" w:hAnsi="Verdana"/>
          <w:sz w:val="20"/>
          <w:szCs w:val="20"/>
          <w:lang w:val="pt-BR"/>
        </w:rPr>
        <w:t xml:space="preserve">supostas </w:t>
      </w:r>
      <w:r w:rsidR="00C06A9B" w:rsidRPr="00C40BD9">
        <w:rPr>
          <w:rFonts w:ascii="Verdana" w:hAnsi="Verdana"/>
          <w:sz w:val="20"/>
          <w:szCs w:val="20"/>
          <w:lang w:val="pt-BR"/>
        </w:rPr>
        <w:t>vítimas</w:t>
      </w:r>
      <w:r w:rsidR="00DE316A">
        <w:rPr>
          <w:rFonts w:ascii="Verdana" w:hAnsi="Verdana"/>
          <w:sz w:val="20"/>
          <w:szCs w:val="20"/>
          <w:lang w:val="pt-BR"/>
        </w:rPr>
        <w:t xml:space="preserve"> </w:t>
      </w:r>
      <w:r w:rsidR="0074017B" w:rsidRPr="00C40BD9">
        <w:rPr>
          <w:rFonts w:ascii="Verdana" w:hAnsi="Verdana"/>
          <w:sz w:val="20"/>
          <w:szCs w:val="20"/>
          <w:lang w:val="pt-BR"/>
        </w:rPr>
        <w:t>est</w:t>
      </w:r>
      <w:r w:rsidR="00B44952" w:rsidRPr="00C40BD9">
        <w:rPr>
          <w:rFonts w:ascii="Verdana" w:hAnsi="Verdana"/>
          <w:sz w:val="20"/>
          <w:szCs w:val="20"/>
          <w:lang w:val="pt-BR"/>
        </w:rPr>
        <w:t>a</w:t>
      </w:r>
      <w:r w:rsidRPr="00C40BD9">
        <w:rPr>
          <w:rFonts w:ascii="Verdana" w:hAnsi="Verdana"/>
          <w:sz w:val="20"/>
          <w:szCs w:val="20"/>
          <w:lang w:val="pt-BR"/>
        </w:rPr>
        <w:t xml:space="preserve">vam </w:t>
      </w:r>
      <w:r w:rsidR="0074017B" w:rsidRPr="00C40BD9">
        <w:rPr>
          <w:rFonts w:ascii="Verdana" w:hAnsi="Verdana"/>
          <w:sz w:val="20"/>
          <w:szCs w:val="20"/>
          <w:lang w:val="pt-BR"/>
        </w:rPr>
        <w:t>razoa</w:t>
      </w:r>
      <w:r w:rsidRPr="00C40BD9">
        <w:rPr>
          <w:rFonts w:ascii="Verdana" w:hAnsi="Verdana"/>
          <w:sz w:val="20"/>
          <w:szCs w:val="20"/>
          <w:lang w:val="pt-BR"/>
        </w:rPr>
        <w:t>vel</w:t>
      </w:r>
      <w:r w:rsidR="0074017B" w:rsidRPr="00C40BD9">
        <w:rPr>
          <w:rFonts w:ascii="Verdana" w:hAnsi="Verdana"/>
          <w:sz w:val="20"/>
          <w:szCs w:val="20"/>
          <w:lang w:val="pt-BR"/>
        </w:rPr>
        <w:t>mente representados p</w:t>
      </w:r>
      <w:r w:rsidRPr="00C40BD9">
        <w:rPr>
          <w:rFonts w:ascii="Verdana" w:hAnsi="Verdana"/>
          <w:sz w:val="20"/>
          <w:szCs w:val="20"/>
          <w:lang w:val="pt-BR"/>
        </w:rPr>
        <w:t xml:space="preserve">elo </w:t>
      </w:r>
      <w:r w:rsidR="0074017B" w:rsidRPr="00C40BD9">
        <w:rPr>
          <w:rFonts w:ascii="Verdana" w:hAnsi="Verdana"/>
          <w:sz w:val="20"/>
          <w:szCs w:val="20"/>
          <w:lang w:val="pt-BR"/>
        </w:rPr>
        <w:t xml:space="preserve">CEJIL e </w:t>
      </w:r>
      <w:r w:rsidRPr="00C40BD9">
        <w:rPr>
          <w:rFonts w:ascii="Verdana" w:hAnsi="Verdana"/>
          <w:sz w:val="20"/>
          <w:szCs w:val="20"/>
          <w:lang w:val="pt-BR"/>
        </w:rPr>
        <w:t xml:space="preserve">pelo </w:t>
      </w:r>
      <w:r w:rsidR="0074017B" w:rsidRPr="00C40BD9">
        <w:rPr>
          <w:rFonts w:ascii="Verdana" w:hAnsi="Verdana"/>
          <w:sz w:val="20"/>
          <w:szCs w:val="20"/>
          <w:lang w:val="pt-BR"/>
        </w:rPr>
        <w:t xml:space="preserve">ISER, </w:t>
      </w:r>
      <w:r w:rsidR="00CD6AAF">
        <w:rPr>
          <w:rFonts w:ascii="Verdana" w:hAnsi="Verdana"/>
          <w:sz w:val="20"/>
          <w:szCs w:val="20"/>
          <w:lang w:val="pt-BR"/>
        </w:rPr>
        <w:t>opondo-se</w:t>
      </w:r>
      <w:r w:rsidRPr="00C40BD9">
        <w:rPr>
          <w:rFonts w:ascii="Verdana" w:hAnsi="Verdana"/>
          <w:sz w:val="20"/>
          <w:szCs w:val="20"/>
          <w:lang w:val="pt-BR"/>
        </w:rPr>
        <w:t xml:space="preserve">, desse modo, </w:t>
      </w:r>
      <w:r w:rsidR="00CD6AAF">
        <w:rPr>
          <w:rFonts w:ascii="Verdana" w:hAnsi="Verdana"/>
          <w:sz w:val="20"/>
          <w:szCs w:val="20"/>
          <w:lang w:val="pt-BR"/>
        </w:rPr>
        <w:t>à</w:t>
      </w:r>
      <w:r w:rsidRPr="00C40BD9">
        <w:rPr>
          <w:rFonts w:ascii="Verdana" w:hAnsi="Verdana"/>
          <w:sz w:val="20"/>
          <w:szCs w:val="20"/>
          <w:lang w:val="pt-BR"/>
        </w:rPr>
        <w:t xml:space="preserve"> </w:t>
      </w:r>
      <w:r w:rsidR="0074017B" w:rsidRPr="00C40BD9">
        <w:rPr>
          <w:rFonts w:ascii="Verdana" w:hAnsi="Verdana"/>
          <w:sz w:val="20"/>
          <w:szCs w:val="20"/>
          <w:lang w:val="pt-BR"/>
        </w:rPr>
        <w:t>exce</w:t>
      </w:r>
      <w:r w:rsidR="00F633DD" w:rsidRPr="00C40BD9">
        <w:rPr>
          <w:rFonts w:ascii="Verdana" w:hAnsi="Verdana"/>
          <w:sz w:val="20"/>
          <w:szCs w:val="20"/>
          <w:lang w:val="pt-BR"/>
        </w:rPr>
        <w:t>ção</w:t>
      </w:r>
      <w:r w:rsidR="0074017B" w:rsidRPr="00C40BD9">
        <w:rPr>
          <w:rFonts w:ascii="Verdana" w:hAnsi="Verdana"/>
          <w:sz w:val="20"/>
          <w:szCs w:val="20"/>
          <w:lang w:val="pt-BR"/>
        </w:rPr>
        <w:t xml:space="preserve"> </w:t>
      </w:r>
      <w:r w:rsidR="0074017B" w:rsidRPr="00C40BD9">
        <w:rPr>
          <w:rFonts w:ascii="Verdana" w:hAnsi="Verdana"/>
          <w:i/>
          <w:sz w:val="20"/>
          <w:szCs w:val="20"/>
          <w:lang w:val="pt-BR"/>
        </w:rPr>
        <w:t>rationae</w:t>
      </w:r>
      <w:r w:rsidR="0074017B" w:rsidRPr="00C40BD9">
        <w:rPr>
          <w:rFonts w:ascii="Verdana" w:hAnsi="Verdana"/>
          <w:sz w:val="20"/>
          <w:szCs w:val="20"/>
          <w:lang w:val="pt-BR"/>
        </w:rPr>
        <w:t xml:space="preserve"> </w:t>
      </w:r>
      <w:r w:rsidR="0074017B" w:rsidRPr="00C40BD9">
        <w:rPr>
          <w:rFonts w:ascii="Verdana" w:hAnsi="Verdana"/>
          <w:i/>
          <w:sz w:val="20"/>
          <w:szCs w:val="20"/>
          <w:lang w:val="pt-BR"/>
        </w:rPr>
        <w:t>personae</w:t>
      </w:r>
      <w:r w:rsidR="0074017B" w:rsidRPr="00C40BD9">
        <w:rPr>
          <w:rFonts w:ascii="Verdana" w:hAnsi="Verdana"/>
          <w:sz w:val="20"/>
          <w:szCs w:val="20"/>
          <w:lang w:val="pt-BR"/>
        </w:rPr>
        <w:t xml:space="preserve"> interp</w:t>
      </w:r>
      <w:r w:rsidRPr="00C40BD9">
        <w:rPr>
          <w:rFonts w:ascii="Verdana" w:hAnsi="Verdana"/>
          <w:sz w:val="20"/>
          <w:szCs w:val="20"/>
          <w:lang w:val="pt-BR"/>
        </w:rPr>
        <w:t>o</w:t>
      </w:r>
      <w:r w:rsidR="00B44952" w:rsidRPr="00C40BD9">
        <w:rPr>
          <w:rFonts w:ascii="Verdana" w:hAnsi="Verdana"/>
          <w:sz w:val="20"/>
          <w:szCs w:val="20"/>
          <w:lang w:val="pt-BR"/>
        </w:rPr>
        <w:t xml:space="preserve">sta </w:t>
      </w:r>
      <w:r w:rsidR="00036A1B" w:rsidRPr="00C40BD9">
        <w:rPr>
          <w:rFonts w:ascii="Verdana" w:hAnsi="Verdana"/>
          <w:sz w:val="20"/>
          <w:szCs w:val="20"/>
          <w:lang w:val="pt-BR"/>
        </w:rPr>
        <w:t xml:space="preserve">pelo </w:t>
      </w:r>
      <w:r w:rsidR="0074017B" w:rsidRPr="00C40BD9">
        <w:rPr>
          <w:rFonts w:ascii="Verdana" w:hAnsi="Verdana"/>
          <w:sz w:val="20"/>
          <w:szCs w:val="20"/>
          <w:lang w:val="pt-BR"/>
        </w:rPr>
        <w:t xml:space="preserve">Estado sobre a </w:t>
      </w:r>
      <w:r w:rsidRPr="00C40BD9">
        <w:rPr>
          <w:rFonts w:ascii="Verdana" w:hAnsi="Verdana"/>
          <w:sz w:val="20"/>
          <w:szCs w:val="20"/>
          <w:lang w:val="pt-BR"/>
        </w:rPr>
        <w:t xml:space="preserve">presumida </w:t>
      </w:r>
      <w:r w:rsidR="0074017B" w:rsidRPr="00C40BD9">
        <w:rPr>
          <w:rFonts w:ascii="Verdana" w:hAnsi="Verdana"/>
          <w:sz w:val="20"/>
          <w:szCs w:val="20"/>
          <w:lang w:val="pt-BR"/>
        </w:rPr>
        <w:t xml:space="preserve">falta de </w:t>
      </w:r>
      <w:r w:rsidRPr="00C40BD9">
        <w:rPr>
          <w:rFonts w:ascii="Verdana" w:hAnsi="Verdana"/>
          <w:sz w:val="20"/>
          <w:szCs w:val="20"/>
          <w:lang w:val="pt-BR"/>
        </w:rPr>
        <w:t xml:space="preserve">concessão </w:t>
      </w:r>
      <w:r w:rsidR="0074017B" w:rsidRPr="00C40BD9">
        <w:rPr>
          <w:rFonts w:ascii="Verdana" w:hAnsi="Verdana"/>
          <w:sz w:val="20"/>
          <w:szCs w:val="20"/>
          <w:lang w:val="pt-BR"/>
        </w:rPr>
        <w:t xml:space="preserve">de </w:t>
      </w:r>
      <w:r w:rsidR="001A4631">
        <w:rPr>
          <w:rFonts w:ascii="Verdana" w:hAnsi="Verdana"/>
          <w:sz w:val="20"/>
          <w:szCs w:val="20"/>
          <w:lang w:val="pt-BR"/>
        </w:rPr>
        <w:t>procurações</w:t>
      </w:r>
      <w:r w:rsidR="0074017B" w:rsidRPr="00C40BD9">
        <w:rPr>
          <w:rFonts w:ascii="Verdana" w:hAnsi="Verdana"/>
          <w:sz w:val="20"/>
          <w:szCs w:val="20"/>
          <w:lang w:val="pt-BR"/>
        </w:rPr>
        <w:t xml:space="preserve"> aos representantes. </w:t>
      </w:r>
    </w:p>
    <w:p w:rsidR="0074017B" w:rsidRPr="00C40BD9" w:rsidRDefault="0074017B" w:rsidP="00A82FB4">
      <w:pPr>
        <w:pStyle w:val="ListParagraph"/>
        <w:spacing w:after="0" w:line="240" w:lineRule="auto"/>
        <w:ind w:left="0"/>
        <w:jc w:val="both"/>
        <w:rPr>
          <w:rFonts w:ascii="Verdana" w:hAnsi="Verdana"/>
          <w:sz w:val="20"/>
          <w:szCs w:val="20"/>
          <w:lang w:val="pt-BR"/>
        </w:rPr>
      </w:pPr>
    </w:p>
    <w:p w:rsidR="0074017B" w:rsidRPr="00C40BD9" w:rsidRDefault="0074017B" w:rsidP="00A82FB4">
      <w:pPr>
        <w:pStyle w:val="ListParagraph"/>
        <w:numPr>
          <w:ilvl w:val="0"/>
          <w:numId w:val="2"/>
        </w:numPr>
        <w:tabs>
          <w:tab w:val="clear" w:pos="1247"/>
        </w:tabs>
        <w:spacing w:after="0" w:line="240" w:lineRule="auto"/>
        <w:jc w:val="both"/>
        <w:rPr>
          <w:rFonts w:ascii="Verdana" w:hAnsi="Verdana"/>
          <w:sz w:val="20"/>
          <w:szCs w:val="20"/>
          <w:lang w:val="pt-BR"/>
        </w:rPr>
      </w:pPr>
      <w:r w:rsidRPr="00C40BD9">
        <w:rPr>
          <w:rFonts w:ascii="Verdana" w:hAnsi="Verdana"/>
          <w:sz w:val="20"/>
          <w:szCs w:val="20"/>
          <w:lang w:val="pt-BR"/>
        </w:rPr>
        <w:t xml:space="preserve"> Sobre </w:t>
      </w:r>
      <w:r w:rsidR="00CD6AAF">
        <w:rPr>
          <w:rFonts w:ascii="Verdana" w:hAnsi="Verdana"/>
          <w:sz w:val="20"/>
          <w:szCs w:val="20"/>
          <w:lang w:val="pt-BR"/>
        </w:rPr>
        <w:t>essa decisão</w:t>
      </w:r>
      <w:r w:rsidRPr="00C40BD9">
        <w:rPr>
          <w:rFonts w:ascii="Verdana" w:hAnsi="Verdana"/>
          <w:sz w:val="20"/>
          <w:szCs w:val="20"/>
          <w:lang w:val="pt-BR"/>
        </w:rPr>
        <w:t xml:space="preserve">, </w:t>
      </w:r>
      <w:r w:rsidR="004A13CC" w:rsidRPr="00C40BD9">
        <w:rPr>
          <w:rFonts w:ascii="Verdana" w:hAnsi="Verdana"/>
          <w:sz w:val="20"/>
          <w:szCs w:val="20"/>
          <w:lang w:val="pt-BR"/>
        </w:rPr>
        <w:t>o</w:t>
      </w:r>
      <w:r w:rsidR="006900B1" w:rsidRPr="00C40BD9">
        <w:rPr>
          <w:rFonts w:ascii="Verdana" w:hAnsi="Verdana"/>
          <w:sz w:val="20"/>
          <w:szCs w:val="20"/>
          <w:lang w:val="pt-BR"/>
        </w:rPr>
        <w:t xml:space="preserve"> </w:t>
      </w:r>
      <w:r w:rsidRPr="00C40BD9">
        <w:rPr>
          <w:rFonts w:ascii="Verdana" w:hAnsi="Verdana"/>
          <w:b/>
          <w:i/>
          <w:sz w:val="20"/>
          <w:szCs w:val="20"/>
          <w:lang w:val="pt-BR"/>
        </w:rPr>
        <w:t>Estado</w:t>
      </w:r>
      <w:r w:rsidRPr="00C40BD9">
        <w:rPr>
          <w:rFonts w:ascii="Verdana" w:hAnsi="Verdana"/>
          <w:sz w:val="20"/>
          <w:szCs w:val="20"/>
          <w:lang w:val="pt-BR"/>
        </w:rPr>
        <w:t xml:space="preserve"> afirm</w:t>
      </w:r>
      <w:r w:rsidR="004A13CC" w:rsidRPr="00C40BD9">
        <w:rPr>
          <w:rFonts w:ascii="Verdana" w:hAnsi="Verdana"/>
          <w:sz w:val="20"/>
          <w:szCs w:val="20"/>
          <w:lang w:val="pt-BR"/>
        </w:rPr>
        <w:t xml:space="preserve">ou </w:t>
      </w:r>
      <w:r w:rsidRPr="00C40BD9">
        <w:rPr>
          <w:rFonts w:ascii="Verdana" w:hAnsi="Verdana"/>
          <w:sz w:val="20"/>
          <w:szCs w:val="20"/>
          <w:lang w:val="pt-BR"/>
        </w:rPr>
        <w:t>que</w:t>
      </w:r>
      <w:r w:rsidR="004A13CC" w:rsidRPr="00C40BD9">
        <w:rPr>
          <w:rFonts w:ascii="Verdana" w:hAnsi="Verdana"/>
          <w:sz w:val="20"/>
          <w:szCs w:val="20"/>
          <w:lang w:val="pt-BR"/>
        </w:rPr>
        <w:t>,</w:t>
      </w:r>
      <w:r w:rsidRPr="00C40BD9">
        <w:rPr>
          <w:rFonts w:ascii="Verdana" w:hAnsi="Verdana"/>
          <w:sz w:val="20"/>
          <w:szCs w:val="20"/>
          <w:lang w:val="pt-BR"/>
        </w:rPr>
        <w:t xml:space="preserve"> </w:t>
      </w:r>
      <w:r w:rsidR="000814BE" w:rsidRPr="00C40BD9">
        <w:rPr>
          <w:rFonts w:ascii="Verdana" w:hAnsi="Verdana"/>
          <w:sz w:val="20"/>
          <w:szCs w:val="20"/>
          <w:lang w:val="pt-BR"/>
        </w:rPr>
        <w:t xml:space="preserve">na </w:t>
      </w:r>
      <w:r w:rsidRPr="00C40BD9">
        <w:rPr>
          <w:rFonts w:ascii="Verdana" w:hAnsi="Verdana"/>
          <w:sz w:val="20"/>
          <w:szCs w:val="20"/>
          <w:lang w:val="pt-BR"/>
        </w:rPr>
        <w:t xml:space="preserve">fase de </w:t>
      </w:r>
      <w:r w:rsidR="00C06A9B" w:rsidRPr="00C40BD9">
        <w:rPr>
          <w:rFonts w:ascii="Verdana" w:hAnsi="Verdana"/>
          <w:sz w:val="20"/>
          <w:szCs w:val="20"/>
          <w:lang w:val="pt-BR"/>
        </w:rPr>
        <w:t>cumprimento</w:t>
      </w:r>
      <w:r w:rsidR="00DE316A">
        <w:rPr>
          <w:rFonts w:ascii="Verdana" w:hAnsi="Verdana"/>
          <w:sz w:val="20"/>
          <w:szCs w:val="20"/>
          <w:lang w:val="pt-BR"/>
        </w:rPr>
        <w:t xml:space="preserve"> </w:t>
      </w:r>
      <w:r w:rsidR="00F633DD" w:rsidRPr="00C40BD9">
        <w:rPr>
          <w:rFonts w:ascii="Verdana" w:hAnsi="Verdana"/>
          <w:sz w:val="20"/>
          <w:szCs w:val="20"/>
          <w:lang w:val="pt-BR"/>
        </w:rPr>
        <w:t>da Sentença</w:t>
      </w:r>
      <w:r w:rsidRPr="00C40BD9">
        <w:rPr>
          <w:rFonts w:ascii="Verdana" w:hAnsi="Verdana"/>
          <w:sz w:val="20"/>
          <w:szCs w:val="20"/>
          <w:lang w:val="pt-BR"/>
        </w:rPr>
        <w:t>, a representa</w:t>
      </w:r>
      <w:r w:rsidR="00F633DD" w:rsidRPr="00C40BD9">
        <w:rPr>
          <w:rFonts w:ascii="Verdana" w:hAnsi="Verdana"/>
          <w:sz w:val="20"/>
          <w:szCs w:val="20"/>
          <w:lang w:val="pt-BR"/>
        </w:rPr>
        <w:t>ção</w:t>
      </w:r>
      <w:r w:rsidRPr="00C40BD9">
        <w:rPr>
          <w:rFonts w:ascii="Verdana" w:hAnsi="Verdana"/>
          <w:sz w:val="20"/>
          <w:szCs w:val="20"/>
          <w:lang w:val="pt-BR"/>
        </w:rPr>
        <w:t xml:space="preserve"> inade</w:t>
      </w:r>
      <w:r w:rsidR="004A13CC" w:rsidRPr="00C40BD9">
        <w:rPr>
          <w:rFonts w:ascii="Verdana" w:hAnsi="Verdana"/>
          <w:sz w:val="20"/>
          <w:szCs w:val="20"/>
          <w:lang w:val="pt-BR"/>
        </w:rPr>
        <w:t>q</w:t>
      </w:r>
      <w:r w:rsidRPr="00C40BD9">
        <w:rPr>
          <w:rFonts w:ascii="Verdana" w:hAnsi="Verdana"/>
          <w:sz w:val="20"/>
          <w:szCs w:val="20"/>
          <w:lang w:val="pt-BR"/>
        </w:rPr>
        <w:t>uada tra</w:t>
      </w:r>
      <w:r w:rsidR="004A13CC" w:rsidRPr="00C40BD9">
        <w:rPr>
          <w:rFonts w:ascii="Verdana" w:hAnsi="Verdana"/>
          <w:sz w:val="20"/>
          <w:szCs w:val="20"/>
          <w:lang w:val="pt-BR"/>
        </w:rPr>
        <w:t>z</w:t>
      </w:r>
      <w:r w:rsidRPr="00C40BD9">
        <w:rPr>
          <w:rFonts w:ascii="Verdana" w:hAnsi="Verdana"/>
          <w:sz w:val="20"/>
          <w:szCs w:val="20"/>
          <w:lang w:val="pt-BR"/>
        </w:rPr>
        <w:t xml:space="preserve"> como conse</w:t>
      </w:r>
      <w:r w:rsidR="004A13CC" w:rsidRPr="00C40BD9">
        <w:rPr>
          <w:rFonts w:ascii="Verdana" w:hAnsi="Verdana"/>
          <w:sz w:val="20"/>
          <w:szCs w:val="20"/>
          <w:lang w:val="pt-BR"/>
        </w:rPr>
        <w:t xml:space="preserve">quência a </w:t>
      </w:r>
      <w:r w:rsidRPr="00C40BD9">
        <w:rPr>
          <w:rFonts w:ascii="Verdana" w:hAnsi="Verdana"/>
          <w:sz w:val="20"/>
          <w:szCs w:val="20"/>
          <w:lang w:val="pt-BR"/>
        </w:rPr>
        <w:t>impos</w:t>
      </w:r>
      <w:r w:rsidR="004A13CC" w:rsidRPr="00C40BD9">
        <w:rPr>
          <w:rFonts w:ascii="Verdana" w:hAnsi="Verdana"/>
          <w:sz w:val="20"/>
          <w:szCs w:val="20"/>
          <w:lang w:val="pt-BR"/>
        </w:rPr>
        <w:t>s</w:t>
      </w:r>
      <w:r w:rsidRPr="00C40BD9">
        <w:rPr>
          <w:rFonts w:ascii="Verdana" w:hAnsi="Verdana"/>
          <w:sz w:val="20"/>
          <w:szCs w:val="20"/>
          <w:lang w:val="pt-BR"/>
        </w:rPr>
        <w:t>ibilidad</w:t>
      </w:r>
      <w:r w:rsidR="004A13CC" w:rsidRPr="00C40BD9">
        <w:rPr>
          <w:rFonts w:ascii="Verdana" w:hAnsi="Verdana"/>
          <w:sz w:val="20"/>
          <w:szCs w:val="20"/>
          <w:lang w:val="pt-BR"/>
        </w:rPr>
        <w:t>e</w:t>
      </w:r>
      <w:r w:rsidRPr="00C40BD9">
        <w:rPr>
          <w:rFonts w:ascii="Verdana" w:hAnsi="Verdana"/>
          <w:sz w:val="20"/>
          <w:szCs w:val="20"/>
          <w:lang w:val="pt-BR"/>
        </w:rPr>
        <w:t xml:space="preserve"> de realizar </w:t>
      </w:r>
      <w:r w:rsidR="004A13CC" w:rsidRPr="00C40BD9">
        <w:rPr>
          <w:rFonts w:ascii="Verdana" w:hAnsi="Verdana"/>
          <w:sz w:val="20"/>
          <w:szCs w:val="20"/>
          <w:lang w:val="pt-BR"/>
        </w:rPr>
        <w:t xml:space="preserve">o pagamento </w:t>
      </w:r>
      <w:r w:rsidR="00C06A9B" w:rsidRPr="00C40BD9">
        <w:rPr>
          <w:rFonts w:ascii="Verdana" w:hAnsi="Verdana"/>
          <w:sz w:val="20"/>
          <w:szCs w:val="20"/>
          <w:lang w:val="pt-BR"/>
        </w:rPr>
        <w:t xml:space="preserve">das </w:t>
      </w:r>
      <w:r w:rsidRPr="00C40BD9">
        <w:rPr>
          <w:rFonts w:ascii="Verdana" w:hAnsi="Verdana"/>
          <w:sz w:val="20"/>
          <w:szCs w:val="20"/>
          <w:lang w:val="pt-BR"/>
        </w:rPr>
        <w:t>indeniza</w:t>
      </w:r>
      <w:r w:rsidR="00F633DD" w:rsidRPr="00C40BD9">
        <w:rPr>
          <w:rFonts w:ascii="Verdana" w:hAnsi="Verdana"/>
          <w:sz w:val="20"/>
          <w:szCs w:val="20"/>
          <w:lang w:val="pt-BR"/>
        </w:rPr>
        <w:t>ções</w:t>
      </w:r>
      <w:r w:rsidRPr="00C40BD9">
        <w:rPr>
          <w:rFonts w:ascii="Verdana" w:hAnsi="Verdana"/>
          <w:sz w:val="20"/>
          <w:szCs w:val="20"/>
          <w:lang w:val="pt-BR"/>
        </w:rPr>
        <w:t xml:space="preserve">. </w:t>
      </w:r>
      <w:r w:rsidR="006900B1" w:rsidRPr="00C40BD9">
        <w:rPr>
          <w:rFonts w:ascii="Verdana" w:hAnsi="Verdana"/>
          <w:sz w:val="20"/>
          <w:szCs w:val="20"/>
          <w:lang w:val="pt-BR"/>
        </w:rPr>
        <w:t>Argument</w:t>
      </w:r>
      <w:r w:rsidR="004A13CC" w:rsidRPr="00C40BD9">
        <w:rPr>
          <w:rFonts w:ascii="Verdana" w:hAnsi="Verdana"/>
          <w:sz w:val="20"/>
          <w:szCs w:val="20"/>
          <w:lang w:val="pt-BR"/>
        </w:rPr>
        <w:t xml:space="preserve">ou que não </w:t>
      </w:r>
      <w:r w:rsidR="006900B1" w:rsidRPr="00C40BD9">
        <w:rPr>
          <w:rFonts w:ascii="Verdana" w:hAnsi="Verdana"/>
          <w:sz w:val="20"/>
          <w:szCs w:val="20"/>
          <w:lang w:val="pt-BR"/>
        </w:rPr>
        <w:t>basta a formalidad</w:t>
      </w:r>
      <w:r w:rsidR="004A13CC" w:rsidRPr="00C40BD9">
        <w:rPr>
          <w:rFonts w:ascii="Verdana" w:hAnsi="Verdana"/>
          <w:sz w:val="20"/>
          <w:szCs w:val="20"/>
          <w:lang w:val="pt-BR"/>
        </w:rPr>
        <w:t>e</w:t>
      </w:r>
      <w:r w:rsidR="006900B1" w:rsidRPr="00C40BD9">
        <w:rPr>
          <w:rFonts w:ascii="Verdana" w:hAnsi="Verdana"/>
          <w:sz w:val="20"/>
          <w:szCs w:val="20"/>
          <w:lang w:val="pt-BR"/>
        </w:rPr>
        <w:t xml:space="preserve"> </w:t>
      </w:r>
      <w:r w:rsidR="00F633DD" w:rsidRPr="00C40BD9">
        <w:rPr>
          <w:rFonts w:ascii="Verdana" w:hAnsi="Verdana"/>
          <w:sz w:val="20"/>
          <w:szCs w:val="20"/>
          <w:lang w:val="pt-BR"/>
        </w:rPr>
        <w:t xml:space="preserve">da </w:t>
      </w:r>
      <w:r w:rsidR="006900B1" w:rsidRPr="00C40BD9">
        <w:rPr>
          <w:rFonts w:ascii="Verdana" w:hAnsi="Verdana"/>
          <w:sz w:val="20"/>
          <w:szCs w:val="20"/>
          <w:lang w:val="pt-BR"/>
        </w:rPr>
        <w:t>representa</w:t>
      </w:r>
      <w:r w:rsidR="00F633DD" w:rsidRPr="00C40BD9">
        <w:rPr>
          <w:rFonts w:ascii="Verdana" w:hAnsi="Verdana"/>
          <w:sz w:val="20"/>
          <w:szCs w:val="20"/>
          <w:lang w:val="pt-BR"/>
        </w:rPr>
        <w:t>ção</w:t>
      </w:r>
      <w:r w:rsidR="006900B1" w:rsidRPr="00C40BD9">
        <w:rPr>
          <w:rFonts w:ascii="Verdana" w:hAnsi="Verdana"/>
          <w:sz w:val="20"/>
          <w:szCs w:val="20"/>
          <w:lang w:val="pt-BR"/>
        </w:rPr>
        <w:t xml:space="preserve">, </w:t>
      </w:r>
      <w:r w:rsidR="004A13CC" w:rsidRPr="00C40BD9">
        <w:rPr>
          <w:rFonts w:ascii="Verdana" w:hAnsi="Verdana"/>
          <w:sz w:val="20"/>
          <w:szCs w:val="20"/>
          <w:lang w:val="pt-BR"/>
        </w:rPr>
        <w:t xml:space="preserve">razão pela qual </w:t>
      </w:r>
      <w:r w:rsidR="00FE2C8B" w:rsidRPr="00C40BD9">
        <w:rPr>
          <w:rFonts w:ascii="Verdana" w:hAnsi="Verdana"/>
          <w:sz w:val="20"/>
          <w:szCs w:val="20"/>
          <w:lang w:val="pt-BR"/>
        </w:rPr>
        <w:t>existe</w:t>
      </w:r>
      <w:r w:rsidR="006900B1" w:rsidRPr="00C40BD9">
        <w:rPr>
          <w:rFonts w:ascii="Verdana" w:hAnsi="Verdana"/>
          <w:sz w:val="20"/>
          <w:szCs w:val="20"/>
          <w:lang w:val="pt-BR"/>
        </w:rPr>
        <w:t xml:space="preserve"> a nece</w:t>
      </w:r>
      <w:r w:rsidR="004A13CC" w:rsidRPr="00C40BD9">
        <w:rPr>
          <w:rFonts w:ascii="Verdana" w:hAnsi="Verdana"/>
          <w:sz w:val="20"/>
          <w:szCs w:val="20"/>
          <w:lang w:val="pt-BR"/>
        </w:rPr>
        <w:t>s</w:t>
      </w:r>
      <w:r w:rsidR="006900B1" w:rsidRPr="00C40BD9">
        <w:rPr>
          <w:rFonts w:ascii="Verdana" w:hAnsi="Verdana"/>
          <w:sz w:val="20"/>
          <w:szCs w:val="20"/>
          <w:lang w:val="pt-BR"/>
        </w:rPr>
        <w:t>sidad</w:t>
      </w:r>
      <w:r w:rsidR="004A13CC" w:rsidRPr="00C40BD9">
        <w:rPr>
          <w:rFonts w:ascii="Verdana" w:hAnsi="Verdana"/>
          <w:sz w:val="20"/>
          <w:szCs w:val="20"/>
          <w:lang w:val="pt-BR"/>
        </w:rPr>
        <w:t>e</w:t>
      </w:r>
      <w:r w:rsidR="006900B1" w:rsidRPr="00C40BD9">
        <w:rPr>
          <w:rFonts w:ascii="Verdana" w:hAnsi="Verdana"/>
          <w:sz w:val="20"/>
          <w:szCs w:val="20"/>
          <w:lang w:val="pt-BR"/>
        </w:rPr>
        <w:t xml:space="preserve"> de </w:t>
      </w:r>
      <w:r w:rsidR="004A13CC" w:rsidRPr="00C40BD9">
        <w:rPr>
          <w:rFonts w:ascii="Verdana" w:hAnsi="Verdana"/>
          <w:sz w:val="20"/>
          <w:szCs w:val="20"/>
          <w:lang w:val="pt-BR"/>
        </w:rPr>
        <w:t xml:space="preserve">concessão </w:t>
      </w:r>
      <w:r w:rsidR="006900B1" w:rsidRPr="00C40BD9">
        <w:rPr>
          <w:rFonts w:ascii="Verdana" w:hAnsi="Verdana"/>
          <w:sz w:val="20"/>
          <w:szCs w:val="20"/>
          <w:lang w:val="pt-BR"/>
        </w:rPr>
        <w:t xml:space="preserve">de </w:t>
      </w:r>
      <w:r w:rsidR="00FE2C8B" w:rsidRPr="00C40BD9">
        <w:rPr>
          <w:rFonts w:ascii="Verdana" w:hAnsi="Verdana"/>
          <w:sz w:val="20"/>
          <w:szCs w:val="20"/>
          <w:lang w:val="pt-BR"/>
        </w:rPr>
        <w:t>poderes de representa</w:t>
      </w:r>
      <w:r w:rsidR="00F633DD" w:rsidRPr="00C40BD9">
        <w:rPr>
          <w:rFonts w:ascii="Verdana" w:hAnsi="Verdana"/>
          <w:sz w:val="20"/>
          <w:szCs w:val="20"/>
          <w:lang w:val="pt-BR"/>
        </w:rPr>
        <w:t>ção</w:t>
      </w:r>
      <w:r w:rsidR="00FE2C8B" w:rsidRPr="00C40BD9">
        <w:rPr>
          <w:rFonts w:ascii="Verdana" w:hAnsi="Verdana"/>
          <w:sz w:val="20"/>
          <w:szCs w:val="20"/>
          <w:lang w:val="pt-BR"/>
        </w:rPr>
        <w:t xml:space="preserve"> por parte </w:t>
      </w:r>
      <w:r w:rsidR="00C06A9B" w:rsidRPr="00C40BD9">
        <w:rPr>
          <w:rFonts w:ascii="Verdana" w:hAnsi="Verdana"/>
          <w:sz w:val="20"/>
          <w:szCs w:val="20"/>
          <w:lang w:val="pt-BR"/>
        </w:rPr>
        <w:t>das vítimas</w:t>
      </w:r>
      <w:r w:rsidR="00DE316A">
        <w:rPr>
          <w:rFonts w:ascii="Verdana" w:hAnsi="Verdana"/>
          <w:sz w:val="20"/>
          <w:szCs w:val="20"/>
          <w:lang w:val="pt-BR"/>
        </w:rPr>
        <w:t xml:space="preserve"> </w:t>
      </w:r>
      <w:r w:rsidR="00F633DD" w:rsidRPr="00C40BD9">
        <w:rPr>
          <w:rFonts w:ascii="Verdana" w:hAnsi="Verdana"/>
          <w:sz w:val="20"/>
          <w:szCs w:val="20"/>
          <w:lang w:val="pt-BR"/>
        </w:rPr>
        <w:t>e</w:t>
      </w:r>
      <w:r w:rsidR="00DE316A">
        <w:rPr>
          <w:rFonts w:ascii="Verdana" w:hAnsi="Verdana"/>
          <w:sz w:val="20"/>
          <w:szCs w:val="20"/>
          <w:lang w:val="pt-BR"/>
        </w:rPr>
        <w:t xml:space="preserve"> </w:t>
      </w:r>
      <w:r w:rsidR="006900B1" w:rsidRPr="00C40BD9">
        <w:rPr>
          <w:rFonts w:ascii="Verdana" w:hAnsi="Verdana"/>
          <w:sz w:val="20"/>
          <w:szCs w:val="20"/>
          <w:lang w:val="pt-BR"/>
        </w:rPr>
        <w:t xml:space="preserve">familiares. </w:t>
      </w:r>
      <w:r w:rsidRPr="00C40BD9">
        <w:rPr>
          <w:rFonts w:ascii="Verdana" w:hAnsi="Verdana"/>
          <w:sz w:val="20"/>
          <w:szCs w:val="20"/>
          <w:lang w:val="pt-BR"/>
        </w:rPr>
        <w:t>A</w:t>
      </w:r>
      <w:r w:rsidR="004A13CC" w:rsidRPr="00C40BD9">
        <w:rPr>
          <w:rFonts w:ascii="Verdana" w:hAnsi="Verdana"/>
          <w:sz w:val="20"/>
          <w:szCs w:val="20"/>
          <w:lang w:val="pt-BR"/>
        </w:rPr>
        <w:t xml:space="preserve">lém </w:t>
      </w:r>
      <w:r w:rsidRPr="00C40BD9">
        <w:rPr>
          <w:rFonts w:ascii="Verdana" w:hAnsi="Verdana"/>
          <w:sz w:val="20"/>
          <w:szCs w:val="20"/>
          <w:lang w:val="pt-BR"/>
        </w:rPr>
        <w:t>d</w:t>
      </w:r>
      <w:r w:rsidR="004A13CC" w:rsidRPr="00C40BD9">
        <w:rPr>
          <w:rFonts w:ascii="Verdana" w:hAnsi="Verdana"/>
          <w:sz w:val="20"/>
          <w:szCs w:val="20"/>
          <w:lang w:val="pt-BR"/>
        </w:rPr>
        <w:t>isso</w:t>
      </w:r>
      <w:r w:rsidR="00B44952" w:rsidRPr="00C40BD9">
        <w:rPr>
          <w:rFonts w:ascii="Verdana" w:hAnsi="Verdana"/>
          <w:sz w:val="20"/>
          <w:szCs w:val="20"/>
          <w:lang w:val="pt-BR"/>
        </w:rPr>
        <w:t>,</w:t>
      </w:r>
      <w:r w:rsidRPr="00C40BD9">
        <w:rPr>
          <w:rFonts w:ascii="Verdana" w:hAnsi="Verdana"/>
          <w:sz w:val="20"/>
          <w:szCs w:val="20"/>
          <w:lang w:val="pt-BR"/>
        </w:rPr>
        <w:t xml:space="preserve"> consider</w:t>
      </w:r>
      <w:r w:rsidR="004A13CC" w:rsidRPr="00C40BD9">
        <w:rPr>
          <w:rFonts w:ascii="Verdana" w:hAnsi="Verdana"/>
          <w:sz w:val="20"/>
          <w:szCs w:val="20"/>
          <w:lang w:val="pt-BR"/>
        </w:rPr>
        <w:t xml:space="preserve">ou necessário que </w:t>
      </w:r>
      <w:r w:rsidR="00036A1B" w:rsidRPr="00C40BD9">
        <w:rPr>
          <w:rFonts w:ascii="Verdana" w:hAnsi="Verdana"/>
          <w:sz w:val="20"/>
          <w:szCs w:val="20"/>
          <w:lang w:val="pt-BR"/>
        </w:rPr>
        <w:t xml:space="preserve">a Corte </w:t>
      </w:r>
      <w:r w:rsidRPr="00C40BD9">
        <w:rPr>
          <w:rFonts w:ascii="Verdana" w:hAnsi="Verdana"/>
          <w:sz w:val="20"/>
          <w:szCs w:val="20"/>
          <w:lang w:val="pt-BR"/>
        </w:rPr>
        <w:t xml:space="preserve">explique as </w:t>
      </w:r>
      <w:r w:rsidR="004A13CC" w:rsidRPr="00C40BD9">
        <w:rPr>
          <w:rFonts w:ascii="Verdana" w:hAnsi="Verdana"/>
          <w:sz w:val="20"/>
          <w:szCs w:val="20"/>
          <w:lang w:val="pt-BR"/>
        </w:rPr>
        <w:t>razões</w:t>
      </w:r>
      <w:r w:rsidR="00DE316A">
        <w:rPr>
          <w:rFonts w:ascii="Verdana" w:hAnsi="Verdana"/>
          <w:sz w:val="20"/>
          <w:szCs w:val="20"/>
          <w:lang w:val="pt-BR"/>
        </w:rPr>
        <w:t xml:space="preserve"> </w:t>
      </w:r>
      <w:r w:rsidRPr="00C40BD9">
        <w:rPr>
          <w:rFonts w:ascii="Verdana" w:hAnsi="Verdana"/>
          <w:sz w:val="20"/>
          <w:szCs w:val="20"/>
          <w:lang w:val="pt-BR"/>
        </w:rPr>
        <w:t xml:space="preserve">que </w:t>
      </w:r>
      <w:r w:rsidR="00BD050D" w:rsidRPr="00C40BD9">
        <w:rPr>
          <w:rFonts w:ascii="Verdana" w:hAnsi="Verdana"/>
          <w:sz w:val="20"/>
          <w:szCs w:val="20"/>
          <w:lang w:val="pt-BR"/>
        </w:rPr>
        <w:t xml:space="preserve">fazem do </w:t>
      </w:r>
      <w:r w:rsidRPr="00C40BD9">
        <w:rPr>
          <w:rFonts w:ascii="Verdana" w:hAnsi="Verdana"/>
          <w:sz w:val="20"/>
          <w:szCs w:val="20"/>
          <w:lang w:val="pt-BR"/>
        </w:rPr>
        <w:t xml:space="preserve">CEJIL </w:t>
      </w:r>
      <w:r w:rsidR="00F633DD" w:rsidRPr="00C40BD9">
        <w:rPr>
          <w:rFonts w:ascii="Verdana" w:hAnsi="Verdana"/>
          <w:sz w:val="20"/>
          <w:szCs w:val="20"/>
          <w:lang w:val="pt-BR"/>
        </w:rPr>
        <w:t>e</w:t>
      </w:r>
      <w:r w:rsidR="00DE316A">
        <w:rPr>
          <w:rFonts w:ascii="Verdana" w:hAnsi="Verdana"/>
          <w:sz w:val="20"/>
          <w:szCs w:val="20"/>
          <w:lang w:val="pt-BR"/>
        </w:rPr>
        <w:t xml:space="preserve"> </w:t>
      </w:r>
      <w:r w:rsidRPr="00C40BD9">
        <w:rPr>
          <w:rFonts w:ascii="Verdana" w:hAnsi="Verdana"/>
          <w:sz w:val="20"/>
          <w:szCs w:val="20"/>
          <w:lang w:val="pt-BR"/>
        </w:rPr>
        <w:t>d</w:t>
      </w:r>
      <w:r w:rsidR="00BD050D" w:rsidRPr="00C40BD9">
        <w:rPr>
          <w:rFonts w:ascii="Verdana" w:hAnsi="Verdana"/>
          <w:sz w:val="20"/>
          <w:szCs w:val="20"/>
          <w:lang w:val="pt-BR"/>
        </w:rPr>
        <w:t>o</w:t>
      </w:r>
      <w:r w:rsidRPr="00C40BD9">
        <w:rPr>
          <w:rFonts w:ascii="Verdana" w:hAnsi="Verdana"/>
          <w:sz w:val="20"/>
          <w:szCs w:val="20"/>
          <w:lang w:val="pt-BR"/>
        </w:rPr>
        <w:t xml:space="preserve"> ISER representantes </w:t>
      </w:r>
      <w:r w:rsidR="00BD050D" w:rsidRPr="00C40BD9">
        <w:rPr>
          <w:rFonts w:ascii="Verdana" w:hAnsi="Verdana"/>
          <w:sz w:val="20"/>
          <w:szCs w:val="20"/>
          <w:lang w:val="pt-BR"/>
        </w:rPr>
        <w:t>razoáveis</w:t>
      </w:r>
      <w:r w:rsidR="00DE316A">
        <w:rPr>
          <w:rFonts w:ascii="Verdana" w:hAnsi="Verdana"/>
          <w:sz w:val="20"/>
          <w:szCs w:val="20"/>
          <w:lang w:val="pt-BR"/>
        </w:rPr>
        <w:t xml:space="preserve"> </w:t>
      </w:r>
      <w:r w:rsidR="00C06A9B" w:rsidRPr="00C40BD9">
        <w:rPr>
          <w:rFonts w:ascii="Verdana" w:hAnsi="Verdana"/>
          <w:sz w:val="20"/>
          <w:szCs w:val="20"/>
          <w:lang w:val="pt-BR"/>
        </w:rPr>
        <w:t>das vítimas</w:t>
      </w:r>
      <w:r w:rsidR="00DE316A">
        <w:rPr>
          <w:rFonts w:ascii="Verdana" w:hAnsi="Verdana"/>
          <w:sz w:val="20"/>
          <w:szCs w:val="20"/>
          <w:lang w:val="pt-BR"/>
        </w:rPr>
        <w:t xml:space="preserve"> </w:t>
      </w:r>
      <w:r w:rsidRPr="00C40BD9">
        <w:rPr>
          <w:rFonts w:ascii="Verdana" w:hAnsi="Verdana"/>
          <w:sz w:val="20"/>
          <w:szCs w:val="20"/>
          <w:lang w:val="pt-BR"/>
        </w:rPr>
        <w:t>d</w:t>
      </w:r>
      <w:r w:rsidR="00BD050D" w:rsidRPr="00C40BD9">
        <w:rPr>
          <w:rFonts w:ascii="Verdana" w:hAnsi="Verdana"/>
          <w:sz w:val="20"/>
          <w:szCs w:val="20"/>
          <w:lang w:val="pt-BR"/>
        </w:rPr>
        <w:t>o</w:t>
      </w:r>
      <w:r w:rsidRPr="00C40BD9">
        <w:rPr>
          <w:rFonts w:ascii="Verdana" w:hAnsi="Verdana"/>
          <w:sz w:val="20"/>
          <w:szCs w:val="20"/>
          <w:lang w:val="pt-BR"/>
        </w:rPr>
        <w:t xml:space="preserve"> presente caso</w:t>
      </w:r>
      <w:r w:rsidR="00720C21" w:rsidRPr="00C40BD9">
        <w:rPr>
          <w:rFonts w:ascii="Verdana" w:hAnsi="Verdana"/>
          <w:sz w:val="20"/>
          <w:szCs w:val="20"/>
          <w:lang w:val="pt-BR"/>
        </w:rPr>
        <w:t xml:space="preserve">, </w:t>
      </w:r>
      <w:r w:rsidR="00BD050D" w:rsidRPr="00C40BD9">
        <w:rPr>
          <w:rFonts w:ascii="Verdana" w:hAnsi="Verdana"/>
          <w:sz w:val="20"/>
          <w:szCs w:val="20"/>
          <w:lang w:val="pt-BR"/>
        </w:rPr>
        <w:t xml:space="preserve">levando em conta que não possuem um </w:t>
      </w:r>
      <w:r w:rsidR="00720C21" w:rsidRPr="00C40BD9">
        <w:rPr>
          <w:rFonts w:ascii="Verdana" w:hAnsi="Verdana"/>
          <w:sz w:val="20"/>
          <w:szCs w:val="20"/>
          <w:lang w:val="pt-BR"/>
        </w:rPr>
        <w:t xml:space="preserve">instrumento jurídico formal que </w:t>
      </w:r>
      <w:r w:rsidR="00BD050D" w:rsidRPr="00C40BD9">
        <w:rPr>
          <w:rFonts w:ascii="Verdana" w:hAnsi="Verdana"/>
          <w:sz w:val="20"/>
          <w:szCs w:val="20"/>
          <w:lang w:val="pt-BR"/>
        </w:rPr>
        <w:t xml:space="preserve">prove a </w:t>
      </w:r>
      <w:r w:rsidR="00720C21" w:rsidRPr="00C40BD9">
        <w:rPr>
          <w:rFonts w:ascii="Verdana" w:hAnsi="Verdana"/>
          <w:sz w:val="20"/>
          <w:szCs w:val="20"/>
          <w:lang w:val="pt-BR"/>
        </w:rPr>
        <w:t>rela</w:t>
      </w:r>
      <w:r w:rsidR="00F633DD" w:rsidRPr="00C40BD9">
        <w:rPr>
          <w:rFonts w:ascii="Verdana" w:hAnsi="Verdana"/>
          <w:sz w:val="20"/>
          <w:szCs w:val="20"/>
          <w:lang w:val="pt-BR"/>
        </w:rPr>
        <w:t>ção</w:t>
      </w:r>
      <w:r w:rsidR="00720C21" w:rsidRPr="00C40BD9">
        <w:rPr>
          <w:rFonts w:ascii="Verdana" w:hAnsi="Verdana"/>
          <w:sz w:val="20"/>
          <w:szCs w:val="20"/>
          <w:lang w:val="pt-BR"/>
        </w:rPr>
        <w:t xml:space="preserve"> afetiva o</w:t>
      </w:r>
      <w:r w:rsidR="00BD050D" w:rsidRPr="00C40BD9">
        <w:rPr>
          <w:rFonts w:ascii="Verdana" w:hAnsi="Verdana"/>
          <w:sz w:val="20"/>
          <w:szCs w:val="20"/>
          <w:lang w:val="pt-BR"/>
        </w:rPr>
        <w:t>u</w:t>
      </w:r>
      <w:r w:rsidR="00720C21" w:rsidRPr="00C40BD9">
        <w:rPr>
          <w:rFonts w:ascii="Verdana" w:hAnsi="Verdana"/>
          <w:sz w:val="20"/>
          <w:szCs w:val="20"/>
          <w:lang w:val="pt-BR"/>
        </w:rPr>
        <w:t xml:space="preserve"> familiar co</w:t>
      </w:r>
      <w:r w:rsidR="00BD050D" w:rsidRPr="00C40BD9">
        <w:rPr>
          <w:rFonts w:ascii="Verdana" w:hAnsi="Verdana"/>
          <w:sz w:val="20"/>
          <w:szCs w:val="20"/>
          <w:lang w:val="pt-BR"/>
        </w:rPr>
        <w:t xml:space="preserve">m as </w:t>
      </w:r>
      <w:r w:rsidR="00C06A9B" w:rsidRPr="00C40BD9">
        <w:rPr>
          <w:rFonts w:ascii="Verdana" w:hAnsi="Verdana"/>
          <w:sz w:val="20"/>
          <w:szCs w:val="20"/>
          <w:lang w:val="pt-BR"/>
        </w:rPr>
        <w:t>vítimas</w:t>
      </w:r>
      <w:r w:rsidR="00BD050D" w:rsidRPr="00C40BD9">
        <w:rPr>
          <w:rFonts w:ascii="Verdana" w:hAnsi="Verdana"/>
          <w:sz w:val="20"/>
          <w:szCs w:val="20"/>
          <w:lang w:val="pt-BR"/>
        </w:rPr>
        <w:t>.</w:t>
      </w:r>
      <w:r w:rsidR="00DE316A">
        <w:rPr>
          <w:rFonts w:ascii="Verdana" w:hAnsi="Verdana"/>
          <w:sz w:val="20"/>
          <w:szCs w:val="20"/>
          <w:lang w:val="pt-BR"/>
        </w:rPr>
        <w:t xml:space="preserve"> </w:t>
      </w:r>
    </w:p>
    <w:p w:rsidR="0028163D" w:rsidRPr="00C40BD9" w:rsidRDefault="0028163D" w:rsidP="00A82FB4">
      <w:pPr>
        <w:pStyle w:val="ListParagraph"/>
        <w:spacing w:after="0" w:line="240" w:lineRule="auto"/>
        <w:ind w:left="0"/>
        <w:jc w:val="both"/>
        <w:rPr>
          <w:rFonts w:ascii="Verdana" w:hAnsi="Verdana"/>
          <w:sz w:val="20"/>
          <w:szCs w:val="20"/>
          <w:lang w:val="pt-BR"/>
        </w:rPr>
      </w:pPr>
    </w:p>
    <w:p w:rsidR="0074017B" w:rsidRPr="00C40BD9" w:rsidRDefault="00BD050D" w:rsidP="00A82FB4">
      <w:pPr>
        <w:pStyle w:val="ListParagraph"/>
        <w:numPr>
          <w:ilvl w:val="0"/>
          <w:numId w:val="2"/>
        </w:numPr>
        <w:tabs>
          <w:tab w:val="clear" w:pos="1247"/>
        </w:tabs>
        <w:spacing w:after="0" w:line="240" w:lineRule="auto"/>
        <w:jc w:val="both"/>
        <w:rPr>
          <w:rFonts w:ascii="Verdana" w:hAnsi="Verdana"/>
          <w:b/>
          <w:iCs/>
          <w:sz w:val="20"/>
          <w:szCs w:val="20"/>
          <w:lang w:val="pt-BR"/>
        </w:rPr>
      </w:pPr>
      <w:r w:rsidRPr="00C40BD9">
        <w:rPr>
          <w:rFonts w:ascii="Verdana" w:hAnsi="Verdana"/>
          <w:sz w:val="20"/>
          <w:szCs w:val="20"/>
          <w:lang w:val="pt-BR"/>
        </w:rPr>
        <w:t>Os</w:t>
      </w:r>
      <w:r w:rsidR="0074017B" w:rsidRPr="00C40BD9">
        <w:rPr>
          <w:rFonts w:ascii="Verdana" w:hAnsi="Verdana"/>
          <w:sz w:val="20"/>
          <w:szCs w:val="20"/>
          <w:lang w:val="pt-BR"/>
        </w:rPr>
        <w:t xml:space="preserve"> </w:t>
      </w:r>
      <w:r w:rsidR="0074017B" w:rsidRPr="00C40BD9">
        <w:rPr>
          <w:rFonts w:ascii="Verdana" w:hAnsi="Verdana"/>
          <w:b/>
          <w:i/>
          <w:sz w:val="20"/>
          <w:szCs w:val="20"/>
          <w:lang w:val="pt-BR"/>
        </w:rPr>
        <w:t>representantes</w:t>
      </w:r>
      <w:r w:rsidR="0074017B" w:rsidRPr="00C40BD9">
        <w:rPr>
          <w:rFonts w:ascii="Verdana" w:hAnsi="Verdana"/>
          <w:sz w:val="20"/>
          <w:szCs w:val="20"/>
          <w:lang w:val="pt-BR"/>
        </w:rPr>
        <w:t xml:space="preserve"> afirmar</w:t>
      </w:r>
      <w:r w:rsidRPr="00C40BD9">
        <w:rPr>
          <w:rFonts w:ascii="Verdana" w:hAnsi="Verdana"/>
          <w:sz w:val="20"/>
          <w:szCs w:val="20"/>
          <w:lang w:val="pt-BR"/>
        </w:rPr>
        <w:t xml:space="preserve">am que a </w:t>
      </w:r>
      <w:r w:rsidR="00937A5D" w:rsidRPr="00C40BD9">
        <w:rPr>
          <w:rFonts w:ascii="Verdana" w:hAnsi="Verdana"/>
          <w:iCs/>
          <w:sz w:val="20"/>
          <w:szCs w:val="20"/>
          <w:lang w:val="pt-BR"/>
        </w:rPr>
        <w:t>argumenta</w:t>
      </w:r>
      <w:r w:rsidR="00F633DD" w:rsidRPr="00C40BD9">
        <w:rPr>
          <w:rFonts w:ascii="Verdana" w:hAnsi="Verdana"/>
          <w:iCs/>
          <w:sz w:val="20"/>
          <w:szCs w:val="20"/>
          <w:lang w:val="pt-BR"/>
        </w:rPr>
        <w:t>ção</w:t>
      </w:r>
      <w:r w:rsidR="00937A5D" w:rsidRPr="00C40BD9">
        <w:rPr>
          <w:rFonts w:ascii="Verdana" w:hAnsi="Verdana"/>
          <w:iCs/>
          <w:sz w:val="20"/>
          <w:szCs w:val="20"/>
          <w:lang w:val="pt-BR"/>
        </w:rPr>
        <w:t xml:space="preserve"> </w:t>
      </w:r>
      <w:r w:rsidRPr="00C40BD9">
        <w:rPr>
          <w:rFonts w:ascii="Verdana" w:hAnsi="Verdana"/>
          <w:iCs/>
          <w:sz w:val="20"/>
          <w:szCs w:val="20"/>
          <w:lang w:val="pt-BR"/>
        </w:rPr>
        <w:t xml:space="preserve">desenvolvida </w:t>
      </w:r>
      <w:r w:rsidR="00036A1B" w:rsidRPr="00C40BD9">
        <w:rPr>
          <w:rFonts w:ascii="Verdana" w:hAnsi="Verdana"/>
          <w:sz w:val="20"/>
          <w:szCs w:val="20"/>
          <w:lang w:val="pt-BR"/>
        </w:rPr>
        <w:t xml:space="preserve">pelo </w:t>
      </w:r>
      <w:r w:rsidR="00937A5D" w:rsidRPr="00C40BD9">
        <w:rPr>
          <w:rFonts w:ascii="Verdana" w:hAnsi="Verdana"/>
          <w:sz w:val="20"/>
          <w:szCs w:val="20"/>
          <w:lang w:val="pt-BR"/>
        </w:rPr>
        <w:t>Estado</w:t>
      </w:r>
      <w:r w:rsidR="00DE316A">
        <w:rPr>
          <w:rFonts w:ascii="Verdana" w:hAnsi="Verdana"/>
          <w:sz w:val="20"/>
          <w:szCs w:val="20"/>
          <w:lang w:val="pt-BR"/>
        </w:rPr>
        <w:t xml:space="preserve"> </w:t>
      </w:r>
      <w:r w:rsidRPr="00C40BD9">
        <w:rPr>
          <w:rFonts w:ascii="Verdana" w:hAnsi="Verdana"/>
          <w:sz w:val="20"/>
          <w:szCs w:val="20"/>
          <w:lang w:val="pt-BR"/>
        </w:rPr>
        <w:t xml:space="preserve">já foi </w:t>
      </w:r>
      <w:r w:rsidR="00B44952" w:rsidRPr="00C40BD9">
        <w:rPr>
          <w:rFonts w:ascii="Verdana" w:hAnsi="Verdana"/>
          <w:iCs/>
          <w:sz w:val="20"/>
          <w:szCs w:val="20"/>
          <w:lang w:val="pt-BR"/>
        </w:rPr>
        <w:t xml:space="preserve">debatida </w:t>
      </w:r>
      <w:r w:rsidR="00F633DD" w:rsidRPr="00C40BD9">
        <w:rPr>
          <w:rFonts w:ascii="Verdana" w:hAnsi="Verdana"/>
          <w:iCs/>
          <w:sz w:val="20"/>
          <w:szCs w:val="20"/>
          <w:lang w:val="pt-BR"/>
        </w:rPr>
        <w:t>e</w:t>
      </w:r>
      <w:r w:rsidR="00DE316A">
        <w:rPr>
          <w:rFonts w:ascii="Verdana" w:hAnsi="Verdana"/>
          <w:iCs/>
          <w:sz w:val="20"/>
          <w:szCs w:val="20"/>
          <w:lang w:val="pt-BR"/>
        </w:rPr>
        <w:t xml:space="preserve"> </w:t>
      </w:r>
      <w:r w:rsidR="00B44952" w:rsidRPr="00C40BD9">
        <w:rPr>
          <w:rFonts w:ascii="Verdana" w:hAnsi="Verdana"/>
          <w:iCs/>
          <w:sz w:val="20"/>
          <w:szCs w:val="20"/>
          <w:lang w:val="pt-BR"/>
        </w:rPr>
        <w:t>res</w:t>
      </w:r>
      <w:r w:rsidRPr="00C40BD9">
        <w:rPr>
          <w:rFonts w:ascii="Verdana" w:hAnsi="Verdana"/>
          <w:iCs/>
          <w:sz w:val="20"/>
          <w:szCs w:val="20"/>
          <w:lang w:val="pt-BR"/>
        </w:rPr>
        <w:t xml:space="preserve">olvida </w:t>
      </w:r>
      <w:r w:rsidR="000814BE" w:rsidRPr="00C40BD9">
        <w:rPr>
          <w:rFonts w:ascii="Verdana" w:hAnsi="Verdana"/>
          <w:iCs/>
          <w:sz w:val="20"/>
          <w:szCs w:val="20"/>
          <w:lang w:val="pt-BR"/>
        </w:rPr>
        <w:t xml:space="preserve">na </w:t>
      </w:r>
      <w:r w:rsidR="0074017B" w:rsidRPr="00C40BD9">
        <w:rPr>
          <w:rFonts w:ascii="Verdana" w:hAnsi="Verdana"/>
          <w:iCs/>
          <w:sz w:val="20"/>
          <w:szCs w:val="20"/>
          <w:lang w:val="pt-BR"/>
        </w:rPr>
        <w:t>etapa proces</w:t>
      </w:r>
      <w:r w:rsidRPr="00C40BD9">
        <w:rPr>
          <w:rFonts w:ascii="Verdana" w:hAnsi="Verdana"/>
          <w:iCs/>
          <w:sz w:val="20"/>
          <w:szCs w:val="20"/>
          <w:lang w:val="pt-BR"/>
        </w:rPr>
        <w:t>su</w:t>
      </w:r>
      <w:r w:rsidR="0074017B" w:rsidRPr="00C40BD9">
        <w:rPr>
          <w:rFonts w:ascii="Verdana" w:hAnsi="Verdana"/>
          <w:iCs/>
          <w:sz w:val="20"/>
          <w:szCs w:val="20"/>
          <w:lang w:val="pt-BR"/>
        </w:rPr>
        <w:t xml:space="preserve">al oportuna. </w:t>
      </w:r>
      <w:r w:rsidRPr="00C40BD9">
        <w:rPr>
          <w:rFonts w:ascii="Verdana" w:hAnsi="Verdana"/>
          <w:iCs/>
          <w:sz w:val="20"/>
          <w:szCs w:val="20"/>
          <w:lang w:val="pt-BR"/>
        </w:rPr>
        <w:t xml:space="preserve">Também </w:t>
      </w:r>
      <w:r w:rsidR="0074017B" w:rsidRPr="00C40BD9">
        <w:rPr>
          <w:rFonts w:ascii="Verdana" w:hAnsi="Verdana"/>
          <w:iCs/>
          <w:sz w:val="20"/>
          <w:szCs w:val="20"/>
          <w:lang w:val="pt-BR"/>
        </w:rPr>
        <w:t>observar</w:t>
      </w:r>
      <w:r w:rsidRPr="00C40BD9">
        <w:rPr>
          <w:rFonts w:ascii="Verdana" w:hAnsi="Verdana"/>
          <w:iCs/>
          <w:sz w:val="20"/>
          <w:szCs w:val="20"/>
          <w:lang w:val="pt-BR"/>
        </w:rPr>
        <w:t xml:space="preserve">am que a </w:t>
      </w:r>
      <w:r w:rsidR="0074017B" w:rsidRPr="00C40BD9">
        <w:rPr>
          <w:rFonts w:ascii="Verdana" w:hAnsi="Verdana"/>
          <w:iCs/>
          <w:sz w:val="20"/>
          <w:szCs w:val="20"/>
          <w:lang w:val="pt-BR"/>
        </w:rPr>
        <w:t>representa</w:t>
      </w:r>
      <w:r w:rsidR="00F633DD" w:rsidRPr="00C40BD9">
        <w:rPr>
          <w:rFonts w:ascii="Verdana" w:hAnsi="Verdana"/>
          <w:iCs/>
          <w:sz w:val="20"/>
          <w:szCs w:val="20"/>
          <w:lang w:val="pt-BR"/>
        </w:rPr>
        <w:t>ção</w:t>
      </w:r>
      <w:r w:rsidR="0074017B" w:rsidRPr="00C40BD9">
        <w:rPr>
          <w:rFonts w:ascii="Verdana" w:hAnsi="Verdana"/>
          <w:iCs/>
          <w:sz w:val="20"/>
          <w:szCs w:val="20"/>
          <w:lang w:val="pt-BR"/>
        </w:rPr>
        <w:t xml:space="preserve"> legal formal </w:t>
      </w:r>
      <w:r w:rsidRPr="00C40BD9">
        <w:rPr>
          <w:rFonts w:ascii="Verdana" w:hAnsi="Verdana"/>
          <w:iCs/>
          <w:sz w:val="20"/>
          <w:szCs w:val="20"/>
          <w:lang w:val="pt-BR"/>
        </w:rPr>
        <w:t xml:space="preserve">não é uma exigência </w:t>
      </w:r>
      <w:r w:rsidR="00F633DD" w:rsidRPr="00C40BD9">
        <w:rPr>
          <w:rFonts w:ascii="Verdana" w:hAnsi="Verdana"/>
          <w:iCs/>
          <w:sz w:val="20"/>
          <w:szCs w:val="20"/>
          <w:lang w:val="pt-BR"/>
        </w:rPr>
        <w:t xml:space="preserve">da </w:t>
      </w:r>
      <w:r w:rsidR="00B44952" w:rsidRPr="00C40BD9">
        <w:rPr>
          <w:rFonts w:ascii="Verdana" w:hAnsi="Verdana"/>
          <w:iCs/>
          <w:sz w:val="20"/>
          <w:szCs w:val="20"/>
          <w:lang w:val="pt-BR"/>
        </w:rPr>
        <w:t>Conven</w:t>
      </w:r>
      <w:r w:rsidR="00F633DD" w:rsidRPr="00C40BD9">
        <w:rPr>
          <w:rFonts w:ascii="Verdana" w:hAnsi="Verdana"/>
          <w:iCs/>
          <w:sz w:val="20"/>
          <w:szCs w:val="20"/>
          <w:lang w:val="pt-BR"/>
        </w:rPr>
        <w:t>ção</w:t>
      </w:r>
      <w:r w:rsidR="00B44952" w:rsidRPr="00C40BD9">
        <w:rPr>
          <w:rFonts w:ascii="Verdana" w:hAnsi="Verdana"/>
          <w:iCs/>
          <w:sz w:val="20"/>
          <w:szCs w:val="20"/>
          <w:lang w:val="pt-BR"/>
        </w:rPr>
        <w:t xml:space="preserve"> Americana</w:t>
      </w:r>
      <w:r w:rsidR="0074017B" w:rsidRPr="00C40BD9">
        <w:rPr>
          <w:rFonts w:ascii="Verdana" w:hAnsi="Verdana"/>
          <w:iCs/>
          <w:sz w:val="20"/>
          <w:szCs w:val="20"/>
          <w:lang w:val="pt-BR"/>
        </w:rPr>
        <w:t xml:space="preserve">, </w:t>
      </w:r>
      <w:r w:rsidRPr="00C40BD9">
        <w:rPr>
          <w:rFonts w:ascii="Verdana" w:hAnsi="Verdana"/>
          <w:iCs/>
          <w:sz w:val="20"/>
          <w:szCs w:val="20"/>
          <w:lang w:val="pt-BR"/>
        </w:rPr>
        <w:t>nem dos r</w:t>
      </w:r>
      <w:r w:rsidR="0074017B" w:rsidRPr="00C40BD9">
        <w:rPr>
          <w:rFonts w:ascii="Verdana" w:hAnsi="Verdana"/>
          <w:iCs/>
          <w:sz w:val="20"/>
          <w:szCs w:val="20"/>
          <w:lang w:val="pt-BR"/>
        </w:rPr>
        <w:t>eg</w:t>
      </w:r>
      <w:r w:rsidRPr="00C40BD9">
        <w:rPr>
          <w:rFonts w:ascii="Verdana" w:hAnsi="Verdana"/>
          <w:iCs/>
          <w:sz w:val="20"/>
          <w:szCs w:val="20"/>
          <w:lang w:val="pt-BR"/>
        </w:rPr>
        <w:t>u</w:t>
      </w:r>
      <w:r w:rsidR="0074017B" w:rsidRPr="00C40BD9">
        <w:rPr>
          <w:rFonts w:ascii="Verdana" w:hAnsi="Verdana"/>
          <w:iCs/>
          <w:sz w:val="20"/>
          <w:szCs w:val="20"/>
          <w:lang w:val="pt-BR"/>
        </w:rPr>
        <w:t xml:space="preserve">lamentos </w:t>
      </w:r>
      <w:r w:rsidR="00F633DD" w:rsidRPr="00C40BD9">
        <w:rPr>
          <w:rFonts w:ascii="Verdana" w:hAnsi="Verdana"/>
          <w:iCs/>
          <w:sz w:val="20"/>
          <w:szCs w:val="20"/>
          <w:lang w:val="pt-BR"/>
        </w:rPr>
        <w:t xml:space="preserve">da </w:t>
      </w:r>
      <w:r w:rsidR="00C06A9B" w:rsidRPr="00C40BD9">
        <w:rPr>
          <w:rFonts w:ascii="Verdana" w:hAnsi="Verdana"/>
          <w:iCs/>
          <w:sz w:val="20"/>
          <w:szCs w:val="20"/>
          <w:lang w:val="pt-BR"/>
        </w:rPr>
        <w:t>Comissão</w:t>
      </w:r>
      <w:r w:rsidR="00DE316A">
        <w:rPr>
          <w:rFonts w:ascii="Verdana" w:hAnsi="Verdana"/>
          <w:iCs/>
          <w:sz w:val="20"/>
          <w:szCs w:val="20"/>
          <w:lang w:val="pt-BR"/>
        </w:rPr>
        <w:t xml:space="preserve"> </w:t>
      </w:r>
      <w:r w:rsidR="00B44952" w:rsidRPr="00C40BD9">
        <w:rPr>
          <w:rFonts w:ascii="Verdana" w:hAnsi="Verdana"/>
          <w:iCs/>
          <w:sz w:val="20"/>
          <w:szCs w:val="20"/>
          <w:lang w:val="pt-BR"/>
        </w:rPr>
        <w:t>o</w:t>
      </w:r>
      <w:r w:rsidRPr="00C40BD9">
        <w:rPr>
          <w:rFonts w:ascii="Verdana" w:hAnsi="Verdana"/>
          <w:iCs/>
          <w:sz w:val="20"/>
          <w:szCs w:val="20"/>
          <w:lang w:val="pt-BR"/>
        </w:rPr>
        <w:t>u</w:t>
      </w:r>
      <w:r w:rsidR="00B44952" w:rsidRPr="00C40BD9">
        <w:rPr>
          <w:rFonts w:ascii="Verdana" w:hAnsi="Verdana"/>
          <w:iCs/>
          <w:sz w:val="20"/>
          <w:szCs w:val="20"/>
          <w:lang w:val="pt-BR"/>
        </w:rPr>
        <w:t xml:space="preserve"> </w:t>
      </w:r>
      <w:r w:rsidR="00F633DD" w:rsidRPr="00C40BD9">
        <w:rPr>
          <w:rFonts w:ascii="Verdana" w:hAnsi="Verdana"/>
          <w:iCs/>
          <w:sz w:val="20"/>
          <w:szCs w:val="20"/>
          <w:lang w:val="pt-BR"/>
        </w:rPr>
        <w:t xml:space="preserve">da </w:t>
      </w:r>
      <w:r w:rsidR="00B44952" w:rsidRPr="00C40BD9">
        <w:rPr>
          <w:rFonts w:ascii="Verdana" w:hAnsi="Verdana"/>
          <w:iCs/>
          <w:sz w:val="20"/>
          <w:szCs w:val="20"/>
          <w:lang w:val="pt-BR"/>
        </w:rPr>
        <w:t>Corte</w:t>
      </w:r>
      <w:r w:rsidRPr="00C40BD9">
        <w:rPr>
          <w:rFonts w:ascii="Verdana" w:hAnsi="Verdana"/>
          <w:iCs/>
          <w:sz w:val="20"/>
          <w:szCs w:val="20"/>
          <w:lang w:val="pt-BR"/>
        </w:rPr>
        <w:t>,</w:t>
      </w:r>
      <w:r w:rsidR="0074017B" w:rsidRPr="00C40BD9">
        <w:rPr>
          <w:rFonts w:ascii="Verdana" w:hAnsi="Verdana"/>
          <w:iCs/>
          <w:sz w:val="20"/>
          <w:szCs w:val="20"/>
          <w:lang w:val="pt-BR"/>
        </w:rPr>
        <w:t xml:space="preserve"> </w:t>
      </w:r>
      <w:r w:rsidR="00F633DD" w:rsidRPr="00C40BD9">
        <w:rPr>
          <w:rFonts w:ascii="Verdana" w:hAnsi="Verdana"/>
          <w:iCs/>
          <w:sz w:val="20"/>
          <w:szCs w:val="20"/>
          <w:lang w:val="pt-BR"/>
        </w:rPr>
        <w:t>e</w:t>
      </w:r>
      <w:r w:rsidR="00DE316A">
        <w:rPr>
          <w:rFonts w:ascii="Verdana" w:hAnsi="Verdana"/>
          <w:iCs/>
          <w:sz w:val="20"/>
          <w:szCs w:val="20"/>
          <w:lang w:val="pt-BR"/>
        </w:rPr>
        <w:t xml:space="preserve"> </w:t>
      </w:r>
      <w:r w:rsidR="0074017B" w:rsidRPr="00C40BD9">
        <w:rPr>
          <w:rFonts w:ascii="Verdana" w:hAnsi="Verdana"/>
          <w:iCs/>
          <w:sz w:val="20"/>
          <w:szCs w:val="20"/>
          <w:lang w:val="pt-BR"/>
        </w:rPr>
        <w:t xml:space="preserve">que, dado que </w:t>
      </w:r>
      <w:r w:rsidRPr="00C40BD9">
        <w:rPr>
          <w:rFonts w:ascii="Verdana" w:hAnsi="Verdana"/>
          <w:iCs/>
          <w:sz w:val="20"/>
          <w:szCs w:val="20"/>
          <w:lang w:val="pt-BR"/>
        </w:rPr>
        <w:t xml:space="preserve">o </w:t>
      </w:r>
      <w:r w:rsidR="0074017B" w:rsidRPr="00C40BD9">
        <w:rPr>
          <w:rFonts w:ascii="Verdana" w:hAnsi="Verdana"/>
          <w:iCs/>
          <w:sz w:val="20"/>
          <w:szCs w:val="20"/>
          <w:lang w:val="pt-BR"/>
        </w:rPr>
        <w:t>propósito último d</w:t>
      </w:r>
      <w:r w:rsidRPr="00C40BD9">
        <w:rPr>
          <w:rFonts w:ascii="Verdana" w:hAnsi="Verdana"/>
          <w:iCs/>
          <w:sz w:val="20"/>
          <w:szCs w:val="20"/>
          <w:lang w:val="pt-BR"/>
        </w:rPr>
        <w:t>o S</w:t>
      </w:r>
      <w:r w:rsidR="0074017B" w:rsidRPr="00C40BD9">
        <w:rPr>
          <w:rFonts w:ascii="Verdana" w:hAnsi="Verdana"/>
          <w:iCs/>
          <w:sz w:val="20"/>
          <w:szCs w:val="20"/>
          <w:lang w:val="pt-BR"/>
        </w:rPr>
        <w:t xml:space="preserve">istema </w:t>
      </w:r>
      <w:r w:rsidRPr="00C40BD9">
        <w:rPr>
          <w:rFonts w:ascii="Verdana" w:hAnsi="Verdana"/>
          <w:iCs/>
          <w:sz w:val="20"/>
          <w:szCs w:val="20"/>
          <w:lang w:val="pt-BR"/>
        </w:rPr>
        <w:t>I</w:t>
      </w:r>
      <w:r w:rsidR="0074017B" w:rsidRPr="00C40BD9">
        <w:rPr>
          <w:rFonts w:ascii="Verdana" w:hAnsi="Verdana"/>
          <w:iCs/>
          <w:sz w:val="20"/>
          <w:szCs w:val="20"/>
          <w:lang w:val="pt-BR"/>
        </w:rPr>
        <w:t xml:space="preserve">nteramericano </w:t>
      </w:r>
      <w:r w:rsidRPr="00C40BD9">
        <w:rPr>
          <w:rFonts w:ascii="Verdana" w:hAnsi="Verdana"/>
          <w:iCs/>
          <w:sz w:val="20"/>
          <w:szCs w:val="20"/>
          <w:lang w:val="pt-BR"/>
        </w:rPr>
        <w:t xml:space="preserve">é </w:t>
      </w:r>
      <w:r w:rsidR="0074017B" w:rsidRPr="00C40BD9">
        <w:rPr>
          <w:rFonts w:ascii="Verdana" w:hAnsi="Verdana"/>
          <w:iCs/>
          <w:sz w:val="20"/>
          <w:szCs w:val="20"/>
          <w:lang w:val="pt-BR"/>
        </w:rPr>
        <w:t xml:space="preserve">proteger os </w:t>
      </w:r>
      <w:r w:rsidR="000814BE" w:rsidRPr="00C40BD9">
        <w:rPr>
          <w:rFonts w:ascii="Verdana" w:hAnsi="Verdana"/>
          <w:iCs/>
          <w:sz w:val="20"/>
          <w:szCs w:val="20"/>
          <w:lang w:val="pt-BR"/>
        </w:rPr>
        <w:t>direitos</w:t>
      </w:r>
      <w:r w:rsidR="00DE316A">
        <w:rPr>
          <w:rFonts w:ascii="Verdana" w:hAnsi="Verdana"/>
          <w:iCs/>
          <w:sz w:val="20"/>
          <w:szCs w:val="20"/>
          <w:lang w:val="pt-BR"/>
        </w:rPr>
        <w:t xml:space="preserve"> </w:t>
      </w:r>
      <w:r w:rsidR="0074017B" w:rsidRPr="00C40BD9">
        <w:rPr>
          <w:rFonts w:ascii="Verdana" w:hAnsi="Verdana"/>
          <w:iCs/>
          <w:sz w:val="20"/>
          <w:szCs w:val="20"/>
          <w:lang w:val="pt-BR"/>
        </w:rPr>
        <w:t xml:space="preserve">humanos, </w:t>
      </w:r>
      <w:r w:rsidRPr="00C40BD9">
        <w:rPr>
          <w:rFonts w:ascii="Verdana" w:hAnsi="Verdana"/>
          <w:iCs/>
          <w:sz w:val="20"/>
          <w:szCs w:val="20"/>
          <w:lang w:val="pt-BR"/>
        </w:rPr>
        <w:t xml:space="preserve">há poucos </w:t>
      </w:r>
      <w:r w:rsidR="0074017B" w:rsidRPr="00C40BD9">
        <w:rPr>
          <w:rFonts w:ascii="Verdana" w:hAnsi="Verdana"/>
          <w:iCs/>
          <w:sz w:val="20"/>
          <w:szCs w:val="20"/>
          <w:lang w:val="pt-BR"/>
        </w:rPr>
        <w:t xml:space="preserve">formalismos para </w:t>
      </w:r>
      <w:r w:rsidRPr="00C40BD9">
        <w:rPr>
          <w:rFonts w:ascii="Verdana" w:hAnsi="Verdana"/>
          <w:iCs/>
          <w:sz w:val="20"/>
          <w:szCs w:val="20"/>
          <w:lang w:val="pt-BR"/>
        </w:rPr>
        <w:t xml:space="preserve">o acesso aos </w:t>
      </w:r>
      <w:r w:rsidR="0074017B" w:rsidRPr="00C40BD9">
        <w:rPr>
          <w:rFonts w:ascii="Verdana" w:hAnsi="Verdana"/>
          <w:iCs/>
          <w:sz w:val="20"/>
          <w:szCs w:val="20"/>
          <w:lang w:val="pt-BR"/>
        </w:rPr>
        <w:t>mecanismos de prote</w:t>
      </w:r>
      <w:r w:rsidR="00F633DD" w:rsidRPr="00C40BD9">
        <w:rPr>
          <w:rFonts w:ascii="Verdana" w:hAnsi="Verdana"/>
          <w:iCs/>
          <w:sz w:val="20"/>
          <w:szCs w:val="20"/>
          <w:lang w:val="pt-BR"/>
        </w:rPr>
        <w:t>ção</w:t>
      </w:r>
      <w:r w:rsidR="0074017B" w:rsidRPr="00C40BD9">
        <w:rPr>
          <w:rFonts w:ascii="Verdana" w:hAnsi="Verdana"/>
          <w:iCs/>
          <w:sz w:val="20"/>
          <w:szCs w:val="20"/>
          <w:lang w:val="pt-BR"/>
        </w:rPr>
        <w:t xml:space="preserve">. </w:t>
      </w:r>
      <w:r w:rsidRPr="00C40BD9">
        <w:rPr>
          <w:rFonts w:ascii="Verdana" w:hAnsi="Verdana"/>
          <w:iCs/>
          <w:sz w:val="20"/>
          <w:szCs w:val="20"/>
          <w:lang w:val="pt-BR"/>
        </w:rPr>
        <w:t>Desse modo</w:t>
      </w:r>
      <w:r w:rsidR="00B44952" w:rsidRPr="00C40BD9">
        <w:rPr>
          <w:rFonts w:ascii="Verdana" w:hAnsi="Verdana"/>
          <w:iCs/>
          <w:sz w:val="20"/>
          <w:szCs w:val="20"/>
          <w:lang w:val="pt-BR"/>
        </w:rPr>
        <w:t>,</w:t>
      </w:r>
      <w:r w:rsidR="0074017B" w:rsidRPr="00C40BD9">
        <w:rPr>
          <w:rFonts w:ascii="Verdana" w:hAnsi="Verdana"/>
          <w:iCs/>
          <w:sz w:val="20"/>
          <w:szCs w:val="20"/>
          <w:lang w:val="pt-BR"/>
        </w:rPr>
        <w:t xml:space="preserve"> a</w:t>
      </w:r>
      <w:r w:rsidR="00E22A2D" w:rsidRPr="00C40BD9">
        <w:rPr>
          <w:rFonts w:ascii="Verdana" w:hAnsi="Verdana"/>
          <w:iCs/>
          <w:sz w:val="20"/>
          <w:szCs w:val="20"/>
          <w:lang w:val="pt-BR"/>
        </w:rPr>
        <w:t xml:space="preserve"> </w:t>
      </w:r>
      <w:r w:rsidR="00C06A9B" w:rsidRPr="00C40BD9">
        <w:rPr>
          <w:rFonts w:ascii="Verdana" w:hAnsi="Verdana"/>
          <w:iCs/>
          <w:sz w:val="20"/>
          <w:szCs w:val="20"/>
          <w:lang w:val="pt-BR"/>
        </w:rPr>
        <w:t>Comissão</w:t>
      </w:r>
      <w:r w:rsidR="00DE316A">
        <w:rPr>
          <w:rFonts w:ascii="Verdana" w:hAnsi="Verdana"/>
          <w:iCs/>
          <w:sz w:val="20"/>
          <w:szCs w:val="20"/>
          <w:lang w:val="pt-BR"/>
        </w:rPr>
        <w:t xml:space="preserve"> </w:t>
      </w:r>
      <w:r w:rsidR="00F633DD" w:rsidRPr="00C40BD9">
        <w:rPr>
          <w:rFonts w:ascii="Verdana" w:hAnsi="Verdana"/>
          <w:iCs/>
          <w:sz w:val="20"/>
          <w:szCs w:val="20"/>
          <w:lang w:val="pt-BR"/>
        </w:rPr>
        <w:t>e</w:t>
      </w:r>
      <w:r w:rsidR="00DE316A">
        <w:rPr>
          <w:rFonts w:ascii="Verdana" w:hAnsi="Verdana"/>
          <w:iCs/>
          <w:sz w:val="20"/>
          <w:szCs w:val="20"/>
          <w:lang w:val="pt-BR"/>
        </w:rPr>
        <w:t xml:space="preserve"> </w:t>
      </w:r>
      <w:r w:rsidR="00036A1B" w:rsidRPr="00C40BD9">
        <w:rPr>
          <w:rFonts w:ascii="Verdana" w:hAnsi="Verdana"/>
          <w:iCs/>
          <w:sz w:val="20"/>
          <w:szCs w:val="20"/>
          <w:lang w:val="pt-BR"/>
        </w:rPr>
        <w:t xml:space="preserve">a Corte </w:t>
      </w:r>
      <w:r w:rsidRPr="00C40BD9">
        <w:rPr>
          <w:rFonts w:ascii="Verdana" w:hAnsi="Verdana"/>
          <w:iCs/>
          <w:sz w:val="20"/>
          <w:szCs w:val="20"/>
          <w:lang w:val="pt-BR"/>
        </w:rPr>
        <w:t xml:space="preserve">consideram que a </w:t>
      </w:r>
      <w:r w:rsidR="0074017B" w:rsidRPr="00C40BD9">
        <w:rPr>
          <w:rFonts w:ascii="Verdana" w:hAnsi="Verdana"/>
          <w:iCs/>
          <w:sz w:val="20"/>
          <w:szCs w:val="20"/>
          <w:lang w:val="pt-BR"/>
        </w:rPr>
        <w:t>representa</w:t>
      </w:r>
      <w:r w:rsidR="00F633DD" w:rsidRPr="00C40BD9">
        <w:rPr>
          <w:rFonts w:ascii="Verdana" w:hAnsi="Verdana"/>
          <w:iCs/>
          <w:sz w:val="20"/>
          <w:szCs w:val="20"/>
          <w:lang w:val="pt-BR"/>
        </w:rPr>
        <w:t>ção</w:t>
      </w:r>
      <w:r w:rsidR="0074017B" w:rsidRPr="00C40BD9">
        <w:rPr>
          <w:rFonts w:ascii="Verdana" w:hAnsi="Verdana"/>
          <w:iCs/>
          <w:sz w:val="20"/>
          <w:szCs w:val="20"/>
          <w:lang w:val="pt-BR"/>
        </w:rPr>
        <w:t xml:space="preserve"> legal </w:t>
      </w:r>
      <w:r w:rsidRPr="00C40BD9">
        <w:rPr>
          <w:rFonts w:ascii="Verdana" w:hAnsi="Verdana"/>
          <w:iCs/>
          <w:sz w:val="20"/>
          <w:szCs w:val="20"/>
          <w:lang w:val="pt-BR"/>
        </w:rPr>
        <w:t xml:space="preserve">é </w:t>
      </w:r>
      <w:r w:rsidR="006770ED" w:rsidRPr="00C40BD9">
        <w:rPr>
          <w:rFonts w:ascii="Verdana" w:hAnsi="Verdana"/>
          <w:iCs/>
          <w:sz w:val="20"/>
          <w:szCs w:val="20"/>
          <w:lang w:val="pt-BR"/>
        </w:rPr>
        <w:t>uma</w:t>
      </w:r>
      <w:r w:rsidR="00DE316A">
        <w:rPr>
          <w:rFonts w:ascii="Verdana" w:hAnsi="Verdana"/>
          <w:iCs/>
          <w:sz w:val="20"/>
          <w:szCs w:val="20"/>
          <w:lang w:val="pt-BR"/>
        </w:rPr>
        <w:t xml:space="preserve"> </w:t>
      </w:r>
      <w:r w:rsidR="0074017B" w:rsidRPr="00C40BD9">
        <w:rPr>
          <w:rFonts w:ascii="Verdana" w:hAnsi="Verdana"/>
          <w:iCs/>
          <w:sz w:val="20"/>
          <w:szCs w:val="20"/>
          <w:lang w:val="pt-BR"/>
        </w:rPr>
        <w:t>facul</w:t>
      </w:r>
      <w:r w:rsidRPr="00C40BD9">
        <w:rPr>
          <w:rFonts w:ascii="Verdana" w:hAnsi="Verdana"/>
          <w:iCs/>
          <w:sz w:val="20"/>
          <w:szCs w:val="20"/>
          <w:lang w:val="pt-BR"/>
        </w:rPr>
        <w:t>dade</w:t>
      </w:r>
      <w:r w:rsidR="0074017B" w:rsidRPr="00C40BD9">
        <w:rPr>
          <w:rFonts w:ascii="Verdana" w:hAnsi="Verdana"/>
          <w:iCs/>
          <w:sz w:val="20"/>
          <w:szCs w:val="20"/>
          <w:lang w:val="pt-BR"/>
        </w:rPr>
        <w:t xml:space="preserve"> </w:t>
      </w:r>
      <w:r w:rsidR="00C06A9B" w:rsidRPr="00C40BD9">
        <w:rPr>
          <w:rFonts w:ascii="Verdana" w:hAnsi="Verdana"/>
          <w:iCs/>
          <w:sz w:val="20"/>
          <w:szCs w:val="20"/>
          <w:lang w:val="pt-BR"/>
        </w:rPr>
        <w:t xml:space="preserve">das vítimas </w:t>
      </w:r>
      <w:r w:rsidR="00F633DD" w:rsidRPr="00C40BD9">
        <w:rPr>
          <w:rFonts w:ascii="Verdana" w:hAnsi="Verdana"/>
          <w:iCs/>
          <w:sz w:val="20"/>
          <w:szCs w:val="20"/>
          <w:lang w:val="pt-BR"/>
        </w:rPr>
        <w:t>e</w:t>
      </w:r>
      <w:r w:rsidR="00DE316A">
        <w:rPr>
          <w:rFonts w:ascii="Verdana" w:hAnsi="Verdana"/>
          <w:iCs/>
          <w:sz w:val="20"/>
          <w:szCs w:val="20"/>
          <w:lang w:val="pt-BR"/>
        </w:rPr>
        <w:t xml:space="preserve"> </w:t>
      </w:r>
      <w:r w:rsidR="0074017B" w:rsidRPr="00C40BD9">
        <w:rPr>
          <w:rFonts w:ascii="Verdana" w:hAnsi="Verdana"/>
          <w:iCs/>
          <w:sz w:val="20"/>
          <w:szCs w:val="20"/>
          <w:lang w:val="pt-BR"/>
        </w:rPr>
        <w:t>n</w:t>
      </w:r>
      <w:r w:rsidRPr="00C40BD9">
        <w:rPr>
          <w:rFonts w:ascii="Verdana" w:hAnsi="Verdana"/>
          <w:iCs/>
          <w:sz w:val="20"/>
          <w:szCs w:val="20"/>
          <w:lang w:val="pt-BR"/>
        </w:rPr>
        <w:t>ã</w:t>
      </w:r>
      <w:r w:rsidR="0074017B" w:rsidRPr="00C40BD9">
        <w:rPr>
          <w:rFonts w:ascii="Verdana" w:hAnsi="Verdana"/>
          <w:iCs/>
          <w:sz w:val="20"/>
          <w:szCs w:val="20"/>
          <w:lang w:val="pt-BR"/>
        </w:rPr>
        <w:t xml:space="preserve">o </w:t>
      </w:r>
      <w:r w:rsidR="006770ED" w:rsidRPr="00C40BD9">
        <w:rPr>
          <w:rFonts w:ascii="Verdana" w:hAnsi="Verdana"/>
          <w:iCs/>
          <w:sz w:val="20"/>
          <w:szCs w:val="20"/>
          <w:lang w:val="pt-BR"/>
        </w:rPr>
        <w:t>uma</w:t>
      </w:r>
      <w:r w:rsidR="00DE316A">
        <w:rPr>
          <w:rFonts w:ascii="Verdana" w:hAnsi="Verdana"/>
          <w:iCs/>
          <w:sz w:val="20"/>
          <w:szCs w:val="20"/>
          <w:lang w:val="pt-BR"/>
        </w:rPr>
        <w:t xml:space="preserve"> </w:t>
      </w:r>
      <w:r w:rsidR="0074017B" w:rsidRPr="00C40BD9">
        <w:rPr>
          <w:rFonts w:ascii="Verdana" w:hAnsi="Verdana"/>
          <w:iCs/>
          <w:sz w:val="20"/>
          <w:szCs w:val="20"/>
          <w:lang w:val="pt-BR"/>
        </w:rPr>
        <w:t>exig</w:t>
      </w:r>
      <w:r w:rsidRPr="00C40BD9">
        <w:rPr>
          <w:rFonts w:ascii="Verdana" w:hAnsi="Verdana"/>
          <w:iCs/>
          <w:sz w:val="20"/>
          <w:szCs w:val="20"/>
          <w:lang w:val="pt-BR"/>
        </w:rPr>
        <w:t>ê</w:t>
      </w:r>
      <w:r w:rsidR="0074017B" w:rsidRPr="00C40BD9">
        <w:rPr>
          <w:rFonts w:ascii="Verdana" w:hAnsi="Verdana"/>
          <w:iCs/>
          <w:sz w:val="20"/>
          <w:szCs w:val="20"/>
          <w:lang w:val="pt-BR"/>
        </w:rPr>
        <w:t xml:space="preserve">ncia formal. Finalmente, </w:t>
      </w:r>
      <w:r w:rsidRPr="00C40BD9">
        <w:rPr>
          <w:rFonts w:ascii="Verdana" w:hAnsi="Verdana"/>
          <w:iCs/>
          <w:sz w:val="20"/>
          <w:szCs w:val="20"/>
          <w:lang w:val="pt-BR"/>
        </w:rPr>
        <w:t xml:space="preserve">no que se refere ao processo </w:t>
      </w:r>
      <w:r w:rsidR="0074017B" w:rsidRPr="00C40BD9">
        <w:rPr>
          <w:rFonts w:ascii="Verdana" w:hAnsi="Verdana"/>
          <w:iCs/>
          <w:sz w:val="20"/>
          <w:szCs w:val="20"/>
          <w:lang w:val="pt-BR"/>
        </w:rPr>
        <w:t xml:space="preserve">de </w:t>
      </w:r>
      <w:r w:rsidR="00C06A9B" w:rsidRPr="00C40BD9">
        <w:rPr>
          <w:rFonts w:ascii="Verdana" w:hAnsi="Verdana"/>
          <w:iCs/>
          <w:sz w:val="20"/>
          <w:szCs w:val="20"/>
          <w:lang w:val="pt-BR"/>
        </w:rPr>
        <w:t>cumprimento</w:t>
      </w:r>
      <w:r w:rsidR="00DE316A">
        <w:rPr>
          <w:rFonts w:ascii="Verdana" w:hAnsi="Verdana"/>
          <w:iCs/>
          <w:sz w:val="20"/>
          <w:szCs w:val="20"/>
          <w:lang w:val="pt-BR"/>
        </w:rPr>
        <w:t xml:space="preserve"> </w:t>
      </w:r>
      <w:r w:rsidR="0074017B" w:rsidRPr="00C40BD9">
        <w:rPr>
          <w:rFonts w:ascii="Verdana" w:hAnsi="Verdana"/>
          <w:iCs/>
          <w:sz w:val="20"/>
          <w:szCs w:val="20"/>
          <w:lang w:val="pt-BR"/>
        </w:rPr>
        <w:t xml:space="preserve">de </w:t>
      </w:r>
      <w:r w:rsidR="00C06A9B" w:rsidRPr="00C40BD9">
        <w:rPr>
          <w:rFonts w:ascii="Verdana" w:hAnsi="Verdana"/>
          <w:iCs/>
          <w:sz w:val="20"/>
          <w:szCs w:val="20"/>
          <w:lang w:val="pt-BR"/>
        </w:rPr>
        <w:t>sentença</w:t>
      </w:r>
      <w:r w:rsidR="0074017B" w:rsidRPr="00C40BD9">
        <w:rPr>
          <w:rFonts w:ascii="Verdana" w:hAnsi="Verdana"/>
          <w:iCs/>
          <w:sz w:val="20"/>
          <w:szCs w:val="20"/>
          <w:lang w:val="pt-BR"/>
        </w:rPr>
        <w:t xml:space="preserve">, </w:t>
      </w:r>
      <w:r w:rsidRPr="00C40BD9">
        <w:rPr>
          <w:rFonts w:ascii="Verdana" w:hAnsi="Verdana"/>
          <w:iCs/>
          <w:sz w:val="20"/>
          <w:szCs w:val="20"/>
          <w:lang w:val="pt-BR"/>
        </w:rPr>
        <w:t xml:space="preserve">esclareceram que os pagamentos devem ser efetuados </w:t>
      </w:r>
      <w:r w:rsidR="0074017B" w:rsidRPr="00C40BD9">
        <w:rPr>
          <w:rFonts w:ascii="Verdana" w:hAnsi="Verdana"/>
          <w:iCs/>
          <w:sz w:val="20"/>
          <w:szCs w:val="20"/>
          <w:lang w:val="pt-BR"/>
        </w:rPr>
        <w:t xml:space="preserve">diretamente </w:t>
      </w:r>
      <w:r w:rsidRPr="00C40BD9">
        <w:rPr>
          <w:rFonts w:ascii="Verdana" w:hAnsi="Verdana"/>
          <w:iCs/>
          <w:sz w:val="20"/>
          <w:szCs w:val="20"/>
          <w:lang w:val="pt-BR"/>
        </w:rPr>
        <w:t xml:space="preserve">às </w:t>
      </w:r>
      <w:r w:rsidR="00C06A9B" w:rsidRPr="00C40BD9">
        <w:rPr>
          <w:rFonts w:ascii="Verdana" w:hAnsi="Verdana"/>
          <w:iCs/>
          <w:sz w:val="20"/>
          <w:szCs w:val="20"/>
          <w:lang w:val="pt-BR"/>
        </w:rPr>
        <w:t>vítimas</w:t>
      </w:r>
      <w:r w:rsidR="0074017B" w:rsidRPr="00C40BD9">
        <w:rPr>
          <w:rFonts w:ascii="Verdana" w:hAnsi="Verdana"/>
          <w:iCs/>
          <w:sz w:val="20"/>
          <w:szCs w:val="20"/>
          <w:lang w:val="pt-BR"/>
        </w:rPr>
        <w:t xml:space="preserve">, claramente identificadas </w:t>
      </w:r>
      <w:r w:rsidR="000814BE" w:rsidRPr="00C40BD9">
        <w:rPr>
          <w:rFonts w:ascii="Verdana" w:hAnsi="Verdana"/>
          <w:iCs/>
          <w:sz w:val="20"/>
          <w:szCs w:val="20"/>
          <w:lang w:val="pt-BR"/>
        </w:rPr>
        <w:t xml:space="preserve">na </w:t>
      </w:r>
      <w:r w:rsidR="00C06A9B" w:rsidRPr="00C40BD9">
        <w:rPr>
          <w:rFonts w:ascii="Verdana" w:hAnsi="Verdana"/>
          <w:iCs/>
          <w:sz w:val="20"/>
          <w:szCs w:val="20"/>
          <w:lang w:val="pt-BR"/>
        </w:rPr>
        <w:t>sentença</w:t>
      </w:r>
      <w:r w:rsidR="0074017B" w:rsidRPr="00C40BD9">
        <w:rPr>
          <w:rFonts w:ascii="Verdana" w:hAnsi="Verdana"/>
          <w:iCs/>
          <w:sz w:val="20"/>
          <w:szCs w:val="20"/>
          <w:lang w:val="pt-BR"/>
        </w:rPr>
        <w:t>, e</w:t>
      </w:r>
      <w:r w:rsidRPr="00C40BD9">
        <w:rPr>
          <w:rFonts w:ascii="Verdana" w:hAnsi="Verdana"/>
          <w:iCs/>
          <w:sz w:val="20"/>
          <w:szCs w:val="20"/>
          <w:lang w:val="pt-BR"/>
        </w:rPr>
        <w:t xml:space="preserve">m contas </w:t>
      </w:r>
      <w:r w:rsidR="00CD6AAF">
        <w:rPr>
          <w:rFonts w:ascii="Verdana" w:hAnsi="Verdana"/>
          <w:iCs/>
          <w:sz w:val="20"/>
          <w:szCs w:val="20"/>
          <w:lang w:val="pt-BR"/>
        </w:rPr>
        <w:t xml:space="preserve">em seus próprios </w:t>
      </w:r>
      <w:r w:rsidRPr="00C40BD9">
        <w:rPr>
          <w:rFonts w:ascii="Verdana" w:hAnsi="Verdana"/>
          <w:iCs/>
          <w:sz w:val="20"/>
          <w:szCs w:val="20"/>
          <w:lang w:val="pt-BR"/>
        </w:rPr>
        <w:t xml:space="preserve">nomes. </w:t>
      </w:r>
    </w:p>
    <w:p w:rsidR="0074017B" w:rsidRPr="00C40BD9" w:rsidRDefault="0074017B" w:rsidP="00A82FB4">
      <w:pPr>
        <w:pStyle w:val="ListParagraph"/>
        <w:spacing w:after="0" w:line="240" w:lineRule="auto"/>
        <w:ind w:left="0"/>
        <w:jc w:val="both"/>
        <w:rPr>
          <w:rFonts w:ascii="Verdana" w:hAnsi="Verdana"/>
          <w:b/>
          <w:iCs/>
          <w:sz w:val="20"/>
          <w:szCs w:val="20"/>
          <w:lang w:val="pt-BR"/>
        </w:rPr>
      </w:pPr>
    </w:p>
    <w:p w:rsidR="0074017B" w:rsidRPr="00C40BD9" w:rsidRDefault="00BD050D" w:rsidP="00A82FB4">
      <w:pPr>
        <w:pStyle w:val="ListParagraph"/>
        <w:numPr>
          <w:ilvl w:val="0"/>
          <w:numId w:val="2"/>
        </w:numPr>
        <w:tabs>
          <w:tab w:val="clear" w:pos="1247"/>
        </w:tabs>
        <w:spacing w:after="0" w:line="240" w:lineRule="auto"/>
        <w:jc w:val="both"/>
        <w:rPr>
          <w:rFonts w:ascii="Verdana" w:hAnsi="Verdana"/>
          <w:sz w:val="20"/>
          <w:szCs w:val="20"/>
          <w:lang w:val="pt-BR"/>
        </w:rPr>
      </w:pPr>
      <w:r w:rsidRPr="00C40BD9">
        <w:rPr>
          <w:rFonts w:ascii="Verdana" w:hAnsi="Verdana"/>
          <w:sz w:val="20"/>
          <w:szCs w:val="20"/>
          <w:lang w:val="pt-BR"/>
        </w:rPr>
        <w:t>A</w:t>
      </w:r>
      <w:r w:rsidR="0074017B" w:rsidRPr="00C40BD9">
        <w:rPr>
          <w:rFonts w:ascii="Verdana" w:hAnsi="Verdana"/>
          <w:sz w:val="20"/>
          <w:szCs w:val="20"/>
          <w:lang w:val="pt-BR"/>
        </w:rPr>
        <w:t xml:space="preserve"> </w:t>
      </w:r>
      <w:r w:rsidR="00C06A9B" w:rsidRPr="00C40BD9">
        <w:rPr>
          <w:rFonts w:ascii="Verdana" w:hAnsi="Verdana"/>
          <w:b/>
          <w:i/>
          <w:sz w:val="20"/>
          <w:szCs w:val="20"/>
          <w:lang w:val="pt-BR"/>
        </w:rPr>
        <w:t>Comissão</w:t>
      </w:r>
      <w:r w:rsidR="00DE316A">
        <w:rPr>
          <w:rFonts w:ascii="Verdana" w:hAnsi="Verdana"/>
          <w:b/>
          <w:i/>
          <w:sz w:val="20"/>
          <w:szCs w:val="20"/>
          <w:lang w:val="pt-BR"/>
        </w:rPr>
        <w:t xml:space="preserve"> </w:t>
      </w:r>
      <w:r w:rsidRPr="00C40BD9">
        <w:rPr>
          <w:rFonts w:ascii="Verdana" w:hAnsi="Verdana"/>
          <w:sz w:val="20"/>
          <w:szCs w:val="20"/>
          <w:lang w:val="pt-BR"/>
        </w:rPr>
        <w:t xml:space="preserve">considerou que a </w:t>
      </w:r>
      <w:r w:rsidR="0074017B" w:rsidRPr="00C40BD9">
        <w:rPr>
          <w:rFonts w:ascii="Verdana" w:hAnsi="Verdana"/>
          <w:sz w:val="20"/>
          <w:szCs w:val="20"/>
          <w:lang w:val="pt-BR"/>
        </w:rPr>
        <w:t xml:space="preserve">Corte, </w:t>
      </w:r>
      <w:r w:rsidR="000814BE" w:rsidRPr="00C40BD9">
        <w:rPr>
          <w:rFonts w:ascii="Verdana" w:hAnsi="Verdana"/>
          <w:sz w:val="20"/>
          <w:szCs w:val="20"/>
          <w:lang w:val="pt-BR"/>
        </w:rPr>
        <w:t xml:space="preserve">na </w:t>
      </w:r>
      <w:r w:rsidR="00F633DD" w:rsidRPr="00C40BD9">
        <w:rPr>
          <w:rFonts w:ascii="Verdana" w:hAnsi="Verdana"/>
          <w:sz w:val="20"/>
          <w:szCs w:val="20"/>
          <w:lang w:val="pt-BR"/>
        </w:rPr>
        <w:t>Sentença</w:t>
      </w:r>
      <w:r w:rsidR="0074017B" w:rsidRPr="00C40BD9">
        <w:rPr>
          <w:rFonts w:ascii="Verdana" w:hAnsi="Verdana"/>
          <w:sz w:val="20"/>
          <w:szCs w:val="20"/>
          <w:lang w:val="pt-BR"/>
        </w:rPr>
        <w:t xml:space="preserve">, </w:t>
      </w:r>
      <w:r w:rsidR="001A4631">
        <w:rPr>
          <w:rFonts w:ascii="Verdana" w:hAnsi="Verdana"/>
          <w:sz w:val="20"/>
          <w:szCs w:val="20"/>
          <w:lang w:val="pt-BR"/>
        </w:rPr>
        <w:t>rejeitou</w:t>
      </w:r>
      <w:r w:rsidRPr="00C40BD9">
        <w:rPr>
          <w:rFonts w:ascii="Verdana" w:hAnsi="Verdana"/>
          <w:sz w:val="20"/>
          <w:szCs w:val="20"/>
          <w:lang w:val="pt-BR"/>
        </w:rPr>
        <w:t xml:space="preserve"> </w:t>
      </w:r>
      <w:r w:rsidR="0074017B" w:rsidRPr="00C40BD9">
        <w:rPr>
          <w:rFonts w:ascii="Verdana" w:hAnsi="Verdana"/>
          <w:sz w:val="20"/>
          <w:szCs w:val="20"/>
          <w:lang w:val="pt-BR"/>
        </w:rPr>
        <w:t xml:space="preserve">claramente </w:t>
      </w:r>
      <w:r w:rsidRPr="00C40BD9">
        <w:rPr>
          <w:rFonts w:ascii="Verdana" w:hAnsi="Verdana"/>
          <w:sz w:val="20"/>
          <w:szCs w:val="20"/>
          <w:lang w:val="pt-BR"/>
        </w:rPr>
        <w:t xml:space="preserve">a manifestação do </w:t>
      </w:r>
      <w:r w:rsidR="0074017B" w:rsidRPr="00C40BD9">
        <w:rPr>
          <w:rFonts w:ascii="Verdana" w:hAnsi="Verdana"/>
          <w:sz w:val="20"/>
          <w:szCs w:val="20"/>
          <w:lang w:val="pt-BR"/>
        </w:rPr>
        <w:t xml:space="preserve">Estado sobre a falta de </w:t>
      </w:r>
      <w:r w:rsidRPr="00C40BD9">
        <w:rPr>
          <w:rFonts w:ascii="Verdana" w:hAnsi="Verdana"/>
          <w:sz w:val="20"/>
          <w:szCs w:val="20"/>
          <w:lang w:val="pt-BR"/>
        </w:rPr>
        <w:t xml:space="preserve">concessão </w:t>
      </w:r>
      <w:r w:rsidR="0074017B" w:rsidRPr="00C40BD9">
        <w:rPr>
          <w:rFonts w:ascii="Verdana" w:hAnsi="Verdana"/>
          <w:sz w:val="20"/>
          <w:szCs w:val="20"/>
          <w:lang w:val="pt-BR"/>
        </w:rPr>
        <w:t xml:space="preserve">de poderes por parte </w:t>
      </w:r>
      <w:r w:rsidR="00C06A9B" w:rsidRPr="00C40BD9">
        <w:rPr>
          <w:rFonts w:ascii="Verdana" w:hAnsi="Verdana"/>
          <w:sz w:val="20"/>
          <w:szCs w:val="20"/>
          <w:lang w:val="pt-BR"/>
        </w:rPr>
        <w:t>das vítimas</w:t>
      </w:r>
      <w:r w:rsidR="00DE316A">
        <w:rPr>
          <w:rFonts w:ascii="Verdana" w:hAnsi="Verdana"/>
          <w:sz w:val="20"/>
          <w:szCs w:val="20"/>
          <w:lang w:val="pt-BR"/>
        </w:rPr>
        <w:t xml:space="preserve"> </w:t>
      </w:r>
      <w:r w:rsidR="00F633DD" w:rsidRPr="00C40BD9">
        <w:rPr>
          <w:rFonts w:ascii="Verdana" w:hAnsi="Verdana"/>
          <w:sz w:val="20"/>
          <w:szCs w:val="20"/>
          <w:lang w:val="pt-BR"/>
        </w:rPr>
        <w:t>e</w:t>
      </w:r>
      <w:r w:rsidR="00DE316A">
        <w:rPr>
          <w:rFonts w:ascii="Verdana" w:hAnsi="Verdana"/>
          <w:sz w:val="20"/>
          <w:szCs w:val="20"/>
          <w:lang w:val="pt-BR"/>
        </w:rPr>
        <w:t xml:space="preserve"> </w:t>
      </w:r>
      <w:r w:rsidR="0074017B" w:rsidRPr="00C40BD9">
        <w:rPr>
          <w:rFonts w:ascii="Verdana" w:hAnsi="Verdana"/>
          <w:sz w:val="20"/>
          <w:szCs w:val="20"/>
          <w:lang w:val="pt-BR"/>
        </w:rPr>
        <w:t>s</w:t>
      </w:r>
      <w:r w:rsidRPr="00C40BD9">
        <w:rPr>
          <w:rFonts w:ascii="Verdana" w:hAnsi="Verdana"/>
          <w:sz w:val="20"/>
          <w:szCs w:val="20"/>
          <w:lang w:val="pt-BR"/>
        </w:rPr>
        <w:t>e</w:t>
      </w:r>
      <w:r w:rsidR="0074017B" w:rsidRPr="00C40BD9">
        <w:rPr>
          <w:rFonts w:ascii="Verdana" w:hAnsi="Verdana"/>
          <w:sz w:val="20"/>
          <w:szCs w:val="20"/>
          <w:lang w:val="pt-BR"/>
        </w:rPr>
        <w:t xml:space="preserve">us familiares aos representantes. </w:t>
      </w:r>
      <w:r w:rsidR="00E22A2D" w:rsidRPr="00C40BD9">
        <w:rPr>
          <w:rFonts w:ascii="Verdana" w:hAnsi="Verdana"/>
          <w:sz w:val="20"/>
          <w:szCs w:val="20"/>
          <w:lang w:val="pt-BR"/>
        </w:rPr>
        <w:t>A</w:t>
      </w:r>
      <w:r w:rsidR="00DE5AF7" w:rsidRPr="00C40BD9">
        <w:rPr>
          <w:rFonts w:ascii="Verdana" w:hAnsi="Verdana"/>
          <w:sz w:val="20"/>
          <w:szCs w:val="20"/>
          <w:lang w:val="pt-BR"/>
        </w:rPr>
        <w:t xml:space="preserve">firmou </w:t>
      </w:r>
      <w:r w:rsidR="0074017B" w:rsidRPr="00C40BD9">
        <w:rPr>
          <w:rFonts w:ascii="Verdana" w:hAnsi="Verdana"/>
          <w:sz w:val="20"/>
          <w:szCs w:val="20"/>
          <w:lang w:val="pt-BR"/>
        </w:rPr>
        <w:t xml:space="preserve">que </w:t>
      </w:r>
      <w:r w:rsidR="00DE5AF7" w:rsidRPr="00C40BD9">
        <w:rPr>
          <w:rFonts w:ascii="Verdana" w:hAnsi="Verdana"/>
          <w:sz w:val="20"/>
          <w:szCs w:val="20"/>
          <w:lang w:val="pt-BR"/>
        </w:rPr>
        <w:t>o</w:t>
      </w:r>
      <w:r w:rsidR="0074017B" w:rsidRPr="00C40BD9">
        <w:rPr>
          <w:rFonts w:ascii="Verdana" w:hAnsi="Verdana"/>
          <w:sz w:val="20"/>
          <w:szCs w:val="20"/>
          <w:lang w:val="pt-BR"/>
        </w:rPr>
        <w:t xml:space="preserve"> Estado </w:t>
      </w:r>
      <w:r w:rsidR="006770ED" w:rsidRPr="00C40BD9">
        <w:rPr>
          <w:rFonts w:ascii="Verdana" w:hAnsi="Verdana"/>
          <w:sz w:val="20"/>
          <w:szCs w:val="20"/>
          <w:lang w:val="pt-BR"/>
        </w:rPr>
        <w:t xml:space="preserve">deve </w:t>
      </w:r>
      <w:r w:rsidR="00DE5AF7" w:rsidRPr="00C40BD9">
        <w:rPr>
          <w:rFonts w:ascii="Verdana" w:hAnsi="Verdana"/>
          <w:sz w:val="20"/>
          <w:szCs w:val="20"/>
          <w:lang w:val="pt-BR"/>
        </w:rPr>
        <w:t xml:space="preserve">tornar </w:t>
      </w:r>
      <w:r w:rsidR="0074017B" w:rsidRPr="00C40BD9">
        <w:rPr>
          <w:rFonts w:ascii="Verdana" w:hAnsi="Verdana"/>
          <w:sz w:val="20"/>
          <w:szCs w:val="20"/>
          <w:lang w:val="pt-BR"/>
        </w:rPr>
        <w:t>efetivas su</w:t>
      </w:r>
      <w:r w:rsidR="00DE5AF7" w:rsidRPr="00C40BD9">
        <w:rPr>
          <w:rFonts w:ascii="Verdana" w:hAnsi="Verdana"/>
          <w:sz w:val="20"/>
          <w:szCs w:val="20"/>
          <w:lang w:val="pt-BR"/>
        </w:rPr>
        <w:t>a</w:t>
      </w:r>
      <w:r w:rsidR="0074017B" w:rsidRPr="00C40BD9">
        <w:rPr>
          <w:rFonts w:ascii="Verdana" w:hAnsi="Verdana"/>
          <w:sz w:val="20"/>
          <w:szCs w:val="20"/>
          <w:lang w:val="pt-BR"/>
        </w:rPr>
        <w:t>s ob</w:t>
      </w:r>
      <w:r w:rsidR="00DE5AF7" w:rsidRPr="00C40BD9">
        <w:rPr>
          <w:rFonts w:ascii="Verdana" w:hAnsi="Verdana"/>
          <w:sz w:val="20"/>
          <w:szCs w:val="20"/>
          <w:lang w:val="pt-BR"/>
        </w:rPr>
        <w:t>r</w:t>
      </w:r>
      <w:r w:rsidR="0074017B" w:rsidRPr="00C40BD9">
        <w:rPr>
          <w:rFonts w:ascii="Verdana" w:hAnsi="Verdana"/>
          <w:sz w:val="20"/>
          <w:szCs w:val="20"/>
          <w:lang w:val="pt-BR"/>
        </w:rPr>
        <w:t>iga</w:t>
      </w:r>
      <w:r w:rsidR="00F633DD" w:rsidRPr="00C40BD9">
        <w:rPr>
          <w:rFonts w:ascii="Verdana" w:hAnsi="Verdana"/>
          <w:sz w:val="20"/>
          <w:szCs w:val="20"/>
          <w:lang w:val="pt-BR"/>
        </w:rPr>
        <w:t>ções</w:t>
      </w:r>
      <w:r w:rsidR="0074017B" w:rsidRPr="00C40BD9">
        <w:rPr>
          <w:rFonts w:ascii="Verdana" w:hAnsi="Verdana"/>
          <w:sz w:val="20"/>
          <w:szCs w:val="20"/>
          <w:lang w:val="pt-BR"/>
        </w:rPr>
        <w:t xml:space="preserve"> internacion</w:t>
      </w:r>
      <w:r w:rsidR="00C06A9B" w:rsidRPr="00C40BD9">
        <w:rPr>
          <w:rFonts w:ascii="Verdana" w:hAnsi="Verdana"/>
          <w:sz w:val="20"/>
          <w:szCs w:val="20"/>
          <w:lang w:val="pt-BR"/>
        </w:rPr>
        <w:t>ais</w:t>
      </w:r>
      <w:r w:rsidR="00DE5AF7" w:rsidRPr="00C40BD9">
        <w:rPr>
          <w:rFonts w:ascii="Verdana" w:hAnsi="Verdana"/>
          <w:sz w:val="20"/>
          <w:szCs w:val="20"/>
          <w:lang w:val="pt-BR"/>
        </w:rPr>
        <w:t>, sem opor</w:t>
      </w:r>
      <w:r w:rsidR="00C06A9B" w:rsidRPr="00C40BD9">
        <w:rPr>
          <w:rFonts w:ascii="Verdana" w:hAnsi="Verdana"/>
          <w:sz w:val="20"/>
          <w:szCs w:val="20"/>
          <w:lang w:val="pt-BR"/>
        </w:rPr>
        <w:t xml:space="preserve"> </w:t>
      </w:r>
      <w:r w:rsidR="0074017B" w:rsidRPr="00C40BD9">
        <w:rPr>
          <w:rFonts w:ascii="Verdana" w:hAnsi="Verdana"/>
          <w:sz w:val="20"/>
          <w:szCs w:val="20"/>
          <w:lang w:val="pt-BR"/>
        </w:rPr>
        <w:t xml:space="preserve">obstáculos de </w:t>
      </w:r>
      <w:r w:rsidR="000814BE" w:rsidRPr="00C40BD9">
        <w:rPr>
          <w:rFonts w:ascii="Verdana" w:hAnsi="Verdana"/>
          <w:sz w:val="20"/>
          <w:szCs w:val="20"/>
          <w:lang w:val="pt-BR"/>
        </w:rPr>
        <w:t>ordem</w:t>
      </w:r>
      <w:r w:rsidR="00DE316A">
        <w:rPr>
          <w:rFonts w:ascii="Verdana" w:hAnsi="Verdana"/>
          <w:sz w:val="20"/>
          <w:szCs w:val="20"/>
          <w:lang w:val="pt-BR"/>
        </w:rPr>
        <w:t xml:space="preserve"> </w:t>
      </w:r>
      <w:r w:rsidR="000E2A91">
        <w:rPr>
          <w:rFonts w:ascii="Verdana" w:hAnsi="Verdana"/>
          <w:sz w:val="20"/>
          <w:szCs w:val="20"/>
          <w:lang w:val="pt-BR"/>
        </w:rPr>
        <w:t>interna</w:t>
      </w:r>
      <w:r w:rsidR="00DE5AF7" w:rsidRPr="00C40BD9">
        <w:rPr>
          <w:rFonts w:ascii="Verdana" w:hAnsi="Verdana"/>
          <w:sz w:val="20"/>
          <w:szCs w:val="20"/>
          <w:lang w:val="pt-BR"/>
        </w:rPr>
        <w:t>,</w:t>
      </w:r>
      <w:r w:rsidR="00E22A2D" w:rsidRPr="00C40BD9">
        <w:rPr>
          <w:rFonts w:ascii="Verdana" w:hAnsi="Verdana"/>
          <w:sz w:val="20"/>
          <w:szCs w:val="20"/>
          <w:lang w:val="pt-BR"/>
        </w:rPr>
        <w:t xml:space="preserve"> </w:t>
      </w:r>
      <w:r w:rsidR="00F633DD" w:rsidRPr="00C40BD9">
        <w:rPr>
          <w:rFonts w:ascii="Verdana" w:hAnsi="Verdana"/>
          <w:sz w:val="20"/>
          <w:szCs w:val="20"/>
          <w:lang w:val="pt-BR"/>
        </w:rPr>
        <w:t>e</w:t>
      </w:r>
      <w:r w:rsidR="00DE316A">
        <w:rPr>
          <w:rFonts w:ascii="Verdana" w:hAnsi="Verdana"/>
          <w:sz w:val="20"/>
          <w:szCs w:val="20"/>
          <w:lang w:val="pt-BR"/>
        </w:rPr>
        <w:t xml:space="preserve"> </w:t>
      </w:r>
      <w:r w:rsidR="00E22A2D" w:rsidRPr="00C40BD9">
        <w:rPr>
          <w:rFonts w:ascii="Verdana" w:hAnsi="Verdana"/>
          <w:sz w:val="20"/>
          <w:szCs w:val="20"/>
          <w:lang w:val="pt-BR"/>
        </w:rPr>
        <w:t>que tampo</w:t>
      </w:r>
      <w:r w:rsidR="00DE5AF7" w:rsidRPr="00C40BD9">
        <w:rPr>
          <w:rFonts w:ascii="Verdana" w:hAnsi="Verdana"/>
          <w:sz w:val="20"/>
          <w:szCs w:val="20"/>
          <w:lang w:val="pt-BR"/>
        </w:rPr>
        <w:t>u</w:t>
      </w:r>
      <w:r w:rsidR="00EB2F3B">
        <w:rPr>
          <w:rFonts w:ascii="Verdana" w:hAnsi="Verdana"/>
          <w:sz w:val="20"/>
          <w:szCs w:val="20"/>
          <w:lang w:val="pt-BR"/>
        </w:rPr>
        <w:t>co corresponda</w:t>
      </w:r>
      <w:r w:rsidR="00DE5AF7" w:rsidRPr="00C40BD9">
        <w:rPr>
          <w:rFonts w:ascii="Verdana" w:hAnsi="Verdana"/>
          <w:sz w:val="20"/>
          <w:szCs w:val="20"/>
          <w:lang w:val="pt-BR"/>
        </w:rPr>
        <w:t xml:space="preserve">m </w:t>
      </w:r>
      <w:r w:rsidR="001A4631">
        <w:rPr>
          <w:rFonts w:ascii="Verdana" w:hAnsi="Verdana"/>
          <w:sz w:val="20"/>
          <w:szCs w:val="20"/>
          <w:lang w:val="pt-BR"/>
        </w:rPr>
        <w:t xml:space="preserve">às regras </w:t>
      </w:r>
      <w:r w:rsidR="00E22A2D" w:rsidRPr="00C40BD9">
        <w:rPr>
          <w:rFonts w:ascii="Verdana" w:hAnsi="Verdana"/>
          <w:sz w:val="20"/>
          <w:szCs w:val="20"/>
          <w:lang w:val="pt-BR"/>
        </w:rPr>
        <w:t>d</w:t>
      </w:r>
      <w:r w:rsidR="000E2A91">
        <w:rPr>
          <w:rFonts w:ascii="Verdana" w:hAnsi="Verdana"/>
          <w:sz w:val="20"/>
          <w:szCs w:val="20"/>
          <w:lang w:val="pt-BR"/>
        </w:rPr>
        <w:t xml:space="preserve">o trâmite </w:t>
      </w:r>
      <w:r w:rsidR="00E22A2D" w:rsidRPr="00C40BD9">
        <w:rPr>
          <w:rFonts w:ascii="Verdana" w:hAnsi="Verdana"/>
          <w:sz w:val="20"/>
          <w:szCs w:val="20"/>
          <w:lang w:val="pt-BR"/>
        </w:rPr>
        <w:t>interamericano</w:t>
      </w:r>
      <w:r w:rsidR="0074017B" w:rsidRPr="00C40BD9">
        <w:rPr>
          <w:rFonts w:ascii="Verdana" w:hAnsi="Verdana"/>
          <w:sz w:val="20"/>
          <w:szCs w:val="20"/>
          <w:lang w:val="pt-BR"/>
        </w:rPr>
        <w:t xml:space="preserve">. </w:t>
      </w:r>
      <w:r w:rsidR="003F1D25" w:rsidRPr="00C40BD9">
        <w:rPr>
          <w:rFonts w:ascii="Verdana" w:hAnsi="Verdana"/>
          <w:sz w:val="20"/>
          <w:szCs w:val="20"/>
          <w:lang w:val="pt-BR"/>
        </w:rPr>
        <w:t xml:space="preserve">Portanto, </w:t>
      </w:r>
      <w:r w:rsidR="00DE5AF7" w:rsidRPr="00C40BD9">
        <w:rPr>
          <w:rFonts w:ascii="Verdana" w:hAnsi="Verdana"/>
          <w:sz w:val="20"/>
          <w:szCs w:val="20"/>
          <w:lang w:val="pt-BR"/>
        </w:rPr>
        <w:t xml:space="preserve">concluiu que o </w:t>
      </w:r>
      <w:r w:rsidR="00C06A9B" w:rsidRPr="00C40BD9">
        <w:rPr>
          <w:rFonts w:ascii="Verdana" w:hAnsi="Verdana"/>
          <w:sz w:val="20"/>
          <w:szCs w:val="20"/>
          <w:lang w:val="pt-BR"/>
        </w:rPr>
        <w:t>parágrafo</w:t>
      </w:r>
      <w:r w:rsidR="00DE316A">
        <w:rPr>
          <w:rFonts w:ascii="Verdana" w:hAnsi="Verdana"/>
          <w:sz w:val="20"/>
          <w:szCs w:val="20"/>
          <w:lang w:val="pt-BR"/>
        </w:rPr>
        <w:t xml:space="preserve"> </w:t>
      </w:r>
      <w:r w:rsidR="0074017B" w:rsidRPr="00C40BD9">
        <w:rPr>
          <w:rFonts w:ascii="Verdana" w:hAnsi="Verdana"/>
          <w:sz w:val="20"/>
          <w:szCs w:val="20"/>
          <w:lang w:val="pt-BR"/>
        </w:rPr>
        <w:t>e</w:t>
      </w:r>
      <w:r w:rsidR="00DE5AF7" w:rsidRPr="00C40BD9">
        <w:rPr>
          <w:rFonts w:ascii="Verdana" w:hAnsi="Verdana"/>
          <w:sz w:val="20"/>
          <w:szCs w:val="20"/>
          <w:lang w:val="pt-BR"/>
        </w:rPr>
        <w:t xml:space="preserve">m questão não exige </w:t>
      </w:r>
      <w:r w:rsidR="0074017B" w:rsidRPr="00C40BD9">
        <w:rPr>
          <w:rFonts w:ascii="Verdana" w:hAnsi="Verdana"/>
          <w:sz w:val="20"/>
          <w:szCs w:val="20"/>
          <w:lang w:val="pt-BR"/>
        </w:rPr>
        <w:t>interpreta</w:t>
      </w:r>
      <w:r w:rsidR="00F633DD" w:rsidRPr="00C40BD9">
        <w:rPr>
          <w:rFonts w:ascii="Verdana" w:hAnsi="Verdana"/>
          <w:sz w:val="20"/>
          <w:szCs w:val="20"/>
          <w:lang w:val="pt-BR"/>
        </w:rPr>
        <w:t>ção</w:t>
      </w:r>
      <w:r w:rsidR="00DE5AF7" w:rsidRPr="00C40BD9">
        <w:rPr>
          <w:rFonts w:ascii="Verdana" w:hAnsi="Verdana"/>
          <w:sz w:val="20"/>
          <w:szCs w:val="20"/>
          <w:lang w:val="pt-BR"/>
        </w:rPr>
        <w:t>.</w:t>
      </w:r>
      <w:r w:rsidR="000E15D5" w:rsidRPr="00C40BD9">
        <w:rPr>
          <w:rFonts w:ascii="Verdana" w:hAnsi="Verdana"/>
          <w:sz w:val="20"/>
          <w:szCs w:val="20"/>
          <w:lang w:val="pt-BR"/>
        </w:rPr>
        <w:t xml:space="preserve"> </w:t>
      </w:r>
    </w:p>
    <w:p w:rsidR="0074017B" w:rsidRPr="00C40BD9" w:rsidRDefault="0074017B" w:rsidP="00A82FB4">
      <w:pPr>
        <w:spacing w:after="0" w:line="240" w:lineRule="auto"/>
        <w:jc w:val="both"/>
        <w:rPr>
          <w:rFonts w:ascii="Verdana" w:hAnsi="Verdana"/>
          <w:i/>
          <w:color w:val="FF0000"/>
          <w:sz w:val="20"/>
          <w:szCs w:val="20"/>
          <w:lang w:val="pt-BR"/>
        </w:rPr>
      </w:pPr>
    </w:p>
    <w:p w:rsidR="0074017B" w:rsidRPr="00C40BD9" w:rsidRDefault="0049492F" w:rsidP="00E048DB">
      <w:pPr>
        <w:pStyle w:val="Heading2"/>
        <w:rPr>
          <w:b w:val="0"/>
        </w:rPr>
      </w:pPr>
      <w:r w:rsidRPr="00C40BD9">
        <w:rPr>
          <w:b w:val="0"/>
        </w:rPr>
        <w:t xml:space="preserve">B.2. </w:t>
      </w:r>
      <w:r w:rsidR="0074017B" w:rsidRPr="00C40BD9">
        <w:rPr>
          <w:b w:val="0"/>
        </w:rPr>
        <w:t>Considera</w:t>
      </w:r>
      <w:r w:rsidR="00F633DD" w:rsidRPr="00C40BD9">
        <w:rPr>
          <w:b w:val="0"/>
        </w:rPr>
        <w:t>ções</w:t>
      </w:r>
      <w:r w:rsidR="0074017B" w:rsidRPr="00C40BD9">
        <w:rPr>
          <w:b w:val="0"/>
        </w:rPr>
        <w:t xml:space="preserve"> </w:t>
      </w:r>
      <w:r w:rsidR="00F633DD" w:rsidRPr="00C40BD9">
        <w:rPr>
          <w:b w:val="0"/>
        </w:rPr>
        <w:t xml:space="preserve">da </w:t>
      </w:r>
      <w:r w:rsidR="0074017B" w:rsidRPr="00C40BD9">
        <w:rPr>
          <w:b w:val="0"/>
        </w:rPr>
        <w:t>Corte</w:t>
      </w:r>
    </w:p>
    <w:p w:rsidR="0074017B" w:rsidRPr="00C40BD9" w:rsidRDefault="0074017B" w:rsidP="00A82FB4">
      <w:pPr>
        <w:pStyle w:val="ListParagraph"/>
        <w:spacing w:after="0" w:line="240" w:lineRule="auto"/>
        <w:ind w:left="0"/>
        <w:contextualSpacing w:val="0"/>
        <w:jc w:val="both"/>
        <w:rPr>
          <w:rFonts w:ascii="Verdana" w:hAnsi="Verdana"/>
          <w:sz w:val="20"/>
          <w:szCs w:val="20"/>
          <w:lang w:val="pt-BR"/>
        </w:rPr>
      </w:pPr>
    </w:p>
    <w:p w:rsidR="001F30D1" w:rsidRPr="00C40BD9" w:rsidRDefault="00DE5AF7" w:rsidP="00703EEA">
      <w:pPr>
        <w:pStyle w:val="ListParagraph"/>
        <w:numPr>
          <w:ilvl w:val="0"/>
          <w:numId w:val="2"/>
        </w:numPr>
        <w:tabs>
          <w:tab w:val="clear" w:pos="1247"/>
        </w:tabs>
        <w:autoSpaceDE w:val="0"/>
        <w:autoSpaceDN w:val="0"/>
        <w:adjustRightInd w:val="0"/>
        <w:spacing w:after="0" w:line="240" w:lineRule="auto"/>
        <w:contextualSpacing w:val="0"/>
        <w:jc w:val="both"/>
        <w:rPr>
          <w:rFonts w:ascii="Verdana" w:hAnsi="Verdana"/>
          <w:sz w:val="20"/>
          <w:szCs w:val="20"/>
          <w:lang w:val="pt-BR"/>
        </w:rPr>
      </w:pPr>
      <w:r w:rsidRPr="00C40BD9">
        <w:rPr>
          <w:rFonts w:ascii="Verdana" w:hAnsi="Verdana" w:cs="Verdana"/>
          <w:sz w:val="20"/>
          <w:szCs w:val="20"/>
          <w:lang w:val="pt-BR"/>
        </w:rPr>
        <w:t>A</w:t>
      </w:r>
      <w:r w:rsidR="001F30D1" w:rsidRPr="00C40BD9">
        <w:rPr>
          <w:rFonts w:ascii="Verdana" w:hAnsi="Verdana" w:cs="Verdana"/>
          <w:sz w:val="20"/>
          <w:szCs w:val="20"/>
          <w:lang w:val="pt-BR"/>
        </w:rPr>
        <w:t xml:space="preserve"> Corte </w:t>
      </w:r>
      <w:r w:rsidR="00A51425" w:rsidRPr="00C40BD9">
        <w:rPr>
          <w:rFonts w:ascii="Verdana" w:hAnsi="Verdana" w:cs="Verdana"/>
          <w:sz w:val="20"/>
          <w:szCs w:val="20"/>
          <w:lang w:val="pt-BR"/>
        </w:rPr>
        <w:t xml:space="preserve">considera que o </w:t>
      </w:r>
      <w:r w:rsidR="001F30D1" w:rsidRPr="00C40BD9">
        <w:rPr>
          <w:rFonts w:ascii="Verdana" w:hAnsi="Verdana"/>
          <w:sz w:val="20"/>
          <w:szCs w:val="20"/>
          <w:lang w:val="pt-BR"/>
        </w:rPr>
        <w:t>Estado interp</w:t>
      </w:r>
      <w:r w:rsidR="00A51425" w:rsidRPr="00C40BD9">
        <w:rPr>
          <w:rFonts w:ascii="Verdana" w:hAnsi="Verdana"/>
          <w:sz w:val="20"/>
          <w:szCs w:val="20"/>
          <w:lang w:val="pt-BR"/>
        </w:rPr>
        <w:t xml:space="preserve">ôs </w:t>
      </w:r>
      <w:r w:rsidR="006770ED" w:rsidRPr="00C40BD9">
        <w:rPr>
          <w:rFonts w:ascii="Verdana" w:hAnsi="Verdana"/>
          <w:sz w:val="20"/>
          <w:szCs w:val="20"/>
          <w:lang w:val="pt-BR"/>
        </w:rPr>
        <w:t>uma</w:t>
      </w:r>
      <w:r w:rsidR="00DE316A">
        <w:rPr>
          <w:rFonts w:ascii="Verdana" w:hAnsi="Verdana"/>
          <w:sz w:val="20"/>
          <w:szCs w:val="20"/>
          <w:lang w:val="pt-BR"/>
        </w:rPr>
        <w:t xml:space="preserve"> </w:t>
      </w:r>
      <w:r w:rsidR="00D12C4F" w:rsidRPr="00C40BD9">
        <w:rPr>
          <w:rFonts w:ascii="Verdana" w:hAnsi="Verdana"/>
          <w:sz w:val="20"/>
          <w:szCs w:val="20"/>
          <w:lang w:val="pt-BR"/>
        </w:rPr>
        <w:t>exceção</w:t>
      </w:r>
      <w:r w:rsidR="00DE316A">
        <w:rPr>
          <w:rFonts w:ascii="Verdana" w:hAnsi="Verdana"/>
          <w:sz w:val="20"/>
          <w:szCs w:val="20"/>
          <w:lang w:val="pt-BR"/>
        </w:rPr>
        <w:t xml:space="preserve"> </w:t>
      </w:r>
      <w:r w:rsidR="001F30D1" w:rsidRPr="00C40BD9">
        <w:rPr>
          <w:rFonts w:ascii="Verdana" w:hAnsi="Verdana"/>
          <w:i/>
          <w:sz w:val="20"/>
          <w:szCs w:val="20"/>
          <w:lang w:val="pt-BR"/>
        </w:rPr>
        <w:t xml:space="preserve">ratione personae </w:t>
      </w:r>
      <w:r w:rsidR="00D12C4F" w:rsidRPr="00C40BD9">
        <w:rPr>
          <w:rFonts w:ascii="Verdana" w:hAnsi="Verdana"/>
          <w:sz w:val="20"/>
          <w:szCs w:val="20"/>
          <w:lang w:val="pt-BR"/>
        </w:rPr>
        <w:t xml:space="preserve">no </w:t>
      </w:r>
      <w:r w:rsidR="001F30D1" w:rsidRPr="00C40BD9">
        <w:rPr>
          <w:rFonts w:ascii="Verdana" w:hAnsi="Verdana"/>
          <w:sz w:val="20"/>
          <w:szCs w:val="20"/>
          <w:lang w:val="pt-BR"/>
        </w:rPr>
        <w:t xml:space="preserve">momento </w:t>
      </w:r>
      <w:r w:rsidR="00D12C4F" w:rsidRPr="00C40BD9">
        <w:rPr>
          <w:rFonts w:ascii="Verdana" w:hAnsi="Verdana"/>
          <w:sz w:val="20"/>
          <w:szCs w:val="20"/>
          <w:lang w:val="pt-BR"/>
        </w:rPr>
        <w:t>processual</w:t>
      </w:r>
      <w:r w:rsidR="00DE316A">
        <w:rPr>
          <w:rFonts w:ascii="Verdana" w:hAnsi="Verdana"/>
          <w:sz w:val="20"/>
          <w:szCs w:val="20"/>
          <w:lang w:val="pt-BR"/>
        </w:rPr>
        <w:t xml:space="preserve"> </w:t>
      </w:r>
      <w:r w:rsidR="001F30D1" w:rsidRPr="00C40BD9">
        <w:rPr>
          <w:rFonts w:ascii="Verdana" w:hAnsi="Verdana"/>
          <w:sz w:val="20"/>
          <w:szCs w:val="20"/>
          <w:lang w:val="pt-BR"/>
        </w:rPr>
        <w:t xml:space="preserve">oportuno, a </w:t>
      </w:r>
      <w:r w:rsidR="00D12C4F" w:rsidRPr="00C40BD9">
        <w:rPr>
          <w:rFonts w:ascii="Verdana" w:hAnsi="Verdana"/>
          <w:sz w:val="20"/>
          <w:szCs w:val="20"/>
          <w:lang w:val="pt-BR"/>
        </w:rPr>
        <w:t>q</w:t>
      </w:r>
      <w:r w:rsidR="001F30D1" w:rsidRPr="00C40BD9">
        <w:rPr>
          <w:rFonts w:ascii="Verdana" w:hAnsi="Verdana"/>
          <w:sz w:val="20"/>
          <w:szCs w:val="20"/>
          <w:lang w:val="pt-BR"/>
        </w:rPr>
        <w:t>ual f</w:t>
      </w:r>
      <w:r w:rsidR="00D12C4F" w:rsidRPr="00C40BD9">
        <w:rPr>
          <w:rFonts w:ascii="Verdana" w:hAnsi="Verdana"/>
          <w:sz w:val="20"/>
          <w:szCs w:val="20"/>
          <w:lang w:val="pt-BR"/>
        </w:rPr>
        <w:t xml:space="preserve">oi resolvida nos </w:t>
      </w:r>
      <w:r w:rsidR="00635878" w:rsidRPr="00C40BD9">
        <w:rPr>
          <w:rFonts w:ascii="Verdana" w:hAnsi="Verdana"/>
          <w:sz w:val="20"/>
          <w:szCs w:val="20"/>
          <w:lang w:val="pt-BR"/>
        </w:rPr>
        <w:t>parágrafos</w:t>
      </w:r>
      <w:r w:rsidR="00DE316A">
        <w:rPr>
          <w:rFonts w:ascii="Verdana" w:hAnsi="Verdana"/>
          <w:sz w:val="20"/>
          <w:szCs w:val="20"/>
          <w:lang w:val="pt-BR"/>
        </w:rPr>
        <w:t xml:space="preserve"> </w:t>
      </w:r>
      <w:r w:rsidR="001F30D1" w:rsidRPr="00C40BD9">
        <w:rPr>
          <w:rFonts w:ascii="Verdana" w:hAnsi="Verdana"/>
          <w:sz w:val="20"/>
          <w:szCs w:val="20"/>
          <w:lang w:val="pt-BR"/>
        </w:rPr>
        <w:t xml:space="preserve">35 a 42 </w:t>
      </w:r>
      <w:r w:rsidR="00F633DD" w:rsidRPr="00C40BD9">
        <w:rPr>
          <w:rFonts w:ascii="Verdana" w:hAnsi="Verdana"/>
          <w:sz w:val="20"/>
          <w:szCs w:val="20"/>
          <w:lang w:val="pt-BR"/>
        </w:rPr>
        <w:t xml:space="preserve">da </w:t>
      </w:r>
      <w:r w:rsidR="00D12C4F" w:rsidRPr="00C40BD9">
        <w:rPr>
          <w:rFonts w:ascii="Verdana" w:hAnsi="Verdana"/>
          <w:sz w:val="20"/>
          <w:szCs w:val="20"/>
          <w:lang w:val="pt-BR"/>
        </w:rPr>
        <w:t>S</w:t>
      </w:r>
      <w:r w:rsidR="00C06A9B" w:rsidRPr="00C40BD9">
        <w:rPr>
          <w:rFonts w:ascii="Verdana" w:hAnsi="Verdana"/>
          <w:sz w:val="20"/>
          <w:szCs w:val="20"/>
          <w:lang w:val="pt-BR"/>
        </w:rPr>
        <w:t>entença</w:t>
      </w:r>
      <w:r w:rsidR="001F30D1" w:rsidRPr="00C40BD9">
        <w:rPr>
          <w:rFonts w:ascii="Verdana" w:hAnsi="Verdana" w:cs="Verdana"/>
          <w:sz w:val="20"/>
          <w:szCs w:val="20"/>
          <w:lang w:val="pt-BR"/>
        </w:rPr>
        <w:t xml:space="preserve">. </w:t>
      </w:r>
      <w:r w:rsidR="00703EEA" w:rsidRPr="00C40BD9">
        <w:rPr>
          <w:rFonts w:ascii="Verdana" w:hAnsi="Verdana" w:cs="Verdana"/>
          <w:sz w:val="20"/>
          <w:szCs w:val="20"/>
          <w:lang w:val="pt-BR"/>
        </w:rPr>
        <w:t>Por</w:t>
      </w:r>
      <w:r w:rsidR="001F30D1" w:rsidRPr="00C40BD9">
        <w:rPr>
          <w:rFonts w:ascii="Verdana" w:hAnsi="Verdana" w:cs="Verdana"/>
          <w:sz w:val="20"/>
          <w:szCs w:val="20"/>
          <w:lang w:val="pt-BR"/>
        </w:rPr>
        <w:t>tanto</w:t>
      </w:r>
      <w:r w:rsidR="00D12C4F" w:rsidRPr="00C40BD9">
        <w:rPr>
          <w:rFonts w:ascii="Verdana" w:hAnsi="Verdana" w:cs="Verdana"/>
          <w:sz w:val="20"/>
          <w:szCs w:val="20"/>
          <w:lang w:val="pt-BR"/>
        </w:rPr>
        <w:t>,</w:t>
      </w:r>
      <w:r w:rsidR="001F30D1" w:rsidRPr="00C40BD9">
        <w:rPr>
          <w:rFonts w:ascii="Verdana" w:hAnsi="Verdana" w:cs="Verdana"/>
          <w:sz w:val="20"/>
          <w:szCs w:val="20"/>
          <w:lang w:val="pt-BR"/>
        </w:rPr>
        <w:t xml:space="preserve"> adverte</w:t>
      </w:r>
      <w:r w:rsidR="001F30D1" w:rsidRPr="00C40BD9">
        <w:rPr>
          <w:rFonts w:ascii="Verdana" w:hAnsi="Verdana"/>
          <w:sz w:val="20"/>
          <w:szCs w:val="20"/>
          <w:lang w:val="pt-BR"/>
        </w:rPr>
        <w:t xml:space="preserve"> que, </w:t>
      </w:r>
      <w:r w:rsidR="00D12C4F" w:rsidRPr="00C40BD9">
        <w:rPr>
          <w:rFonts w:ascii="Verdana" w:hAnsi="Verdana"/>
          <w:sz w:val="20"/>
          <w:szCs w:val="20"/>
          <w:lang w:val="pt-BR"/>
        </w:rPr>
        <w:t xml:space="preserve">sob a aparência </w:t>
      </w:r>
      <w:r w:rsidR="001F30D1" w:rsidRPr="00C40BD9">
        <w:rPr>
          <w:rFonts w:ascii="Verdana" w:hAnsi="Verdana"/>
          <w:sz w:val="20"/>
          <w:szCs w:val="20"/>
          <w:lang w:val="pt-BR"/>
        </w:rPr>
        <w:t xml:space="preserve">de </w:t>
      </w:r>
      <w:r w:rsidR="006770ED" w:rsidRPr="00C40BD9">
        <w:rPr>
          <w:rFonts w:ascii="Verdana" w:hAnsi="Verdana"/>
          <w:sz w:val="20"/>
          <w:szCs w:val="20"/>
          <w:lang w:val="pt-BR"/>
        </w:rPr>
        <w:t>uma</w:t>
      </w:r>
      <w:r w:rsidR="00DE316A">
        <w:rPr>
          <w:rFonts w:ascii="Verdana" w:hAnsi="Verdana"/>
          <w:sz w:val="20"/>
          <w:szCs w:val="20"/>
          <w:lang w:val="pt-BR"/>
        </w:rPr>
        <w:t xml:space="preserve"> </w:t>
      </w:r>
      <w:r w:rsidR="00C06A9B" w:rsidRPr="00C40BD9">
        <w:rPr>
          <w:rFonts w:ascii="Verdana" w:hAnsi="Verdana"/>
          <w:sz w:val="20"/>
          <w:szCs w:val="20"/>
          <w:lang w:val="pt-BR"/>
        </w:rPr>
        <w:t>solicitação</w:t>
      </w:r>
      <w:r w:rsidR="00DE316A">
        <w:rPr>
          <w:rFonts w:ascii="Verdana" w:hAnsi="Verdana"/>
          <w:sz w:val="20"/>
          <w:szCs w:val="20"/>
          <w:lang w:val="pt-BR"/>
        </w:rPr>
        <w:t xml:space="preserve"> </w:t>
      </w:r>
      <w:r w:rsidR="001F30D1" w:rsidRPr="00C40BD9">
        <w:rPr>
          <w:rFonts w:ascii="Verdana" w:hAnsi="Verdana"/>
          <w:sz w:val="20"/>
          <w:szCs w:val="20"/>
          <w:lang w:val="pt-BR"/>
        </w:rPr>
        <w:t>de interpreta</w:t>
      </w:r>
      <w:r w:rsidR="00F633DD" w:rsidRPr="00C40BD9">
        <w:rPr>
          <w:rFonts w:ascii="Verdana" w:hAnsi="Verdana"/>
          <w:sz w:val="20"/>
          <w:szCs w:val="20"/>
          <w:lang w:val="pt-BR"/>
        </w:rPr>
        <w:t>ção</w:t>
      </w:r>
      <w:r w:rsidR="001F30D1" w:rsidRPr="00C40BD9">
        <w:rPr>
          <w:rFonts w:ascii="Verdana" w:hAnsi="Verdana"/>
          <w:sz w:val="20"/>
          <w:szCs w:val="20"/>
          <w:lang w:val="pt-BR"/>
        </w:rPr>
        <w:t>, a posi</w:t>
      </w:r>
      <w:r w:rsidR="00F633DD" w:rsidRPr="00C40BD9">
        <w:rPr>
          <w:rFonts w:ascii="Verdana" w:hAnsi="Verdana"/>
          <w:sz w:val="20"/>
          <w:szCs w:val="20"/>
          <w:lang w:val="pt-BR"/>
        </w:rPr>
        <w:t>ção</w:t>
      </w:r>
      <w:r w:rsidR="001F30D1" w:rsidRPr="00C40BD9">
        <w:rPr>
          <w:rFonts w:ascii="Verdana" w:hAnsi="Verdana"/>
          <w:sz w:val="20"/>
          <w:szCs w:val="20"/>
          <w:lang w:val="pt-BR"/>
        </w:rPr>
        <w:t xml:space="preserve"> </w:t>
      </w:r>
      <w:r w:rsidR="00970B13" w:rsidRPr="00C40BD9">
        <w:rPr>
          <w:rFonts w:ascii="Verdana" w:hAnsi="Verdana"/>
          <w:sz w:val="20"/>
          <w:szCs w:val="20"/>
          <w:lang w:val="pt-BR"/>
        </w:rPr>
        <w:t xml:space="preserve">do Estado </w:t>
      </w:r>
      <w:r w:rsidR="001F30D1" w:rsidRPr="00C40BD9">
        <w:rPr>
          <w:rFonts w:ascii="Verdana" w:hAnsi="Verdana"/>
          <w:sz w:val="20"/>
          <w:szCs w:val="20"/>
          <w:lang w:val="pt-BR"/>
        </w:rPr>
        <w:t xml:space="preserve">evidencia </w:t>
      </w:r>
      <w:r w:rsidR="006770ED" w:rsidRPr="00C40BD9">
        <w:rPr>
          <w:rFonts w:ascii="Verdana" w:hAnsi="Verdana"/>
          <w:sz w:val="20"/>
          <w:szCs w:val="20"/>
          <w:lang w:val="pt-BR"/>
        </w:rPr>
        <w:t>uma</w:t>
      </w:r>
      <w:r w:rsidR="00DE316A">
        <w:rPr>
          <w:rFonts w:ascii="Verdana" w:hAnsi="Verdana"/>
          <w:sz w:val="20"/>
          <w:szCs w:val="20"/>
          <w:lang w:val="pt-BR"/>
        </w:rPr>
        <w:t xml:space="preserve"> </w:t>
      </w:r>
      <w:r w:rsidR="001F30D1" w:rsidRPr="00C40BD9">
        <w:rPr>
          <w:rFonts w:ascii="Verdana" w:hAnsi="Verdana"/>
          <w:sz w:val="20"/>
          <w:szCs w:val="20"/>
          <w:lang w:val="pt-BR"/>
        </w:rPr>
        <w:t>discrep</w:t>
      </w:r>
      <w:r w:rsidR="00D12C4F" w:rsidRPr="00C40BD9">
        <w:rPr>
          <w:rFonts w:ascii="Verdana" w:hAnsi="Verdana"/>
          <w:sz w:val="20"/>
          <w:szCs w:val="20"/>
          <w:lang w:val="pt-BR"/>
        </w:rPr>
        <w:t xml:space="preserve">ância em relação ao decidido pela </w:t>
      </w:r>
      <w:r w:rsidR="001F30D1" w:rsidRPr="00C40BD9">
        <w:rPr>
          <w:rFonts w:ascii="Verdana" w:hAnsi="Verdana"/>
          <w:sz w:val="20"/>
          <w:szCs w:val="20"/>
          <w:lang w:val="pt-BR"/>
        </w:rPr>
        <w:t xml:space="preserve">Corte, </w:t>
      </w:r>
      <w:r w:rsidR="00D12C4F" w:rsidRPr="00C40BD9">
        <w:rPr>
          <w:rFonts w:ascii="Verdana" w:hAnsi="Verdana"/>
          <w:sz w:val="20"/>
          <w:szCs w:val="20"/>
          <w:lang w:val="pt-BR"/>
        </w:rPr>
        <w:t xml:space="preserve">já </w:t>
      </w:r>
      <w:r w:rsidR="001F30D1" w:rsidRPr="00C40BD9">
        <w:rPr>
          <w:rFonts w:ascii="Verdana" w:hAnsi="Verdana"/>
          <w:sz w:val="20"/>
          <w:szCs w:val="20"/>
          <w:lang w:val="pt-BR"/>
        </w:rPr>
        <w:t>que pretende recr</w:t>
      </w:r>
      <w:r w:rsidR="00D12C4F" w:rsidRPr="00C40BD9">
        <w:rPr>
          <w:rFonts w:ascii="Verdana" w:hAnsi="Verdana"/>
          <w:sz w:val="20"/>
          <w:szCs w:val="20"/>
          <w:lang w:val="pt-BR"/>
        </w:rPr>
        <w:t>i</w:t>
      </w:r>
      <w:r w:rsidR="001F30D1" w:rsidRPr="00C40BD9">
        <w:rPr>
          <w:rFonts w:ascii="Verdana" w:hAnsi="Verdana"/>
          <w:sz w:val="20"/>
          <w:szCs w:val="20"/>
          <w:lang w:val="pt-BR"/>
        </w:rPr>
        <w:t xml:space="preserve">ar </w:t>
      </w:r>
      <w:r w:rsidR="006770ED" w:rsidRPr="00C40BD9">
        <w:rPr>
          <w:rFonts w:ascii="Verdana" w:hAnsi="Verdana"/>
          <w:sz w:val="20"/>
          <w:szCs w:val="20"/>
          <w:lang w:val="pt-BR"/>
        </w:rPr>
        <w:t>uma</w:t>
      </w:r>
      <w:r w:rsidR="00DE316A">
        <w:rPr>
          <w:rFonts w:ascii="Verdana" w:hAnsi="Verdana"/>
          <w:sz w:val="20"/>
          <w:szCs w:val="20"/>
          <w:lang w:val="pt-BR"/>
        </w:rPr>
        <w:t xml:space="preserve"> </w:t>
      </w:r>
      <w:r w:rsidR="001F30D1" w:rsidRPr="00C40BD9">
        <w:rPr>
          <w:rFonts w:ascii="Verdana" w:hAnsi="Verdana"/>
          <w:sz w:val="20"/>
          <w:szCs w:val="20"/>
          <w:lang w:val="pt-BR"/>
        </w:rPr>
        <w:t>controv</w:t>
      </w:r>
      <w:r w:rsidR="00D12C4F" w:rsidRPr="00C40BD9">
        <w:rPr>
          <w:rFonts w:ascii="Verdana" w:hAnsi="Verdana"/>
          <w:sz w:val="20"/>
          <w:szCs w:val="20"/>
          <w:lang w:val="pt-BR"/>
        </w:rPr>
        <w:t>é</w:t>
      </w:r>
      <w:r w:rsidR="001F30D1" w:rsidRPr="00C40BD9">
        <w:rPr>
          <w:rFonts w:ascii="Verdana" w:hAnsi="Verdana"/>
          <w:sz w:val="20"/>
          <w:szCs w:val="20"/>
          <w:lang w:val="pt-BR"/>
        </w:rPr>
        <w:t xml:space="preserve">rsia </w:t>
      </w:r>
      <w:r w:rsidR="00D12C4F" w:rsidRPr="00C40BD9">
        <w:rPr>
          <w:rFonts w:ascii="Verdana" w:hAnsi="Verdana"/>
          <w:sz w:val="20"/>
          <w:szCs w:val="20"/>
          <w:lang w:val="pt-BR"/>
        </w:rPr>
        <w:t>apresentada na oportunidade processual</w:t>
      </w:r>
      <w:r w:rsidR="00DE316A">
        <w:rPr>
          <w:rFonts w:ascii="Verdana" w:hAnsi="Verdana"/>
          <w:sz w:val="20"/>
          <w:szCs w:val="20"/>
          <w:lang w:val="pt-BR"/>
        </w:rPr>
        <w:t xml:space="preserve"> </w:t>
      </w:r>
      <w:r w:rsidR="00F633DD" w:rsidRPr="00C40BD9">
        <w:rPr>
          <w:rFonts w:ascii="Verdana" w:hAnsi="Verdana"/>
          <w:sz w:val="20"/>
          <w:szCs w:val="20"/>
          <w:lang w:val="pt-BR"/>
        </w:rPr>
        <w:t>e</w:t>
      </w:r>
      <w:r w:rsidR="00DE316A">
        <w:rPr>
          <w:rFonts w:ascii="Verdana" w:hAnsi="Verdana"/>
          <w:sz w:val="20"/>
          <w:szCs w:val="20"/>
          <w:lang w:val="pt-BR"/>
        </w:rPr>
        <w:t xml:space="preserve"> </w:t>
      </w:r>
      <w:r w:rsidR="001F30D1" w:rsidRPr="00C40BD9">
        <w:rPr>
          <w:rFonts w:ascii="Verdana" w:hAnsi="Verdana"/>
          <w:sz w:val="20"/>
          <w:szCs w:val="20"/>
          <w:lang w:val="pt-BR"/>
        </w:rPr>
        <w:t xml:space="preserve">sobre a </w:t>
      </w:r>
      <w:r w:rsidR="00D12C4F" w:rsidRPr="00C40BD9">
        <w:rPr>
          <w:rFonts w:ascii="Verdana" w:hAnsi="Verdana"/>
          <w:sz w:val="20"/>
          <w:szCs w:val="20"/>
          <w:lang w:val="pt-BR"/>
        </w:rPr>
        <w:t>q</w:t>
      </w:r>
      <w:r w:rsidR="001F30D1" w:rsidRPr="00C40BD9">
        <w:rPr>
          <w:rFonts w:ascii="Verdana" w:hAnsi="Verdana"/>
          <w:sz w:val="20"/>
          <w:szCs w:val="20"/>
          <w:lang w:val="pt-BR"/>
        </w:rPr>
        <w:t xml:space="preserve">ual este Tribunal </w:t>
      </w:r>
      <w:r w:rsidR="00D12C4F" w:rsidRPr="00C40BD9">
        <w:rPr>
          <w:rFonts w:ascii="Verdana" w:hAnsi="Verdana"/>
          <w:sz w:val="20"/>
          <w:szCs w:val="20"/>
          <w:lang w:val="pt-BR"/>
        </w:rPr>
        <w:t>já decidiu</w:t>
      </w:r>
      <w:r w:rsidR="001F30D1" w:rsidRPr="00C40BD9">
        <w:rPr>
          <w:rFonts w:ascii="Verdana" w:hAnsi="Verdana"/>
          <w:sz w:val="20"/>
          <w:szCs w:val="20"/>
          <w:lang w:val="pt-BR"/>
        </w:rPr>
        <w:t xml:space="preserve">. Por </w:t>
      </w:r>
      <w:r w:rsidR="00D12C4F" w:rsidRPr="00C40BD9">
        <w:rPr>
          <w:rFonts w:ascii="Verdana" w:hAnsi="Verdana"/>
          <w:sz w:val="20"/>
          <w:szCs w:val="20"/>
          <w:lang w:val="pt-BR"/>
        </w:rPr>
        <w:t>conseguinte</w:t>
      </w:r>
      <w:r w:rsidR="001F30D1" w:rsidRPr="00C40BD9">
        <w:rPr>
          <w:rFonts w:ascii="Verdana" w:hAnsi="Verdana"/>
          <w:sz w:val="20"/>
          <w:szCs w:val="20"/>
          <w:lang w:val="pt-BR"/>
        </w:rPr>
        <w:t>, declara</w:t>
      </w:r>
      <w:r w:rsidR="00FE75D7">
        <w:rPr>
          <w:rFonts w:ascii="Verdana" w:hAnsi="Verdana"/>
          <w:sz w:val="20"/>
          <w:szCs w:val="20"/>
          <w:lang w:val="pt-BR"/>
        </w:rPr>
        <w:t>-se</w:t>
      </w:r>
      <w:r w:rsidR="001F30D1" w:rsidRPr="00C40BD9">
        <w:rPr>
          <w:rFonts w:ascii="Verdana" w:hAnsi="Verdana"/>
          <w:sz w:val="20"/>
          <w:szCs w:val="20"/>
          <w:lang w:val="pt-BR"/>
        </w:rPr>
        <w:t xml:space="preserve"> improcedente a </w:t>
      </w:r>
      <w:r w:rsidR="00C06A9B" w:rsidRPr="00C40BD9">
        <w:rPr>
          <w:rFonts w:ascii="Verdana" w:hAnsi="Verdana"/>
          <w:sz w:val="20"/>
          <w:szCs w:val="20"/>
          <w:lang w:val="pt-BR"/>
        </w:rPr>
        <w:t>solicitação</w:t>
      </w:r>
      <w:r w:rsidR="00DE316A">
        <w:rPr>
          <w:rFonts w:ascii="Verdana" w:hAnsi="Verdana"/>
          <w:sz w:val="20"/>
          <w:szCs w:val="20"/>
          <w:lang w:val="pt-BR"/>
        </w:rPr>
        <w:t xml:space="preserve"> </w:t>
      </w:r>
      <w:r w:rsidR="00970B13" w:rsidRPr="00C40BD9">
        <w:rPr>
          <w:rFonts w:ascii="Verdana" w:hAnsi="Verdana"/>
          <w:sz w:val="20"/>
          <w:szCs w:val="20"/>
          <w:lang w:val="pt-BR"/>
        </w:rPr>
        <w:t xml:space="preserve">do Estado </w:t>
      </w:r>
      <w:r w:rsidR="001F30D1" w:rsidRPr="00C40BD9">
        <w:rPr>
          <w:rFonts w:ascii="Verdana" w:hAnsi="Verdana"/>
          <w:sz w:val="20"/>
          <w:szCs w:val="20"/>
          <w:lang w:val="pt-BR"/>
        </w:rPr>
        <w:t>nes</w:t>
      </w:r>
      <w:r w:rsidR="00D12C4F" w:rsidRPr="00C40BD9">
        <w:rPr>
          <w:rFonts w:ascii="Verdana" w:hAnsi="Verdana"/>
          <w:sz w:val="20"/>
          <w:szCs w:val="20"/>
          <w:lang w:val="pt-BR"/>
        </w:rPr>
        <w:t>s</w:t>
      </w:r>
      <w:r w:rsidR="001F30D1" w:rsidRPr="00C40BD9">
        <w:rPr>
          <w:rFonts w:ascii="Verdana" w:hAnsi="Verdana"/>
          <w:sz w:val="20"/>
          <w:szCs w:val="20"/>
          <w:lang w:val="pt-BR"/>
        </w:rPr>
        <w:t xml:space="preserve">e </w:t>
      </w:r>
      <w:r w:rsidR="00D12C4F" w:rsidRPr="00C40BD9">
        <w:rPr>
          <w:rFonts w:ascii="Verdana" w:hAnsi="Verdana"/>
          <w:sz w:val="20"/>
          <w:szCs w:val="20"/>
          <w:lang w:val="pt-BR"/>
        </w:rPr>
        <w:t>aspecto</w:t>
      </w:r>
      <w:r w:rsidR="001F30D1" w:rsidRPr="00C40BD9">
        <w:rPr>
          <w:rFonts w:ascii="Verdana" w:hAnsi="Verdana"/>
          <w:sz w:val="20"/>
          <w:szCs w:val="20"/>
          <w:lang w:val="pt-BR"/>
        </w:rPr>
        <w:t xml:space="preserve">, </w:t>
      </w:r>
      <w:r w:rsidR="00D12C4F" w:rsidRPr="00C40BD9">
        <w:rPr>
          <w:rFonts w:ascii="Verdana" w:hAnsi="Verdana"/>
          <w:sz w:val="20"/>
          <w:szCs w:val="20"/>
          <w:lang w:val="pt-BR"/>
        </w:rPr>
        <w:t xml:space="preserve">uma </w:t>
      </w:r>
      <w:r w:rsidR="001F30D1" w:rsidRPr="00C40BD9">
        <w:rPr>
          <w:rFonts w:ascii="Verdana" w:hAnsi="Verdana"/>
          <w:sz w:val="20"/>
          <w:szCs w:val="20"/>
          <w:lang w:val="pt-BR"/>
        </w:rPr>
        <w:t xml:space="preserve">vez que </w:t>
      </w:r>
      <w:r w:rsidR="00D12C4F" w:rsidRPr="00C40BD9">
        <w:rPr>
          <w:rFonts w:ascii="Verdana" w:hAnsi="Verdana"/>
          <w:sz w:val="20"/>
          <w:szCs w:val="20"/>
          <w:lang w:val="pt-BR"/>
        </w:rPr>
        <w:t>o</w:t>
      </w:r>
      <w:r w:rsidR="001F30D1" w:rsidRPr="00C40BD9">
        <w:rPr>
          <w:rFonts w:ascii="Verdana" w:hAnsi="Verdana"/>
          <w:sz w:val="20"/>
          <w:szCs w:val="20"/>
          <w:lang w:val="pt-BR"/>
        </w:rPr>
        <w:t xml:space="preserve"> propósito </w:t>
      </w:r>
      <w:r w:rsidR="00F633DD" w:rsidRPr="00C40BD9">
        <w:rPr>
          <w:rFonts w:ascii="Verdana" w:hAnsi="Verdana"/>
          <w:sz w:val="20"/>
          <w:szCs w:val="20"/>
          <w:lang w:val="pt-BR"/>
        </w:rPr>
        <w:t xml:space="preserve">da </w:t>
      </w:r>
      <w:r w:rsidR="001F30D1" w:rsidRPr="00C40BD9">
        <w:rPr>
          <w:rFonts w:ascii="Verdana" w:hAnsi="Verdana"/>
          <w:sz w:val="20"/>
          <w:szCs w:val="20"/>
          <w:lang w:val="pt-BR"/>
        </w:rPr>
        <w:t>interpreta</w:t>
      </w:r>
      <w:r w:rsidR="00F633DD" w:rsidRPr="00C40BD9">
        <w:rPr>
          <w:rFonts w:ascii="Verdana" w:hAnsi="Verdana"/>
          <w:sz w:val="20"/>
          <w:szCs w:val="20"/>
          <w:lang w:val="pt-BR"/>
        </w:rPr>
        <w:t>ção</w:t>
      </w:r>
      <w:r w:rsidR="001F30D1" w:rsidRPr="00C40BD9">
        <w:rPr>
          <w:rFonts w:ascii="Verdana" w:hAnsi="Verdana"/>
          <w:sz w:val="20"/>
          <w:szCs w:val="20"/>
          <w:lang w:val="pt-BR"/>
        </w:rPr>
        <w:t xml:space="preserve"> </w:t>
      </w:r>
      <w:r w:rsidR="006770ED" w:rsidRPr="00C40BD9">
        <w:rPr>
          <w:rFonts w:ascii="Verdana" w:hAnsi="Verdana"/>
          <w:sz w:val="20"/>
          <w:szCs w:val="20"/>
          <w:lang w:val="pt-BR"/>
        </w:rPr>
        <w:t>deve</w:t>
      </w:r>
      <w:r w:rsidR="00DE316A">
        <w:rPr>
          <w:rFonts w:ascii="Verdana" w:hAnsi="Verdana"/>
          <w:sz w:val="20"/>
          <w:szCs w:val="20"/>
          <w:lang w:val="pt-BR"/>
        </w:rPr>
        <w:t xml:space="preserve"> </w:t>
      </w:r>
      <w:r w:rsidR="001F30D1" w:rsidRPr="00C40BD9">
        <w:rPr>
          <w:rFonts w:ascii="Verdana" w:hAnsi="Verdana"/>
          <w:sz w:val="20"/>
          <w:szCs w:val="20"/>
          <w:lang w:val="pt-BR"/>
        </w:rPr>
        <w:t xml:space="preserve">ser </w:t>
      </w:r>
      <w:r w:rsidR="00D12C4F" w:rsidRPr="00C40BD9">
        <w:rPr>
          <w:rFonts w:ascii="Verdana" w:hAnsi="Verdana"/>
          <w:sz w:val="20"/>
          <w:szCs w:val="20"/>
          <w:lang w:val="pt-BR"/>
        </w:rPr>
        <w:t xml:space="preserve">esclarecer algum ponto </w:t>
      </w:r>
      <w:r w:rsidR="001F30D1" w:rsidRPr="00C40BD9">
        <w:rPr>
          <w:rFonts w:ascii="Verdana" w:hAnsi="Verdana"/>
          <w:sz w:val="20"/>
          <w:szCs w:val="20"/>
          <w:lang w:val="pt-BR"/>
        </w:rPr>
        <w:t>impreciso o</w:t>
      </w:r>
      <w:r w:rsidR="00D12C4F" w:rsidRPr="00C40BD9">
        <w:rPr>
          <w:rFonts w:ascii="Verdana" w:hAnsi="Verdana"/>
          <w:sz w:val="20"/>
          <w:szCs w:val="20"/>
          <w:lang w:val="pt-BR"/>
        </w:rPr>
        <w:t>u</w:t>
      </w:r>
      <w:r w:rsidR="001F30D1" w:rsidRPr="00C40BD9">
        <w:rPr>
          <w:rFonts w:ascii="Verdana" w:hAnsi="Verdana"/>
          <w:sz w:val="20"/>
          <w:szCs w:val="20"/>
          <w:lang w:val="pt-BR"/>
        </w:rPr>
        <w:t xml:space="preserve"> amb</w:t>
      </w:r>
      <w:r w:rsidR="00D12C4F" w:rsidRPr="00C40BD9">
        <w:rPr>
          <w:rFonts w:ascii="Verdana" w:hAnsi="Verdana"/>
          <w:sz w:val="20"/>
          <w:szCs w:val="20"/>
          <w:lang w:val="pt-BR"/>
        </w:rPr>
        <w:t>í</w:t>
      </w:r>
      <w:r w:rsidR="001F30D1" w:rsidRPr="00C40BD9">
        <w:rPr>
          <w:rFonts w:ascii="Verdana" w:hAnsi="Verdana"/>
          <w:sz w:val="20"/>
          <w:szCs w:val="20"/>
          <w:lang w:val="pt-BR"/>
        </w:rPr>
        <w:t xml:space="preserve">guo sobre </w:t>
      </w:r>
      <w:r w:rsidR="00D12C4F" w:rsidRPr="00C40BD9">
        <w:rPr>
          <w:rFonts w:ascii="Verdana" w:hAnsi="Verdana"/>
          <w:sz w:val="20"/>
          <w:szCs w:val="20"/>
          <w:lang w:val="pt-BR"/>
        </w:rPr>
        <w:t xml:space="preserve">o </w:t>
      </w:r>
      <w:r w:rsidR="001F30D1" w:rsidRPr="00C40BD9">
        <w:rPr>
          <w:rFonts w:ascii="Verdana" w:hAnsi="Verdana"/>
          <w:sz w:val="20"/>
          <w:szCs w:val="20"/>
          <w:lang w:val="pt-BR"/>
        </w:rPr>
        <w:t>sentido o</w:t>
      </w:r>
      <w:r w:rsidR="00D12C4F" w:rsidRPr="00C40BD9">
        <w:rPr>
          <w:rFonts w:ascii="Verdana" w:hAnsi="Verdana"/>
          <w:sz w:val="20"/>
          <w:szCs w:val="20"/>
          <w:lang w:val="pt-BR"/>
        </w:rPr>
        <w:t>u</w:t>
      </w:r>
      <w:r w:rsidR="001F30D1" w:rsidRPr="00C40BD9">
        <w:rPr>
          <w:rFonts w:ascii="Verdana" w:hAnsi="Verdana"/>
          <w:sz w:val="20"/>
          <w:szCs w:val="20"/>
          <w:lang w:val="pt-BR"/>
        </w:rPr>
        <w:t xml:space="preserve"> alcance </w:t>
      </w:r>
      <w:r w:rsidR="00F633DD" w:rsidRPr="00C40BD9">
        <w:rPr>
          <w:rFonts w:ascii="Verdana" w:hAnsi="Verdana"/>
          <w:sz w:val="20"/>
          <w:szCs w:val="20"/>
          <w:lang w:val="pt-BR"/>
        </w:rPr>
        <w:t>da Sentença</w:t>
      </w:r>
      <w:r w:rsidR="001F30D1" w:rsidRPr="00C40BD9">
        <w:rPr>
          <w:rFonts w:ascii="Verdana" w:hAnsi="Verdana"/>
          <w:sz w:val="20"/>
          <w:szCs w:val="20"/>
          <w:lang w:val="pt-BR"/>
        </w:rPr>
        <w:t xml:space="preserve">, o </w:t>
      </w:r>
      <w:r w:rsidR="00D12C4F" w:rsidRPr="00C40BD9">
        <w:rPr>
          <w:rFonts w:ascii="Verdana" w:hAnsi="Verdana"/>
          <w:sz w:val="20"/>
          <w:szCs w:val="20"/>
          <w:lang w:val="pt-BR"/>
        </w:rPr>
        <w:t xml:space="preserve">que </w:t>
      </w:r>
      <w:r w:rsidR="001F30D1" w:rsidRPr="00C40BD9">
        <w:rPr>
          <w:rFonts w:ascii="Verdana" w:hAnsi="Verdana"/>
          <w:sz w:val="20"/>
          <w:szCs w:val="20"/>
          <w:lang w:val="pt-BR"/>
        </w:rPr>
        <w:t>n</w:t>
      </w:r>
      <w:r w:rsidR="00D12C4F" w:rsidRPr="00C40BD9">
        <w:rPr>
          <w:rFonts w:ascii="Verdana" w:hAnsi="Verdana"/>
          <w:sz w:val="20"/>
          <w:szCs w:val="20"/>
          <w:lang w:val="pt-BR"/>
        </w:rPr>
        <w:t>ã</w:t>
      </w:r>
      <w:r w:rsidR="001F30D1" w:rsidRPr="00C40BD9">
        <w:rPr>
          <w:rFonts w:ascii="Verdana" w:hAnsi="Verdana"/>
          <w:sz w:val="20"/>
          <w:szCs w:val="20"/>
          <w:lang w:val="pt-BR"/>
        </w:rPr>
        <w:t xml:space="preserve">o </w:t>
      </w:r>
      <w:r w:rsidR="00D12C4F" w:rsidRPr="00C40BD9">
        <w:rPr>
          <w:rFonts w:ascii="Verdana" w:hAnsi="Verdana"/>
          <w:sz w:val="20"/>
          <w:szCs w:val="20"/>
          <w:lang w:val="pt-BR"/>
        </w:rPr>
        <w:t xml:space="preserve">é cabível a respeito desses </w:t>
      </w:r>
      <w:r w:rsidR="00635878" w:rsidRPr="00C40BD9">
        <w:rPr>
          <w:rFonts w:ascii="Verdana" w:hAnsi="Verdana"/>
          <w:sz w:val="20"/>
          <w:szCs w:val="20"/>
          <w:lang w:val="pt-BR"/>
        </w:rPr>
        <w:t>parágrafos</w:t>
      </w:r>
      <w:r w:rsidR="001F30D1" w:rsidRPr="00C40BD9">
        <w:rPr>
          <w:rFonts w:ascii="Verdana" w:hAnsi="Verdana"/>
          <w:sz w:val="20"/>
          <w:szCs w:val="20"/>
          <w:lang w:val="pt-BR"/>
        </w:rPr>
        <w:t>, nos t</w:t>
      </w:r>
      <w:r w:rsidR="00D12C4F" w:rsidRPr="00C40BD9">
        <w:rPr>
          <w:rFonts w:ascii="Verdana" w:hAnsi="Verdana"/>
          <w:sz w:val="20"/>
          <w:szCs w:val="20"/>
          <w:lang w:val="pt-BR"/>
        </w:rPr>
        <w:t>e</w:t>
      </w:r>
      <w:r w:rsidR="001F30D1" w:rsidRPr="00C40BD9">
        <w:rPr>
          <w:rFonts w:ascii="Verdana" w:hAnsi="Verdana"/>
          <w:sz w:val="20"/>
          <w:szCs w:val="20"/>
          <w:lang w:val="pt-BR"/>
        </w:rPr>
        <w:t xml:space="preserve">rmos </w:t>
      </w:r>
      <w:r w:rsidR="001A4631">
        <w:rPr>
          <w:rFonts w:ascii="Verdana" w:hAnsi="Verdana"/>
          <w:sz w:val="20"/>
          <w:szCs w:val="20"/>
          <w:lang w:val="pt-BR"/>
        </w:rPr>
        <w:t>propostos</w:t>
      </w:r>
      <w:r w:rsidR="001F30D1" w:rsidRPr="00C40BD9">
        <w:rPr>
          <w:rFonts w:ascii="Verdana" w:hAnsi="Verdana"/>
          <w:sz w:val="20"/>
          <w:szCs w:val="20"/>
          <w:lang w:val="pt-BR"/>
        </w:rPr>
        <w:t>.</w:t>
      </w:r>
    </w:p>
    <w:p w:rsidR="0074017B" w:rsidRPr="00C40BD9" w:rsidRDefault="0074017B" w:rsidP="00A82FB4">
      <w:pPr>
        <w:pStyle w:val="ListParagraph"/>
        <w:spacing w:after="0" w:line="240" w:lineRule="auto"/>
        <w:ind w:left="0"/>
        <w:contextualSpacing w:val="0"/>
        <w:jc w:val="both"/>
        <w:rPr>
          <w:rFonts w:ascii="Verdana" w:hAnsi="Verdana"/>
          <w:b/>
          <w:sz w:val="20"/>
          <w:szCs w:val="20"/>
          <w:lang w:val="pt-BR"/>
        </w:rPr>
      </w:pPr>
    </w:p>
    <w:p w:rsidR="0074017B" w:rsidRPr="00C40BD9" w:rsidRDefault="0074017B" w:rsidP="00A82FB4">
      <w:pPr>
        <w:pStyle w:val="ListParagraph"/>
        <w:numPr>
          <w:ilvl w:val="0"/>
          <w:numId w:val="3"/>
        </w:numPr>
        <w:jc w:val="both"/>
        <w:rPr>
          <w:rFonts w:ascii="Verdana" w:hAnsi="Verdana"/>
          <w:b/>
          <w:sz w:val="20"/>
          <w:szCs w:val="20"/>
          <w:lang w:val="pt-BR"/>
        </w:rPr>
      </w:pPr>
      <w:r w:rsidRPr="00C40BD9">
        <w:rPr>
          <w:rFonts w:ascii="Verdana" w:hAnsi="Verdana"/>
          <w:b/>
          <w:sz w:val="20"/>
          <w:szCs w:val="20"/>
          <w:lang w:val="pt-BR"/>
        </w:rPr>
        <w:t>C</w:t>
      </w:r>
      <w:r w:rsidR="00331226" w:rsidRPr="00C40BD9">
        <w:rPr>
          <w:rFonts w:ascii="Verdana" w:hAnsi="Verdana"/>
          <w:b/>
          <w:sz w:val="20"/>
          <w:szCs w:val="20"/>
          <w:lang w:val="pt-BR"/>
        </w:rPr>
        <w:t>ompet</w:t>
      </w:r>
      <w:r w:rsidR="00D12C4F" w:rsidRPr="00C40BD9">
        <w:rPr>
          <w:rFonts w:ascii="Verdana" w:hAnsi="Verdana"/>
          <w:b/>
          <w:sz w:val="20"/>
          <w:szCs w:val="20"/>
          <w:lang w:val="pt-BR"/>
        </w:rPr>
        <w:t>ê</w:t>
      </w:r>
      <w:r w:rsidR="00331226" w:rsidRPr="00C40BD9">
        <w:rPr>
          <w:rFonts w:ascii="Verdana" w:hAnsi="Verdana"/>
          <w:b/>
          <w:sz w:val="20"/>
          <w:szCs w:val="20"/>
          <w:lang w:val="pt-BR"/>
        </w:rPr>
        <w:t xml:space="preserve">ncia </w:t>
      </w:r>
      <w:r w:rsidR="00D12C4F" w:rsidRPr="00C40BD9">
        <w:rPr>
          <w:rFonts w:ascii="Verdana" w:hAnsi="Verdana"/>
          <w:b/>
          <w:i/>
          <w:sz w:val="20"/>
          <w:szCs w:val="20"/>
          <w:lang w:val="pt-BR"/>
        </w:rPr>
        <w:t>r</w:t>
      </w:r>
      <w:r w:rsidR="00331226" w:rsidRPr="00C40BD9">
        <w:rPr>
          <w:rFonts w:ascii="Verdana" w:hAnsi="Verdana"/>
          <w:b/>
          <w:i/>
          <w:sz w:val="20"/>
          <w:szCs w:val="20"/>
          <w:lang w:val="pt-BR"/>
        </w:rPr>
        <w:t xml:space="preserve">atione </w:t>
      </w:r>
      <w:r w:rsidR="00D12C4F" w:rsidRPr="00C40BD9">
        <w:rPr>
          <w:rFonts w:ascii="Verdana" w:hAnsi="Verdana"/>
          <w:b/>
          <w:i/>
          <w:sz w:val="20"/>
          <w:szCs w:val="20"/>
          <w:lang w:val="pt-BR"/>
        </w:rPr>
        <w:t>m</w:t>
      </w:r>
      <w:r w:rsidR="00331226" w:rsidRPr="00C40BD9">
        <w:rPr>
          <w:rFonts w:ascii="Verdana" w:hAnsi="Verdana"/>
          <w:b/>
          <w:i/>
          <w:sz w:val="20"/>
          <w:szCs w:val="20"/>
          <w:lang w:val="pt-BR"/>
        </w:rPr>
        <w:t xml:space="preserve">ateriae </w:t>
      </w:r>
      <w:r w:rsidR="00331226" w:rsidRPr="00C40BD9">
        <w:rPr>
          <w:rFonts w:ascii="Verdana" w:hAnsi="Verdana"/>
          <w:b/>
          <w:sz w:val="20"/>
          <w:szCs w:val="20"/>
          <w:lang w:val="pt-BR"/>
        </w:rPr>
        <w:t>e</w:t>
      </w:r>
      <w:r w:rsidR="00D12C4F" w:rsidRPr="00C40BD9">
        <w:rPr>
          <w:rFonts w:ascii="Verdana" w:hAnsi="Verdana"/>
          <w:b/>
          <w:sz w:val="20"/>
          <w:szCs w:val="20"/>
          <w:lang w:val="pt-BR"/>
        </w:rPr>
        <w:t>m</w:t>
      </w:r>
      <w:r w:rsidR="00331226" w:rsidRPr="00C40BD9">
        <w:rPr>
          <w:rFonts w:ascii="Verdana" w:hAnsi="Verdana"/>
          <w:b/>
          <w:sz w:val="20"/>
          <w:szCs w:val="20"/>
          <w:lang w:val="pt-BR"/>
        </w:rPr>
        <w:t xml:space="preserve"> rela</w:t>
      </w:r>
      <w:r w:rsidR="00F633DD" w:rsidRPr="00C40BD9">
        <w:rPr>
          <w:rFonts w:ascii="Verdana" w:hAnsi="Verdana"/>
          <w:b/>
          <w:sz w:val="20"/>
          <w:szCs w:val="20"/>
          <w:lang w:val="pt-BR"/>
        </w:rPr>
        <w:t>ção</w:t>
      </w:r>
      <w:r w:rsidR="00331226" w:rsidRPr="00C40BD9">
        <w:rPr>
          <w:rFonts w:ascii="Verdana" w:hAnsi="Verdana"/>
          <w:b/>
          <w:sz w:val="20"/>
          <w:szCs w:val="20"/>
          <w:lang w:val="pt-BR"/>
        </w:rPr>
        <w:t xml:space="preserve"> </w:t>
      </w:r>
      <w:r w:rsidR="00D12C4F" w:rsidRPr="00C40BD9">
        <w:rPr>
          <w:rFonts w:ascii="Verdana" w:hAnsi="Verdana"/>
          <w:b/>
          <w:sz w:val="20"/>
          <w:szCs w:val="20"/>
          <w:lang w:val="pt-BR"/>
        </w:rPr>
        <w:t xml:space="preserve">à </w:t>
      </w:r>
      <w:r w:rsidR="00331226" w:rsidRPr="00C40BD9">
        <w:rPr>
          <w:rFonts w:ascii="Verdana" w:hAnsi="Verdana"/>
          <w:b/>
          <w:sz w:val="20"/>
          <w:szCs w:val="20"/>
          <w:lang w:val="pt-BR"/>
        </w:rPr>
        <w:t>Conven</w:t>
      </w:r>
      <w:r w:rsidR="00F633DD" w:rsidRPr="00C40BD9">
        <w:rPr>
          <w:rFonts w:ascii="Verdana" w:hAnsi="Verdana"/>
          <w:b/>
          <w:sz w:val="20"/>
          <w:szCs w:val="20"/>
          <w:lang w:val="pt-BR"/>
        </w:rPr>
        <w:t>ção</w:t>
      </w:r>
      <w:r w:rsidR="00331226" w:rsidRPr="00C40BD9">
        <w:rPr>
          <w:rFonts w:ascii="Verdana" w:hAnsi="Verdana"/>
          <w:b/>
          <w:sz w:val="20"/>
          <w:szCs w:val="20"/>
          <w:lang w:val="pt-BR"/>
        </w:rPr>
        <w:t xml:space="preserve"> Interamericana para Prevenir </w:t>
      </w:r>
      <w:r w:rsidR="00F633DD" w:rsidRPr="00C40BD9">
        <w:rPr>
          <w:rFonts w:ascii="Verdana" w:hAnsi="Verdana"/>
          <w:b/>
          <w:sz w:val="20"/>
          <w:szCs w:val="20"/>
          <w:lang w:val="pt-BR"/>
        </w:rPr>
        <w:t>e</w:t>
      </w:r>
      <w:r w:rsidR="00DE316A">
        <w:rPr>
          <w:rFonts w:ascii="Verdana" w:hAnsi="Verdana"/>
          <w:b/>
          <w:sz w:val="20"/>
          <w:szCs w:val="20"/>
          <w:lang w:val="pt-BR"/>
        </w:rPr>
        <w:t xml:space="preserve"> </w:t>
      </w:r>
      <w:r w:rsidR="00D12C4F" w:rsidRPr="00C40BD9">
        <w:rPr>
          <w:rFonts w:ascii="Verdana" w:hAnsi="Verdana"/>
          <w:b/>
          <w:sz w:val="20"/>
          <w:szCs w:val="20"/>
          <w:lang w:val="pt-BR"/>
        </w:rPr>
        <w:t xml:space="preserve">Punir </w:t>
      </w:r>
      <w:r w:rsidR="00331226" w:rsidRPr="00C40BD9">
        <w:rPr>
          <w:rFonts w:ascii="Verdana" w:hAnsi="Verdana"/>
          <w:b/>
          <w:sz w:val="20"/>
          <w:szCs w:val="20"/>
          <w:lang w:val="pt-BR"/>
        </w:rPr>
        <w:t>a Tortura</w:t>
      </w:r>
      <w:r w:rsidRPr="00C40BD9">
        <w:rPr>
          <w:rFonts w:ascii="Verdana" w:hAnsi="Verdana"/>
          <w:b/>
          <w:sz w:val="20"/>
          <w:szCs w:val="20"/>
          <w:lang w:val="pt-BR"/>
        </w:rPr>
        <w:t xml:space="preserve"> </w:t>
      </w:r>
    </w:p>
    <w:p w:rsidR="0049492F" w:rsidRPr="00C40BD9" w:rsidRDefault="0049492F" w:rsidP="00E048DB">
      <w:pPr>
        <w:pStyle w:val="Heading4"/>
        <w:tabs>
          <w:tab w:val="clear" w:pos="0"/>
        </w:tabs>
        <w:rPr>
          <w:lang w:val="pt-BR"/>
        </w:rPr>
      </w:pPr>
      <w:r w:rsidRPr="00C40BD9">
        <w:rPr>
          <w:lang w:val="pt-BR"/>
        </w:rPr>
        <w:lastRenderedPageBreak/>
        <w:t xml:space="preserve">C.1. Argumentos </w:t>
      </w:r>
      <w:r w:rsidR="00C06A9B" w:rsidRPr="00C40BD9">
        <w:rPr>
          <w:lang w:val="pt-BR"/>
        </w:rPr>
        <w:t xml:space="preserve">das </w:t>
      </w:r>
      <w:r w:rsidRPr="00C40BD9">
        <w:rPr>
          <w:lang w:val="pt-BR"/>
        </w:rPr>
        <w:t xml:space="preserve">partes </w:t>
      </w:r>
      <w:r w:rsidR="00F633DD" w:rsidRPr="00C40BD9">
        <w:rPr>
          <w:lang w:val="pt-BR"/>
        </w:rPr>
        <w:t>e</w:t>
      </w:r>
      <w:r w:rsidR="00DE316A">
        <w:rPr>
          <w:lang w:val="pt-BR"/>
        </w:rPr>
        <w:t xml:space="preserve"> </w:t>
      </w:r>
      <w:r w:rsidR="00F633DD" w:rsidRPr="00C40BD9">
        <w:rPr>
          <w:lang w:val="pt-BR"/>
        </w:rPr>
        <w:t xml:space="preserve">da </w:t>
      </w:r>
      <w:r w:rsidR="00C06A9B" w:rsidRPr="00C40BD9">
        <w:rPr>
          <w:lang w:val="pt-BR"/>
        </w:rPr>
        <w:t>Comissão</w:t>
      </w:r>
      <w:r w:rsidR="00DE316A">
        <w:rPr>
          <w:lang w:val="pt-BR"/>
        </w:rPr>
        <w:t xml:space="preserve"> </w:t>
      </w:r>
    </w:p>
    <w:p w:rsidR="0074017B" w:rsidRPr="00C40BD9" w:rsidRDefault="0074017B" w:rsidP="00A82FB4">
      <w:pPr>
        <w:widowControl w:val="0"/>
        <w:spacing w:after="0" w:line="240" w:lineRule="auto"/>
        <w:jc w:val="both"/>
        <w:rPr>
          <w:rFonts w:ascii="Verdana" w:hAnsi="Verdana"/>
          <w:b/>
          <w:smallCaps/>
          <w:sz w:val="20"/>
          <w:szCs w:val="20"/>
          <w:lang w:val="pt-BR"/>
        </w:rPr>
      </w:pPr>
    </w:p>
    <w:p w:rsidR="0074017B" w:rsidRPr="00C40BD9" w:rsidRDefault="00D12C4F" w:rsidP="00A82FB4">
      <w:pPr>
        <w:pStyle w:val="ListParagraph"/>
        <w:numPr>
          <w:ilvl w:val="0"/>
          <w:numId w:val="2"/>
        </w:numPr>
        <w:tabs>
          <w:tab w:val="clear" w:pos="1247"/>
        </w:tabs>
        <w:spacing w:after="0" w:line="240" w:lineRule="auto"/>
        <w:contextualSpacing w:val="0"/>
        <w:jc w:val="both"/>
        <w:rPr>
          <w:rFonts w:ascii="Verdana" w:hAnsi="Verdana"/>
          <w:sz w:val="20"/>
          <w:szCs w:val="20"/>
          <w:lang w:val="pt-BR"/>
        </w:rPr>
      </w:pPr>
      <w:r w:rsidRPr="00C40BD9">
        <w:rPr>
          <w:rFonts w:ascii="Verdana" w:hAnsi="Verdana"/>
          <w:sz w:val="20"/>
          <w:szCs w:val="20"/>
          <w:lang w:val="pt-BR"/>
        </w:rPr>
        <w:t xml:space="preserve">No </w:t>
      </w:r>
      <w:r w:rsidR="00C06A9B" w:rsidRPr="00C40BD9">
        <w:rPr>
          <w:rFonts w:ascii="Verdana" w:hAnsi="Verdana"/>
          <w:sz w:val="20"/>
          <w:szCs w:val="20"/>
          <w:lang w:val="pt-BR"/>
        </w:rPr>
        <w:t xml:space="preserve">parágrafo </w:t>
      </w:r>
      <w:r w:rsidR="0074017B" w:rsidRPr="00C40BD9">
        <w:rPr>
          <w:rFonts w:ascii="Verdana" w:hAnsi="Verdana"/>
          <w:sz w:val="20"/>
          <w:szCs w:val="20"/>
          <w:lang w:val="pt-BR"/>
        </w:rPr>
        <w:t xml:space="preserve">66 </w:t>
      </w:r>
      <w:r w:rsidR="00F633DD" w:rsidRPr="00C40BD9">
        <w:rPr>
          <w:rFonts w:ascii="Verdana" w:hAnsi="Verdana"/>
          <w:sz w:val="20"/>
          <w:szCs w:val="20"/>
          <w:lang w:val="pt-BR"/>
        </w:rPr>
        <w:t>da Sentença</w:t>
      </w:r>
      <w:r w:rsidRPr="00C40BD9">
        <w:rPr>
          <w:rFonts w:ascii="Verdana" w:hAnsi="Verdana"/>
          <w:sz w:val="20"/>
          <w:szCs w:val="20"/>
          <w:lang w:val="pt-BR"/>
        </w:rPr>
        <w:t>,</w:t>
      </w:r>
      <w:r w:rsidR="00DE316A">
        <w:rPr>
          <w:rFonts w:ascii="Verdana" w:hAnsi="Verdana"/>
          <w:sz w:val="20"/>
          <w:szCs w:val="20"/>
          <w:lang w:val="pt-BR"/>
        </w:rPr>
        <w:t xml:space="preserve"> </w:t>
      </w:r>
      <w:r w:rsidR="00036A1B" w:rsidRPr="00C40BD9">
        <w:rPr>
          <w:rFonts w:ascii="Verdana" w:hAnsi="Verdana"/>
          <w:sz w:val="20"/>
          <w:szCs w:val="20"/>
          <w:lang w:val="pt-BR"/>
        </w:rPr>
        <w:t xml:space="preserve">a Corte </w:t>
      </w:r>
      <w:r w:rsidR="0074017B" w:rsidRPr="00C40BD9">
        <w:rPr>
          <w:rFonts w:ascii="Verdana" w:hAnsi="Verdana"/>
          <w:sz w:val="20"/>
          <w:szCs w:val="20"/>
          <w:lang w:val="pt-BR"/>
        </w:rPr>
        <w:t>se declar</w:t>
      </w:r>
      <w:r w:rsidRPr="00C40BD9">
        <w:rPr>
          <w:rFonts w:ascii="Verdana" w:hAnsi="Verdana"/>
          <w:sz w:val="20"/>
          <w:szCs w:val="20"/>
          <w:lang w:val="pt-BR"/>
        </w:rPr>
        <w:t>ou</w:t>
      </w:r>
      <w:r w:rsidR="0074017B" w:rsidRPr="00C40BD9">
        <w:rPr>
          <w:rFonts w:ascii="Verdana" w:hAnsi="Verdana"/>
          <w:sz w:val="20"/>
          <w:szCs w:val="20"/>
          <w:lang w:val="pt-BR"/>
        </w:rPr>
        <w:t xml:space="preserve"> competente para interpretar </w:t>
      </w:r>
      <w:r w:rsidR="00F633DD" w:rsidRPr="00C40BD9">
        <w:rPr>
          <w:rFonts w:ascii="Verdana" w:hAnsi="Verdana"/>
          <w:sz w:val="20"/>
          <w:szCs w:val="20"/>
          <w:lang w:val="pt-BR"/>
        </w:rPr>
        <w:t>e</w:t>
      </w:r>
      <w:r w:rsidR="00DE316A">
        <w:rPr>
          <w:rFonts w:ascii="Verdana" w:hAnsi="Verdana"/>
          <w:sz w:val="20"/>
          <w:szCs w:val="20"/>
          <w:lang w:val="pt-BR"/>
        </w:rPr>
        <w:t xml:space="preserve"> </w:t>
      </w:r>
      <w:r w:rsidR="0074017B" w:rsidRPr="00C40BD9">
        <w:rPr>
          <w:rFonts w:ascii="Verdana" w:hAnsi="Verdana"/>
          <w:sz w:val="20"/>
          <w:szCs w:val="20"/>
          <w:lang w:val="pt-BR"/>
        </w:rPr>
        <w:t xml:space="preserve">aplicar a </w:t>
      </w:r>
      <w:r w:rsidR="000246F0" w:rsidRPr="00C40BD9">
        <w:rPr>
          <w:rFonts w:ascii="Verdana" w:hAnsi="Verdana"/>
          <w:sz w:val="20"/>
          <w:szCs w:val="20"/>
          <w:lang w:val="pt-BR"/>
        </w:rPr>
        <w:t>Conven</w:t>
      </w:r>
      <w:r w:rsidR="00F633DD" w:rsidRPr="00C40BD9">
        <w:rPr>
          <w:rFonts w:ascii="Verdana" w:hAnsi="Verdana"/>
          <w:sz w:val="20"/>
          <w:szCs w:val="20"/>
          <w:lang w:val="pt-BR"/>
        </w:rPr>
        <w:t>ção</w:t>
      </w:r>
      <w:r w:rsidR="000246F0" w:rsidRPr="00C40BD9">
        <w:rPr>
          <w:rFonts w:ascii="Verdana" w:hAnsi="Verdana"/>
          <w:sz w:val="20"/>
          <w:szCs w:val="20"/>
          <w:lang w:val="pt-BR"/>
        </w:rPr>
        <w:t xml:space="preserve"> Interamericana para Prevenir </w:t>
      </w:r>
      <w:r w:rsidR="00F633DD" w:rsidRPr="00C40BD9">
        <w:rPr>
          <w:rFonts w:ascii="Verdana" w:hAnsi="Verdana"/>
          <w:sz w:val="20"/>
          <w:szCs w:val="20"/>
          <w:lang w:val="pt-BR"/>
        </w:rPr>
        <w:t>e</w:t>
      </w:r>
      <w:r w:rsidR="00DE316A">
        <w:rPr>
          <w:rFonts w:ascii="Verdana" w:hAnsi="Verdana"/>
          <w:sz w:val="20"/>
          <w:szCs w:val="20"/>
          <w:lang w:val="pt-BR"/>
        </w:rPr>
        <w:t xml:space="preserve"> </w:t>
      </w:r>
      <w:r w:rsidRPr="00C40BD9">
        <w:rPr>
          <w:rFonts w:ascii="Verdana" w:hAnsi="Verdana"/>
          <w:sz w:val="20"/>
          <w:szCs w:val="20"/>
          <w:lang w:val="pt-BR"/>
        </w:rPr>
        <w:t xml:space="preserve">Punir </w:t>
      </w:r>
      <w:r w:rsidR="000246F0" w:rsidRPr="00C40BD9">
        <w:rPr>
          <w:rFonts w:ascii="Verdana" w:hAnsi="Verdana"/>
          <w:sz w:val="20"/>
          <w:szCs w:val="20"/>
          <w:lang w:val="pt-BR"/>
        </w:rPr>
        <w:t>a Tortura (</w:t>
      </w:r>
      <w:r w:rsidRPr="00C40BD9">
        <w:rPr>
          <w:rFonts w:ascii="Verdana" w:hAnsi="Verdana"/>
          <w:sz w:val="20"/>
          <w:szCs w:val="20"/>
          <w:lang w:val="pt-BR"/>
        </w:rPr>
        <w:t xml:space="preserve">doravante denominada </w:t>
      </w:r>
      <w:r w:rsidR="000246F0" w:rsidRPr="00C40BD9">
        <w:rPr>
          <w:rFonts w:ascii="Verdana" w:hAnsi="Verdana"/>
          <w:sz w:val="20"/>
          <w:szCs w:val="20"/>
          <w:lang w:val="pt-BR"/>
        </w:rPr>
        <w:t>“CIPST”)</w:t>
      </w:r>
      <w:r w:rsidR="0074017B" w:rsidRPr="00C40BD9">
        <w:rPr>
          <w:rFonts w:ascii="Verdana" w:hAnsi="Verdana"/>
          <w:sz w:val="20"/>
          <w:szCs w:val="20"/>
          <w:lang w:val="pt-BR"/>
        </w:rPr>
        <w:t xml:space="preserve"> </w:t>
      </w:r>
      <w:r w:rsidR="00F633DD" w:rsidRPr="00C40BD9">
        <w:rPr>
          <w:rFonts w:ascii="Verdana" w:hAnsi="Verdana"/>
          <w:sz w:val="20"/>
          <w:szCs w:val="20"/>
          <w:lang w:val="pt-BR"/>
        </w:rPr>
        <w:t>e</w:t>
      </w:r>
      <w:r w:rsidR="00DE316A">
        <w:rPr>
          <w:rFonts w:ascii="Verdana" w:hAnsi="Verdana"/>
          <w:sz w:val="20"/>
          <w:szCs w:val="20"/>
          <w:lang w:val="pt-BR"/>
        </w:rPr>
        <w:t xml:space="preserve"> </w:t>
      </w:r>
      <w:r w:rsidR="0074017B" w:rsidRPr="00C40BD9">
        <w:rPr>
          <w:rFonts w:ascii="Verdana" w:hAnsi="Verdana"/>
          <w:sz w:val="20"/>
          <w:szCs w:val="20"/>
          <w:lang w:val="pt-BR"/>
        </w:rPr>
        <w:t>declarar a responsabilidad</w:t>
      </w:r>
      <w:r w:rsidRPr="00C40BD9">
        <w:rPr>
          <w:rFonts w:ascii="Verdana" w:hAnsi="Verdana"/>
          <w:sz w:val="20"/>
          <w:szCs w:val="20"/>
          <w:lang w:val="pt-BR"/>
        </w:rPr>
        <w:t>e</w:t>
      </w:r>
      <w:r w:rsidR="0074017B" w:rsidRPr="00C40BD9">
        <w:rPr>
          <w:rFonts w:ascii="Verdana" w:hAnsi="Verdana"/>
          <w:sz w:val="20"/>
          <w:szCs w:val="20"/>
          <w:lang w:val="pt-BR"/>
        </w:rPr>
        <w:t xml:space="preserve"> de u</w:t>
      </w:r>
      <w:r w:rsidRPr="00C40BD9">
        <w:rPr>
          <w:rFonts w:ascii="Verdana" w:hAnsi="Verdana"/>
          <w:sz w:val="20"/>
          <w:szCs w:val="20"/>
          <w:lang w:val="pt-BR"/>
        </w:rPr>
        <w:t>m</w:t>
      </w:r>
      <w:r w:rsidR="0074017B" w:rsidRPr="00C40BD9">
        <w:rPr>
          <w:rFonts w:ascii="Verdana" w:hAnsi="Verdana"/>
          <w:sz w:val="20"/>
          <w:szCs w:val="20"/>
          <w:lang w:val="pt-BR"/>
        </w:rPr>
        <w:t xml:space="preserve"> Estado que </w:t>
      </w:r>
      <w:r w:rsidRPr="00C40BD9">
        <w:rPr>
          <w:rFonts w:ascii="Verdana" w:hAnsi="Verdana"/>
          <w:sz w:val="20"/>
          <w:szCs w:val="20"/>
          <w:lang w:val="pt-BR"/>
        </w:rPr>
        <w:t xml:space="preserve">tenha </w:t>
      </w:r>
      <w:r w:rsidR="0074017B" w:rsidRPr="00C40BD9">
        <w:rPr>
          <w:rFonts w:ascii="Verdana" w:hAnsi="Verdana"/>
          <w:sz w:val="20"/>
          <w:szCs w:val="20"/>
          <w:lang w:val="pt-BR"/>
        </w:rPr>
        <w:t>dado s</w:t>
      </w:r>
      <w:r w:rsidRPr="00C40BD9">
        <w:rPr>
          <w:rFonts w:ascii="Verdana" w:hAnsi="Verdana"/>
          <w:sz w:val="20"/>
          <w:szCs w:val="20"/>
          <w:lang w:val="pt-BR"/>
        </w:rPr>
        <w:t>e</w:t>
      </w:r>
      <w:r w:rsidR="0074017B" w:rsidRPr="00C40BD9">
        <w:rPr>
          <w:rFonts w:ascii="Verdana" w:hAnsi="Verdana"/>
          <w:sz w:val="20"/>
          <w:szCs w:val="20"/>
          <w:lang w:val="pt-BR"/>
        </w:rPr>
        <w:t>u consentimento para ob</w:t>
      </w:r>
      <w:r w:rsidRPr="00C40BD9">
        <w:rPr>
          <w:rFonts w:ascii="Verdana" w:hAnsi="Verdana"/>
          <w:sz w:val="20"/>
          <w:szCs w:val="20"/>
          <w:lang w:val="pt-BR"/>
        </w:rPr>
        <w:t>r</w:t>
      </w:r>
      <w:r w:rsidR="0074017B" w:rsidRPr="00C40BD9">
        <w:rPr>
          <w:rFonts w:ascii="Verdana" w:hAnsi="Verdana"/>
          <w:sz w:val="20"/>
          <w:szCs w:val="20"/>
          <w:lang w:val="pt-BR"/>
        </w:rPr>
        <w:t>igar</w:t>
      </w:r>
      <w:r w:rsidRPr="00C40BD9">
        <w:rPr>
          <w:rFonts w:ascii="Verdana" w:hAnsi="Verdana"/>
          <w:sz w:val="20"/>
          <w:szCs w:val="20"/>
          <w:lang w:val="pt-BR"/>
        </w:rPr>
        <w:t>-</w:t>
      </w:r>
      <w:r w:rsidR="0074017B" w:rsidRPr="00C40BD9">
        <w:rPr>
          <w:rFonts w:ascii="Verdana" w:hAnsi="Verdana"/>
          <w:sz w:val="20"/>
          <w:szCs w:val="20"/>
          <w:lang w:val="pt-BR"/>
        </w:rPr>
        <w:t>se por es</w:t>
      </w:r>
      <w:r w:rsidRPr="00C40BD9">
        <w:rPr>
          <w:rFonts w:ascii="Verdana" w:hAnsi="Verdana"/>
          <w:sz w:val="20"/>
          <w:szCs w:val="20"/>
          <w:lang w:val="pt-BR"/>
        </w:rPr>
        <w:t>s</w:t>
      </w:r>
      <w:r w:rsidR="0074017B" w:rsidRPr="00C40BD9">
        <w:rPr>
          <w:rFonts w:ascii="Verdana" w:hAnsi="Verdana"/>
          <w:sz w:val="20"/>
          <w:szCs w:val="20"/>
          <w:lang w:val="pt-BR"/>
        </w:rPr>
        <w:t>a Conven</w:t>
      </w:r>
      <w:r w:rsidR="00F633DD" w:rsidRPr="00C40BD9">
        <w:rPr>
          <w:rFonts w:ascii="Verdana" w:hAnsi="Verdana"/>
          <w:sz w:val="20"/>
          <w:szCs w:val="20"/>
          <w:lang w:val="pt-BR"/>
        </w:rPr>
        <w:t>ção</w:t>
      </w:r>
      <w:r w:rsidR="0074017B" w:rsidRPr="00C40BD9">
        <w:rPr>
          <w:rFonts w:ascii="Verdana" w:hAnsi="Verdana"/>
          <w:sz w:val="20"/>
          <w:szCs w:val="20"/>
          <w:lang w:val="pt-BR"/>
        </w:rPr>
        <w:t xml:space="preserve"> </w:t>
      </w:r>
      <w:r w:rsidR="00F633DD" w:rsidRPr="00C40BD9">
        <w:rPr>
          <w:rFonts w:ascii="Verdana" w:hAnsi="Verdana"/>
          <w:sz w:val="20"/>
          <w:szCs w:val="20"/>
          <w:lang w:val="pt-BR"/>
        </w:rPr>
        <w:t xml:space="preserve">e </w:t>
      </w:r>
      <w:r w:rsidRPr="00C40BD9">
        <w:rPr>
          <w:rFonts w:ascii="Verdana" w:hAnsi="Verdana"/>
          <w:sz w:val="20"/>
          <w:szCs w:val="20"/>
          <w:lang w:val="pt-BR"/>
        </w:rPr>
        <w:t xml:space="preserve">tenha aceitado, além disso, </w:t>
      </w:r>
      <w:r w:rsidR="0074017B" w:rsidRPr="00C40BD9">
        <w:rPr>
          <w:rFonts w:ascii="Verdana" w:hAnsi="Verdana"/>
          <w:sz w:val="20"/>
          <w:szCs w:val="20"/>
          <w:lang w:val="pt-BR"/>
        </w:rPr>
        <w:t xml:space="preserve">a </w:t>
      </w:r>
      <w:r w:rsidR="00C06A9B" w:rsidRPr="00C40BD9">
        <w:rPr>
          <w:rFonts w:ascii="Verdana" w:hAnsi="Verdana"/>
          <w:sz w:val="20"/>
          <w:szCs w:val="20"/>
          <w:lang w:val="pt-BR"/>
        </w:rPr>
        <w:t>competência</w:t>
      </w:r>
      <w:r w:rsidR="00DE316A">
        <w:rPr>
          <w:rFonts w:ascii="Verdana" w:hAnsi="Verdana"/>
          <w:sz w:val="20"/>
          <w:szCs w:val="20"/>
          <w:lang w:val="pt-BR"/>
        </w:rPr>
        <w:t xml:space="preserve"> </w:t>
      </w:r>
      <w:r w:rsidR="00F633DD" w:rsidRPr="00C40BD9">
        <w:rPr>
          <w:rFonts w:ascii="Verdana" w:hAnsi="Verdana"/>
          <w:sz w:val="20"/>
          <w:szCs w:val="20"/>
          <w:lang w:val="pt-BR"/>
        </w:rPr>
        <w:t xml:space="preserve">da </w:t>
      </w:r>
      <w:r w:rsidR="0074017B" w:rsidRPr="00C40BD9">
        <w:rPr>
          <w:rFonts w:ascii="Verdana" w:hAnsi="Verdana"/>
          <w:sz w:val="20"/>
          <w:szCs w:val="20"/>
          <w:lang w:val="pt-BR"/>
        </w:rPr>
        <w:t xml:space="preserve">Corte Interamericana de </w:t>
      </w:r>
      <w:r w:rsidR="00F633DD" w:rsidRPr="00C40BD9">
        <w:rPr>
          <w:rFonts w:ascii="Verdana" w:hAnsi="Verdana"/>
          <w:sz w:val="20"/>
          <w:szCs w:val="20"/>
          <w:lang w:val="pt-BR"/>
        </w:rPr>
        <w:t>Direitos</w:t>
      </w:r>
      <w:r w:rsidR="00DE316A">
        <w:rPr>
          <w:rFonts w:ascii="Verdana" w:hAnsi="Verdana"/>
          <w:sz w:val="20"/>
          <w:szCs w:val="20"/>
          <w:lang w:val="pt-BR"/>
        </w:rPr>
        <w:t xml:space="preserve"> </w:t>
      </w:r>
      <w:r w:rsidR="0074017B" w:rsidRPr="00C40BD9">
        <w:rPr>
          <w:rFonts w:ascii="Verdana" w:hAnsi="Verdana"/>
          <w:sz w:val="20"/>
          <w:szCs w:val="20"/>
          <w:lang w:val="pt-BR"/>
        </w:rPr>
        <w:t>Humanos</w:t>
      </w:r>
      <w:r w:rsidRPr="00C40BD9">
        <w:rPr>
          <w:rFonts w:ascii="Verdana" w:hAnsi="Verdana"/>
          <w:sz w:val="20"/>
          <w:szCs w:val="20"/>
          <w:lang w:val="pt-BR"/>
        </w:rPr>
        <w:t>.</w:t>
      </w:r>
      <w:r w:rsidR="002F62C4" w:rsidRPr="00C40BD9">
        <w:rPr>
          <w:rFonts w:ascii="Verdana" w:hAnsi="Verdana"/>
          <w:sz w:val="20"/>
          <w:szCs w:val="20"/>
          <w:lang w:val="pt-BR"/>
        </w:rPr>
        <w:t xml:space="preserve"> </w:t>
      </w:r>
    </w:p>
    <w:p w:rsidR="0074017B" w:rsidRPr="00C40BD9" w:rsidRDefault="0074017B" w:rsidP="00A82FB4">
      <w:pPr>
        <w:spacing w:after="0" w:line="240" w:lineRule="auto"/>
        <w:jc w:val="both"/>
        <w:rPr>
          <w:rFonts w:ascii="Verdana" w:hAnsi="Verdana"/>
          <w:sz w:val="20"/>
          <w:szCs w:val="20"/>
          <w:lang w:val="pt-BR"/>
        </w:rPr>
      </w:pPr>
    </w:p>
    <w:p w:rsidR="0074017B" w:rsidRPr="00C40BD9" w:rsidRDefault="00D12C4F" w:rsidP="00A82FB4">
      <w:pPr>
        <w:pStyle w:val="ListParagraph"/>
        <w:numPr>
          <w:ilvl w:val="0"/>
          <w:numId w:val="2"/>
        </w:numPr>
        <w:tabs>
          <w:tab w:val="clear" w:pos="1247"/>
        </w:tabs>
        <w:spacing w:after="0" w:line="240" w:lineRule="auto"/>
        <w:jc w:val="both"/>
        <w:rPr>
          <w:rFonts w:ascii="Verdana" w:hAnsi="Verdana"/>
          <w:b/>
          <w:sz w:val="20"/>
          <w:szCs w:val="20"/>
          <w:lang w:val="pt-BR"/>
        </w:rPr>
      </w:pPr>
      <w:r w:rsidRPr="00C40BD9">
        <w:rPr>
          <w:rFonts w:ascii="Verdana" w:hAnsi="Verdana"/>
          <w:sz w:val="20"/>
          <w:szCs w:val="20"/>
          <w:lang w:val="pt-BR"/>
        </w:rPr>
        <w:t xml:space="preserve">O </w:t>
      </w:r>
      <w:r w:rsidR="0074017B" w:rsidRPr="00C40BD9">
        <w:rPr>
          <w:rFonts w:ascii="Verdana" w:hAnsi="Verdana"/>
          <w:b/>
          <w:i/>
          <w:sz w:val="20"/>
          <w:szCs w:val="20"/>
          <w:lang w:val="pt-BR"/>
        </w:rPr>
        <w:t>Estado</w:t>
      </w:r>
      <w:r w:rsidR="0074017B" w:rsidRPr="00C40BD9">
        <w:rPr>
          <w:rFonts w:ascii="Verdana" w:hAnsi="Verdana"/>
          <w:sz w:val="20"/>
          <w:szCs w:val="20"/>
          <w:lang w:val="pt-BR"/>
        </w:rPr>
        <w:t xml:space="preserve"> afirm</w:t>
      </w:r>
      <w:r w:rsidRPr="00C40BD9">
        <w:rPr>
          <w:rFonts w:ascii="Verdana" w:hAnsi="Verdana"/>
          <w:sz w:val="20"/>
          <w:szCs w:val="20"/>
          <w:lang w:val="pt-BR"/>
        </w:rPr>
        <w:t>ou</w:t>
      </w:r>
      <w:r w:rsidR="0074017B" w:rsidRPr="00C40BD9">
        <w:rPr>
          <w:rFonts w:ascii="Verdana" w:hAnsi="Verdana"/>
          <w:sz w:val="20"/>
          <w:szCs w:val="20"/>
          <w:lang w:val="pt-BR"/>
        </w:rPr>
        <w:t xml:space="preserve"> que </w:t>
      </w:r>
      <w:r w:rsidR="00FE75D7">
        <w:rPr>
          <w:rFonts w:ascii="Verdana" w:hAnsi="Verdana"/>
          <w:sz w:val="20"/>
          <w:szCs w:val="20"/>
          <w:lang w:val="pt-BR"/>
        </w:rPr>
        <w:t>vê como</w:t>
      </w:r>
      <w:r w:rsidR="000246F0" w:rsidRPr="00C40BD9">
        <w:rPr>
          <w:rFonts w:ascii="Verdana" w:hAnsi="Verdana"/>
          <w:sz w:val="20"/>
          <w:szCs w:val="20"/>
          <w:lang w:val="pt-BR"/>
        </w:rPr>
        <w:t xml:space="preserve"> </w:t>
      </w:r>
      <w:r w:rsidR="0074017B" w:rsidRPr="00C40BD9">
        <w:rPr>
          <w:rFonts w:ascii="Verdana" w:hAnsi="Verdana"/>
          <w:sz w:val="20"/>
          <w:szCs w:val="20"/>
          <w:lang w:val="pt-BR"/>
        </w:rPr>
        <w:t>evidente que a Conven</w:t>
      </w:r>
      <w:r w:rsidR="00F633DD" w:rsidRPr="00C40BD9">
        <w:rPr>
          <w:rFonts w:ascii="Verdana" w:hAnsi="Verdana"/>
          <w:sz w:val="20"/>
          <w:szCs w:val="20"/>
          <w:lang w:val="pt-BR"/>
        </w:rPr>
        <w:t>ção</w:t>
      </w:r>
      <w:r w:rsidR="0074017B" w:rsidRPr="00C40BD9">
        <w:rPr>
          <w:rFonts w:ascii="Verdana" w:hAnsi="Verdana"/>
          <w:sz w:val="20"/>
          <w:szCs w:val="20"/>
          <w:lang w:val="pt-BR"/>
        </w:rPr>
        <w:t xml:space="preserve"> Interamericana para Prevenir </w:t>
      </w:r>
      <w:r w:rsidR="00F633DD" w:rsidRPr="00C40BD9">
        <w:rPr>
          <w:rFonts w:ascii="Verdana" w:hAnsi="Verdana"/>
          <w:sz w:val="20"/>
          <w:szCs w:val="20"/>
          <w:lang w:val="pt-BR"/>
        </w:rPr>
        <w:t>e</w:t>
      </w:r>
      <w:r w:rsidR="00DE316A">
        <w:rPr>
          <w:rFonts w:ascii="Verdana" w:hAnsi="Verdana"/>
          <w:sz w:val="20"/>
          <w:szCs w:val="20"/>
          <w:lang w:val="pt-BR"/>
        </w:rPr>
        <w:t xml:space="preserve"> </w:t>
      </w:r>
      <w:r w:rsidRPr="00C40BD9">
        <w:rPr>
          <w:rFonts w:ascii="Verdana" w:hAnsi="Verdana"/>
          <w:sz w:val="20"/>
          <w:szCs w:val="20"/>
          <w:lang w:val="pt-BR"/>
        </w:rPr>
        <w:t xml:space="preserve">Punir </w:t>
      </w:r>
      <w:r w:rsidR="0074017B" w:rsidRPr="00C40BD9">
        <w:rPr>
          <w:rFonts w:ascii="Verdana" w:hAnsi="Verdana"/>
          <w:sz w:val="20"/>
          <w:szCs w:val="20"/>
          <w:lang w:val="pt-BR"/>
        </w:rPr>
        <w:t>a Tortura se expre</w:t>
      </w:r>
      <w:r w:rsidRPr="00C40BD9">
        <w:rPr>
          <w:rFonts w:ascii="Verdana" w:hAnsi="Verdana"/>
          <w:sz w:val="20"/>
          <w:szCs w:val="20"/>
          <w:lang w:val="pt-BR"/>
        </w:rPr>
        <w:t>s</w:t>
      </w:r>
      <w:r w:rsidR="0074017B" w:rsidRPr="00C40BD9">
        <w:rPr>
          <w:rFonts w:ascii="Verdana" w:hAnsi="Verdana"/>
          <w:sz w:val="20"/>
          <w:szCs w:val="20"/>
          <w:lang w:val="pt-BR"/>
        </w:rPr>
        <w:t xml:space="preserve">sa </w:t>
      </w:r>
      <w:r w:rsidRPr="00C40BD9">
        <w:rPr>
          <w:rFonts w:ascii="Verdana" w:hAnsi="Verdana"/>
          <w:sz w:val="20"/>
          <w:szCs w:val="20"/>
          <w:lang w:val="pt-BR"/>
        </w:rPr>
        <w:t xml:space="preserve">no </w:t>
      </w:r>
      <w:r w:rsidR="0074017B" w:rsidRPr="00C40BD9">
        <w:rPr>
          <w:rFonts w:ascii="Verdana" w:hAnsi="Verdana"/>
          <w:sz w:val="20"/>
          <w:szCs w:val="20"/>
          <w:lang w:val="pt-BR"/>
        </w:rPr>
        <w:t xml:space="preserve">sentido de </w:t>
      </w:r>
      <w:r w:rsidR="00FE75D7">
        <w:rPr>
          <w:rFonts w:ascii="Verdana" w:hAnsi="Verdana"/>
          <w:sz w:val="20"/>
          <w:szCs w:val="20"/>
          <w:lang w:val="pt-BR"/>
        </w:rPr>
        <w:t xml:space="preserve">que </w:t>
      </w:r>
      <w:r w:rsidRPr="00C40BD9">
        <w:rPr>
          <w:rFonts w:ascii="Verdana" w:hAnsi="Verdana"/>
          <w:sz w:val="20"/>
          <w:szCs w:val="20"/>
          <w:lang w:val="pt-BR"/>
        </w:rPr>
        <w:t xml:space="preserve">o </w:t>
      </w:r>
      <w:r w:rsidR="0074017B" w:rsidRPr="00C40BD9">
        <w:rPr>
          <w:rFonts w:ascii="Verdana" w:hAnsi="Verdana"/>
          <w:sz w:val="20"/>
          <w:szCs w:val="20"/>
          <w:lang w:val="pt-BR"/>
        </w:rPr>
        <w:t xml:space="preserve">Estado </w:t>
      </w:r>
      <w:r w:rsidR="006770ED" w:rsidRPr="00C40BD9">
        <w:rPr>
          <w:rFonts w:ascii="Verdana" w:hAnsi="Verdana"/>
          <w:sz w:val="20"/>
          <w:szCs w:val="20"/>
          <w:lang w:val="pt-BR"/>
        </w:rPr>
        <w:t>deve</w:t>
      </w:r>
      <w:r w:rsidR="00DE316A">
        <w:rPr>
          <w:rFonts w:ascii="Verdana" w:hAnsi="Verdana"/>
          <w:sz w:val="20"/>
          <w:szCs w:val="20"/>
          <w:lang w:val="pt-BR"/>
        </w:rPr>
        <w:t xml:space="preserve"> </w:t>
      </w:r>
      <w:r w:rsidR="0074017B" w:rsidRPr="00C40BD9">
        <w:rPr>
          <w:rFonts w:ascii="Verdana" w:hAnsi="Verdana"/>
          <w:sz w:val="20"/>
          <w:szCs w:val="20"/>
          <w:lang w:val="pt-BR"/>
        </w:rPr>
        <w:t>manifestar a ace</w:t>
      </w:r>
      <w:r w:rsidRPr="00C40BD9">
        <w:rPr>
          <w:rFonts w:ascii="Verdana" w:hAnsi="Verdana"/>
          <w:sz w:val="20"/>
          <w:szCs w:val="20"/>
          <w:lang w:val="pt-BR"/>
        </w:rPr>
        <w:t>i</w:t>
      </w:r>
      <w:r w:rsidR="0074017B" w:rsidRPr="00C40BD9">
        <w:rPr>
          <w:rFonts w:ascii="Verdana" w:hAnsi="Verdana"/>
          <w:sz w:val="20"/>
          <w:szCs w:val="20"/>
          <w:lang w:val="pt-BR"/>
        </w:rPr>
        <w:t>ta</w:t>
      </w:r>
      <w:r w:rsidR="00F633DD" w:rsidRPr="00C40BD9">
        <w:rPr>
          <w:rFonts w:ascii="Verdana" w:hAnsi="Verdana"/>
          <w:sz w:val="20"/>
          <w:szCs w:val="20"/>
          <w:lang w:val="pt-BR"/>
        </w:rPr>
        <w:t>ção</w:t>
      </w:r>
      <w:r w:rsidR="0074017B" w:rsidRPr="00C40BD9">
        <w:rPr>
          <w:rFonts w:ascii="Verdana" w:hAnsi="Verdana"/>
          <w:sz w:val="20"/>
          <w:szCs w:val="20"/>
          <w:lang w:val="pt-BR"/>
        </w:rPr>
        <w:t xml:space="preserve"> </w:t>
      </w:r>
      <w:r w:rsidR="00F633DD" w:rsidRPr="00C40BD9">
        <w:rPr>
          <w:rFonts w:ascii="Verdana" w:hAnsi="Verdana"/>
          <w:sz w:val="20"/>
          <w:szCs w:val="20"/>
          <w:lang w:val="pt-BR"/>
        </w:rPr>
        <w:t xml:space="preserve">da </w:t>
      </w:r>
      <w:r w:rsidR="00C06A9B" w:rsidRPr="00C40BD9">
        <w:rPr>
          <w:rFonts w:ascii="Verdana" w:hAnsi="Verdana"/>
          <w:sz w:val="20"/>
          <w:szCs w:val="20"/>
          <w:lang w:val="pt-BR"/>
        </w:rPr>
        <w:t>competência</w:t>
      </w:r>
      <w:r w:rsidR="00DE316A">
        <w:rPr>
          <w:rFonts w:ascii="Verdana" w:hAnsi="Verdana"/>
          <w:sz w:val="20"/>
          <w:szCs w:val="20"/>
          <w:lang w:val="pt-BR"/>
        </w:rPr>
        <w:t xml:space="preserve"> </w:t>
      </w:r>
      <w:r w:rsidR="00C06A9B" w:rsidRPr="00C40BD9">
        <w:rPr>
          <w:rFonts w:ascii="Verdana" w:hAnsi="Verdana"/>
          <w:sz w:val="20"/>
          <w:szCs w:val="20"/>
          <w:lang w:val="pt-BR"/>
        </w:rPr>
        <w:t xml:space="preserve">das </w:t>
      </w:r>
      <w:r w:rsidR="0074017B" w:rsidRPr="00C40BD9">
        <w:rPr>
          <w:rFonts w:ascii="Verdana" w:hAnsi="Verdana"/>
          <w:sz w:val="20"/>
          <w:szCs w:val="20"/>
          <w:lang w:val="pt-BR"/>
        </w:rPr>
        <w:t>inst</w:t>
      </w:r>
      <w:r w:rsidRPr="00C40BD9">
        <w:rPr>
          <w:rFonts w:ascii="Verdana" w:hAnsi="Verdana"/>
          <w:sz w:val="20"/>
          <w:szCs w:val="20"/>
          <w:lang w:val="pt-BR"/>
        </w:rPr>
        <w:t>â</w:t>
      </w:r>
      <w:r w:rsidR="0074017B" w:rsidRPr="00C40BD9">
        <w:rPr>
          <w:rFonts w:ascii="Verdana" w:hAnsi="Verdana"/>
          <w:sz w:val="20"/>
          <w:szCs w:val="20"/>
          <w:lang w:val="pt-BR"/>
        </w:rPr>
        <w:t>ncias internacion</w:t>
      </w:r>
      <w:r w:rsidR="00C06A9B" w:rsidRPr="00C40BD9">
        <w:rPr>
          <w:rFonts w:ascii="Verdana" w:hAnsi="Verdana"/>
          <w:sz w:val="20"/>
          <w:szCs w:val="20"/>
          <w:lang w:val="pt-BR"/>
        </w:rPr>
        <w:t>ais</w:t>
      </w:r>
      <w:r w:rsidR="00DE316A">
        <w:rPr>
          <w:rFonts w:ascii="Verdana" w:hAnsi="Verdana"/>
          <w:sz w:val="20"/>
          <w:szCs w:val="20"/>
          <w:lang w:val="pt-BR"/>
        </w:rPr>
        <w:t xml:space="preserve"> </w:t>
      </w:r>
      <w:r w:rsidR="0074017B" w:rsidRPr="00C40BD9">
        <w:rPr>
          <w:rFonts w:ascii="Verdana" w:hAnsi="Verdana"/>
          <w:sz w:val="20"/>
          <w:szCs w:val="20"/>
          <w:lang w:val="pt-BR"/>
        </w:rPr>
        <w:t>que pod</w:t>
      </w:r>
      <w:r w:rsidRPr="00C40BD9">
        <w:rPr>
          <w:rFonts w:ascii="Verdana" w:hAnsi="Verdana"/>
          <w:sz w:val="20"/>
          <w:szCs w:val="20"/>
          <w:lang w:val="pt-BR"/>
        </w:rPr>
        <w:t xml:space="preserve">erão receber </w:t>
      </w:r>
      <w:r w:rsidR="00F633DD" w:rsidRPr="00C40BD9">
        <w:rPr>
          <w:rFonts w:ascii="Verdana" w:hAnsi="Verdana"/>
          <w:sz w:val="20"/>
          <w:szCs w:val="20"/>
          <w:lang w:val="pt-BR"/>
        </w:rPr>
        <w:t>e</w:t>
      </w:r>
      <w:r w:rsidR="00DE316A">
        <w:rPr>
          <w:rFonts w:ascii="Verdana" w:hAnsi="Verdana"/>
          <w:sz w:val="20"/>
          <w:szCs w:val="20"/>
          <w:lang w:val="pt-BR"/>
        </w:rPr>
        <w:t xml:space="preserve"> </w:t>
      </w:r>
      <w:r w:rsidR="0074017B" w:rsidRPr="00C40BD9">
        <w:rPr>
          <w:rFonts w:ascii="Verdana" w:hAnsi="Verdana"/>
          <w:sz w:val="20"/>
          <w:szCs w:val="20"/>
          <w:lang w:val="pt-BR"/>
        </w:rPr>
        <w:t xml:space="preserve">apreciar determinado caso </w:t>
      </w:r>
      <w:r w:rsidR="00FE75D7">
        <w:rPr>
          <w:rFonts w:ascii="Verdana" w:hAnsi="Verdana"/>
          <w:sz w:val="20"/>
          <w:szCs w:val="20"/>
          <w:lang w:val="pt-BR"/>
        </w:rPr>
        <w:t>pautado</w:t>
      </w:r>
      <w:r w:rsidR="0074017B" w:rsidRPr="00C40BD9">
        <w:rPr>
          <w:rFonts w:ascii="Verdana" w:hAnsi="Verdana"/>
          <w:sz w:val="20"/>
          <w:szCs w:val="20"/>
          <w:lang w:val="pt-BR"/>
        </w:rPr>
        <w:t xml:space="preserve"> </w:t>
      </w:r>
      <w:r w:rsidR="000814BE" w:rsidRPr="00C40BD9">
        <w:rPr>
          <w:rFonts w:ascii="Verdana" w:hAnsi="Verdana"/>
          <w:sz w:val="20"/>
          <w:szCs w:val="20"/>
          <w:lang w:val="pt-BR"/>
        </w:rPr>
        <w:t xml:space="preserve">na </w:t>
      </w:r>
      <w:r w:rsidR="0074017B" w:rsidRPr="00C40BD9">
        <w:rPr>
          <w:rFonts w:ascii="Verdana" w:hAnsi="Verdana"/>
          <w:sz w:val="20"/>
          <w:szCs w:val="20"/>
          <w:lang w:val="pt-BR"/>
        </w:rPr>
        <w:t xml:space="preserve">CIPST, </w:t>
      </w:r>
      <w:r w:rsidR="00F633DD" w:rsidRPr="00C40BD9">
        <w:rPr>
          <w:rFonts w:ascii="Verdana" w:hAnsi="Verdana"/>
          <w:sz w:val="20"/>
          <w:szCs w:val="20"/>
          <w:lang w:val="pt-BR"/>
        </w:rPr>
        <w:t>e</w:t>
      </w:r>
      <w:r w:rsidR="00DE316A">
        <w:rPr>
          <w:rFonts w:ascii="Verdana" w:hAnsi="Verdana"/>
          <w:sz w:val="20"/>
          <w:szCs w:val="20"/>
          <w:lang w:val="pt-BR"/>
        </w:rPr>
        <w:t xml:space="preserve"> </w:t>
      </w:r>
      <w:r w:rsidR="0074017B" w:rsidRPr="00C40BD9">
        <w:rPr>
          <w:rFonts w:ascii="Verdana" w:hAnsi="Verdana"/>
          <w:sz w:val="20"/>
          <w:szCs w:val="20"/>
          <w:lang w:val="pt-BR"/>
        </w:rPr>
        <w:t xml:space="preserve">que </w:t>
      </w:r>
      <w:r w:rsidR="00C40BD9" w:rsidRPr="00C40BD9">
        <w:rPr>
          <w:rFonts w:ascii="Verdana" w:hAnsi="Verdana"/>
          <w:sz w:val="20"/>
          <w:szCs w:val="20"/>
          <w:lang w:val="pt-BR"/>
        </w:rPr>
        <w:t>o</w:t>
      </w:r>
      <w:r w:rsidR="0074017B" w:rsidRPr="00C40BD9">
        <w:rPr>
          <w:rFonts w:ascii="Verdana" w:hAnsi="Verdana"/>
          <w:sz w:val="20"/>
          <w:szCs w:val="20"/>
          <w:lang w:val="pt-BR"/>
        </w:rPr>
        <w:t xml:space="preserve"> Estado </w:t>
      </w:r>
      <w:r w:rsidR="00C40BD9" w:rsidRPr="00C40BD9">
        <w:rPr>
          <w:rFonts w:ascii="Verdana" w:hAnsi="Verdana"/>
          <w:sz w:val="20"/>
          <w:szCs w:val="20"/>
          <w:lang w:val="pt-BR"/>
        </w:rPr>
        <w:t xml:space="preserve">não se submeteu à </w:t>
      </w:r>
      <w:r w:rsidR="00C06A9B" w:rsidRPr="00C40BD9">
        <w:rPr>
          <w:rFonts w:ascii="Verdana" w:hAnsi="Verdana"/>
          <w:sz w:val="20"/>
          <w:szCs w:val="20"/>
          <w:lang w:val="pt-BR"/>
        </w:rPr>
        <w:t>competência</w:t>
      </w:r>
      <w:r w:rsidR="00DE316A">
        <w:rPr>
          <w:rFonts w:ascii="Verdana" w:hAnsi="Verdana"/>
          <w:sz w:val="20"/>
          <w:szCs w:val="20"/>
          <w:lang w:val="pt-BR"/>
        </w:rPr>
        <w:t xml:space="preserve"> </w:t>
      </w:r>
      <w:r w:rsidR="00F633DD" w:rsidRPr="00C40BD9">
        <w:rPr>
          <w:rFonts w:ascii="Verdana" w:hAnsi="Verdana"/>
          <w:sz w:val="20"/>
          <w:szCs w:val="20"/>
          <w:lang w:val="pt-BR"/>
        </w:rPr>
        <w:t xml:space="preserve">da </w:t>
      </w:r>
      <w:r w:rsidR="0074017B" w:rsidRPr="00C40BD9">
        <w:rPr>
          <w:rFonts w:ascii="Verdana" w:hAnsi="Verdana"/>
          <w:sz w:val="20"/>
          <w:szCs w:val="20"/>
          <w:lang w:val="pt-BR"/>
        </w:rPr>
        <w:t xml:space="preserve">Corte </w:t>
      </w:r>
      <w:r w:rsidR="00C40BD9" w:rsidRPr="00C40BD9">
        <w:rPr>
          <w:rFonts w:ascii="Verdana" w:hAnsi="Verdana"/>
          <w:sz w:val="20"/>
          <w:szCs w:val="20"/>
          <w:lang w:val="pt-BR"/>
        </w:rPr>
        <w:t>o</w:t>
      </w:r>
      <w:r w:rsidR="0074017B" w:rsidRPr="00C40BD9">
        <w:rPr>
          <w:rFonts w:ascii="Verdana" w:hAnsi="Verdana"/>
          <w:sz w:val="20"/>
          <w:szCs w:val="20"/>
          <w:lang w:val="pt-BR"/>
        </w:rPr>
        <w:t xml:space="preserve">u </w:t>
      </w:r>
      <w:r w:rsidR="00C40BD9" w:rsidRPr="00C40BD9">
        <w:rPr>
          <w:rFonts w:ascii="Verdana" w:hAnsi="Verdana"/>
          <w:sz w:val="20"/>
          <w:szCs w:val="20"/>
          <w:lang w:val="pt-BR"/>
        </w:rPr>
        <w:t xml:space="preserve">de outra instância </w:t>
      </w:r>
      <w:r w:rsidR="0074017B" w:rsidRPr="00C40BD9">
        <w:rPr>
          <w:rFonts w:ascii="Verdana" w:hAnsi="Verdana"/>
          <w:sz w:val="20"/>
          <w:szCs w:val="20"/>
          <w:lang w:val="pt-BR"/>
        </w:rPr>
        <w:t>internacional para rec</w:t>
      </w:r>
      <w:r w:rsidR="00C40BD9" w:rsidRPr="00C40BD9">
        <w:rPr>
          <w:rFonts w:ascii="Verdana" w:hAnsi="Verdana"/>
          <w:sz w:val="20"/>
          <w:szCs w:val="20"/>
          <w:lang w:val="pt-BR"/>
        </w:rPr>
        <w:t>e</w:t>
      </w:r>
      <w:r w:rsidR="0074017B" w:rsidRPr="00C40BD9">
        <w:rPr>
          <w:rFonts w:ascii="Verdana" w:hAnsi="Verdana"/>
          <w:sz w:val="20"/>
          <w:szCs w:val="20"/>
          <w:lang w:val="pt-BR"/>
        </w:rPr>
        <w:t>b</w:t>
      </w:r>
      <w:r w:rsidR="00C40BD9" w:rsidRPr="00C40BD9">
        <w:rPr>
          <w:rFonts w:ascii="Verdana" w:hAnsi="Verdana"/>
          <w:sz w:val="20"/>
          <w:szCs w:val="20"/>
          <w:lang w:val="pt-BR"/>
        </w:rPr>
        <w:t>e</w:t>
      </w:r>
      <w:r w:rsidR="0074017B" w:rsidRPr="00C40BD9">
        <w:rPr>
          <w:rFonts w:ascii="Verdana" w:hAnsi="Verdana"/>
          <w:sz w:val="20"/>
          <w:szCs w:val="20"/>
          <w:lang w:val="pt-BR"/>
        </w:rPr>
        <w:t xml:space="preserve">r </w:t>
      </w:r>
      <w:r w:rsidR="00F633DD" w:rsidRPr="00C40BD9">
        <w:rPr>
          <w:rFonts w:ascii="Verdana" w:hAnsi="Verdana"/>
          <w:sz w:val="20"/>
          <w:szCs w:val="20"/>
          <w:lang w:val="pt-BR"/>
        </w:rPr>
        <w:t>e</w:t>
      </w:r>
      <w:r w:rsidR="00DE316A">
        <w:rPr>
          <w:rFonts w:ascii="Verdana" w:hAnsi="Verdana"/>
          <w:sz w:val="20"/>
          <w:szCs w:val="20"/>
          <w:lang w:val="pt-BR"/>
        </w:rPr>
        <w:t xml:space="preserve"> </w:t>
      </w:r>
      <w:r w:rsidR="0074017B" w:rsidRPr="00C40BD9">
        <w:rPr>
          <w:rFonts w:ascii="Verdana" w:hAnsi="Verdana"/>
          <w:sz w:val="20"/>
          <w:szCs w:val="20"/>
          <w:lang w:val="pt-BR"/>
        </w:rPr>
        <w:t>examinar sup</w:t>
      </w:r>
      <w:r w:rsidR="00C40BD9" w:rsidRPr="00C40BD9">
        <w:rPr>
          <w:rFonts w:ascii="Verdana" w:hAnsi="Verdana"/>
          <w:sz w:val="20"/>
          <w:szCs w:val="20"/>
          <w:lang w:val="pt-BR"/>
        </w:rPr>
        <w:t>o</w:t>
      </w:r>
      <w:r w:rsidR="0074017B" w:rsidRPr="00C40BD9">
        <w:rPr>
          <w:rFonts w:ascii="Verdana" w:hAnsi="Verdana"/>
          <w:sz w:val="20"/>
          <w:szCs w:val="20"/>
          <w:lang w:val="pt-BR"/>
        </w:rPr>
        <w:t>stos casos de viola</w:t>
      </w:r>
      <w:r w:rsidR="00F633DD" w:rsidRPr="00C40BD9">
        <w:rPr>
          <w:rFonts w:ascii="Verdana" w:hAnsi="Verdana"/>
          <w:sz w:val="20"/>
          <w:szCs w:val="20"/>
          <w:lang w:val="pt-BR"/>
        </w:rPr>
        <w:t>ção</w:t>
      </w:r>
      <w:r w:rsidR="0074017B" w:rsidRPr="00C40BD9">
        <w:rPr>
          <w:rFonts w:ascii="Verdana" w:hAnsi="Verdana"/>
          <w:sz w:val="20"/>
          <w:szCs w:val="20"/>
          <w:lang w:val="pt-BR"/>
        </w:rPr>
        <w:t xml:space="preserve"> </w:t>
      </w:r>
      <w:r w:rsidR="00C40BD9" w:rsidRPr="00C40BD9">
        <w:rPr>
          <w:rFonts w:ascii="Verdana" w:hAnsi="Verdana"/>
          <w:sz w:val="20"/>
          <w:szCs w:val="20"/>
          <w:lang w:val="pt-BR"/>
        </w:rPr>
        <w:t xml:space="preserve">à </w:t>
      </w:r>
      <w:r w:rsidR="0074017B" w:rsidRPr="00C40BD9">
        <w:rPr>
          <w:rFonts w:ascii="Verdana" w:hAnsi="Verdana"/>
          <w:sz w:val="20"/>
          <w:szCs w:val="20"/>
          <w:lang w:val="pt-BR"/>
        </w:rPr>
        <w:t>CIP</w:t>
      </w:r>
      <w:r w:rsidR="000246F0" w:rsidRPr="00C40BD9">
        <w:rPr>
          <w:rFonts w:ascii="Verdana" w:hAnsi="Verdana"/>
          <w:sz w:val="20"/>
          <w:szCs w:val="20"/>
          <w:lang w:val="pt-BR"/>
        </w:rPr>
        <w:t>S</w:t>
      </w:r>
      <w:r w:rsidR="0074017B" w:rsidRPr="00C40BD9">
        <w:rPr>
          <w:rFonts w:ascii="Verdana" w:hAnsi="Verdana"/>
          <w:sz w:val="20"/>
          <w:szCs w:val="20"/>
          <w:lang w:val="pt-BR"/>
        </w:rPr>
        <w:t>T</w:t>
      </w:r>
      <w:r w:rsidR="00C40BD9" w:rsidRPr="00C40BD9">
        <w:rPr>
          <w:rFonts w:ascii="Verdana" w:hAnsi="Verdana"/>
          <w:sz w:val="20"/>
          <w:szCs w:val="20"/>
          <w:lang w:val="pt-BR"/>
        </w:rPr>
        <w:t>.</w:t>
      </w:r>
      <w:r w:rsidR="00C47F5C" w:rsidRPr="00C40BD9">
        <w:rPr>
          <w:rFonts w:ascii="Verdana" w:hAnsi="Verdana"/>
          <w:sz w:val="20"/>
          <w:szCs w:val="20"/>
          <w:lang w:val="pt-BR"/>
        </w:rPr>
        <w:t xml:space="preserve"> </w:t>
      </w:r>
    </w:p>
    <w:p w:rsidR="0074017B" w:rsidRPr="00C40BD9" w:rsidRDefault="0074017B" w:rsidP="00A82FB4">
      <w:pPr>
        <w:pStyle w:val="ListParagraph"/>
        <w:spacing w:after="0" w:line="240" w:lineRule="auto"/>
        <w:ind w:left="0"/>
        <w:jc w:val="both"/>
        <w:rPr>
          <w:rFonts w:ascii="Verdana" w:hAnsi="Verdana"/>
          <w:b/>
          <w:sz w:val="20"/>
          <w:szCs w:val="20"/>
          <w:lang w:val="pt-BR"/>
        </w:rPr>
      </w:pPr>
    </w:p>
    <w:p w:rsidR="0074017B" w:rsidRPr="00C40BD9" w:rsidRDefault="0074017B" w:rsidP="00A82FB4">
      <w:pPr>
        <w:pStyle w:val="ListParagraph"/>
        <w:numPr>
          <w:ilvl w:val="0"/>
          <w:numId w:val="2"/>
        </w:numPr>
        <w:tabs>
          <w:tab w:val="clear" w:pos="1247"/>
        </w:tabs>
        <w:spacing w:after="0" w:line="240" w:lineRule="auto"/>
        <w:jc w:val="both"/>
        <w:rPr>
          <w:rFonts w:ascii="Verdana" w:hAnsi="Verdana"/>
          <w:sz w:val="20"/>
          <w:szCs w:val="20"/>
          <w:lang w:val="pt-BR"/>
        </w:rPr>
      </w:pPr>
      <w:r w:rsidRPr="00C40BD9">
        <w:rPr>
          <w:rFonts w:ascii="Verdana" w:hAnsi="Verdana"/>
          <w:iCs/>
          <w:sz w:val="20"/>
          <w:szCs w:val="20"/>
          <w:lang w:val="pt-BR"/>
        </w:rPr>
        <w:t xml:space="preserve">Finalmente </w:t>
      </w:r>
      <w:r w:rsidR="00C40BD9" w:rsidRPr="00C40BD9">
        <w:rPr>
          <w:rFonts w:ascii="Verdana" w:hAnsi="Verdana"/>
          <w:iCs/>
          <w:sz w:val="20"/>
          <w:szCs w:val="20"/>
          <w:lang w:val="pt-BR"/>
        </w:rPr>
        <w:t xml:space="preserve">solicitou que se corrija a </w:t>
      </w:r>
      <w:r w:rsidR="000246F0" w:rsidRPr="00C40BD9">
        <w:rPr>
          <w:rFonts w:ascii="Verdana" w:hAnsi="Verdana"/>
          <w:iCs/>
          <w:sz w:val="20"/>
          <w:szCs w:val="20"/>
          <w:lang w:val="pt-BR"/>
        </w:rPr>
        <w:t>“</w:t>
      </w:r>
      <w:r w:rsidRPr="00C40BD9">
        <w:rPr>
          <w:rFonts w:ascii="Verdana" w:hAnsi="Verdana"/>
          <w:iCs/>
          <w:sz w:val="20"/>
          <w:szCs w:val="20"/>
          <w:lang w:val="pt-BR"/>
        </w:rPr>
        <w:t>o</w:t>
      </w:r>
      <w:r w:rsidR="00C40BD9" w:rsidRPr="00C40BD9">
        <w:rPr>
          <w:rFonts w:ascii="Verdana" w:hAnsi="Verdana"/>
          <w:iCs/>
          <w:sz w:val="20"/>
          <w:szCs w:val="20"/>
          <w:lang w:val="pt-BR"/>
        </w:rPr>
        <w:t>b</w:t>
      </w:r>
      <w:r w:rsidRPr="00C40BD9">
        <w:rPr>
          <w:rFonts w:ascii="Verdana" w:hAnsi="Verdana"/>
          <w:iCs/>
          <w:sz w:val="20"/>
          <w:szCs w:val="20"/>
          <w:lang w:val="pt-BR"/>
        </w:rPr>
        <w:t>scuridad</w:t>
      </w:r>
      <w:r w:rsidR="00C40BD9" w:rsidRPr="00C40BD9">
        <w:rPr>
          <w:rFonts w:ascii="Verdana" w:hAnsi="Verdana"/>
          <w:iCs/>
          <w:sz w:val="20"/>
          <w:szCs w:val="20"/>
          <w:lang w:val="pt-BR"/>
        </w:rPr>
        <w:t>e</w:t>
      </w:r>
      <w:r w:rsidR="000246F0" w:rsidRPr="00C40BD9">
        <w:rPr>
          <w:rFonts w:ascii="Verdana" w:hAnsi="Verdana"/>
          <w:iCs/>
          <w:sz w:val="20"/>
          <w:szCs w:val="20"/>
          <w:lang w:val="pt-BR"/>
        </w:rPr>
        <w:t>”</w:t>
      </w:r>
      <w:r w:rsidRPr="00C40BD9">
        <w:rPr>
          <w:rFonts w:ascii="Verdana" w:hAnsi="Verdana"/>
          <w:iCs/>
          <w:sz w:val="20"/>
          <w:szCs w:val="20"/>
          <w:lang w:val="pt-BR"/>
        </w:rPr>
        <w:t xml:space="preserve"> </w:t>
      </w:r>
      <w:r w:rsidR="00C06A9B" w:rsidRPr="00C40BD9">
        <w:rPr>
          <w:rFonts w:ascii="Verdana" w:hAnsi="Verdana"/>
          <w:iCs/>
          <w:sz w:val="20"/>
          <w:szCs w:val="20"/>
          <w:lang w:val="pt-BR"/>
        </w:rPr>
        <w:t xml:space="preserve">dos </w:t>
      </w:r>
      <w:r w:rsidR="00635878" w:rsidRPr="00C40BD9">
        <w:rPr>
          <w:rFonts w:ascii="Verdana" w:hAnsi="Verdana"/>
          <w:iCs/>
          <w:sz w:val="20"/>
          <w:szCs w:val="20"/>
          <w:lang w:val="pt-BR"/>
        </w:rPr>
        <w:t>parágrafos</w:t>
      </w:r>
      <w:r w:rsidR="00DE316A">
        <w:rPr>
          <w:rFonts w:ascii="Verdana" w:hAnsi="Verdana"/>
          <w:iCs/>
          <w:sz w:val="20"/>
          <w:szCs w:val="20"/>
          <w:lang w:val="pt-BR"/>
        </w:rPr>
        <w:t xml:space="preserve"> </w:t>
      </w:r>
      <w:r w:rsidRPr="00C40BD9">
        <w:rPr>
          <w:rFonts w:ascii="Verdana" w:hAnsi="Verdana"/>
          <w:iCs/>
          <w:sz w:val="20"/>
          <w:szCs w:val="20"/>
          <w:lang w:val="pt-BR"/>
        </w:rPr>
        <w:t xml:space="preserve">65 </w:t>
      </w:r>
      <w:r w:rsidR="00F633DD" w:rsidRPr="00C40BD9">
        <w:rPr>
          <w:rFonts w:ascii="Verdana" w:hAnsi="Verdana"/>
          <w:iCs/>
          <w:sz w:val="20"/>
          <w:szCs w:val="20"/>
          <w:lang w:val="pt-BR"/>
        </w:rPr>
        <w:t>e</w:t>
      </w:r>
      <w:r w:rsidR="00DE316A">
        <w:rPr>
          <w:rFonts w:ascii="Verdana" w:hAnsi="Verdana"/>
          <w:iCs/>
          <w:sz w:val="20"/>
          <w:szCs w:val="20"/>
          <w:lang w:val="pt-BR"/>
        </w:rPr>
        <w:t xml:space="preserve"> </w:t>
      </w:r>
      <w:r w:rsidRPr="00C40BD9">
        <w:rPr>
          <w:rFonts w:ascii="Verdana" w:hAnsi="Verdana"/>
          <w:iCs/>
          <w:sz w:val="20"/>
          <w:szCs w:val="20"/>
          <w:lang w:val="pt-BR"/>
        </w:rPr>
        <w:t xml:space="preserve">66 </w:t>
      </w:r>
      <w:r w:rsidR="00F633DD" w:rsidRPr="00C40BD9">
        <w:rPr>
          <w:rFonts w:ascii="Verdana" w:hAnsi="Verdana"/>
          <w:iCs/>
          <w:sz w:val="20"/>
          <w:szCs w:val="20"/>
          <w:lang w:val="pt-BR"/>
        </w:rPr>
        <w:t>da Sentença</w:t>
      </w:r>
      <w:r w:rsidRPr="00C40BD9">
        <w:rPr>
          <w:rFonts w:ascii="Verdana" w:hAnsi="Verdana"/>
          <w:iCs/>
          <w:sz w:val="20"/>
          <w:szCs w:val="20"/>
          <w:lang w:val="pt-BR"/>
        </w:rPr>
        <w:t xml:space="preserve">, fundamentando a </w:t>
      </w:r>
      <w:r w:rsidR="00C06A9B" w:rsidRPr="00C40BD9">
        <w:rPr>
          <w:rFonts w:ascii="Verdana" w:hAnsi="Verdana"/>
          <w:iCs/>
          <w:sz w:val="20"/>
          <w:szCs w:val="20"/>
          <w:lang w:val="pt-BR"/>
        </w:rPr>
        <w:t>competência</w:t>
      </w:r>
      <w:r w:rsidR="00DE316A">
        <w:rPr>
          <w:rFonts w:ascii="Verdana" w:hAnsi="Verdana"/>
          <w:iCs/>
          <w:sz w:val="20"/>
          <w:szCs w:val="20"/>
          <w:lang w:val="pt-BR"/>
        </w:rPr>
        <w:t xml:space="preserve"> </w:t>
      </w:r>
      <w:r w:rsidRPr="00C40BD9">
        <w:rPr>
          <w:rFonts w:ascii="Verdana" w:hAnsi="Verdana"/>
          <w:i/>
          <w:iCs/>
          <w:sz w:val="20"/>
          <w:szCs w:val="20"/>
          <w:lang w:val="pt-BR"/>
        </w:rPr>
        <w:t>ratione materiae</w:t>
      </w:r>
      <w:r w:rsidRPr="00C40BD9">
        <w:rPr>
          <w:rFonts w:ascii="Verdana" w:hAnsi="Verdana"/>
          <w:iCs/>
          <w:sz w:val="20"/>
          <w:szCs w:val="20"/>
          <w:lang w:val="pt-BR"/>
        </w:rPr>
        <w:t xml:space="preserve"> para proces</w:t>
      </w:r>
      <w:r w:rsidR="00C40BD9" w:rsidRPr="00C40BD9">
        <w:rPr>
          <w:rFonts w:ascii="Verdana" w:hAnsi="Verdana"/>
          <w:iCs/>
          <w:sz w:val="20"/>
          <w:szCs w:val="20"/>
          <w:lang w:val="pt-BR"/>
        </w:rPr>
        <w:t>s</w:t>
      </w:r>
      <w:r w:rsidRPr="00C40BD9">
        <w:rPr>
          <w:rFonts w:ascii="Verdana" w:hAnsi="Verdana"/>
          <w:iCs/>
          <w:sz w:val="20"/>
          <w:szCs w:val="20"/>
          <w:lang w:val="pt-BR"/>
        </w:rPr>
        <w:t xml:space="preserve">ar </w:t>
      </w:r>
      <w:r w:rsidR="00F633DD" w:rsidRPr="00C40BD9">
        <w:rPr>
          <w:rFonts w:ascii="Verdana" w:hAnsi="Verdana"/>
          <w:iCs/>
          <w:sz w:val="20"/>
          <w:szCs w:val="20"/>
          <w:lang w:val="pt-BR"/>
        </w:rPr>
        <w:t>e</w:t>
      </w:r>
      <w:r w:rsidR="00DE316A">
        <w:rPr>
          <w:rFonts w:ascii="Verdana" w:hAnsi="Verdana"/>
          <w:iCs/>
          <w:sz w:val="20"/>
          <w:szCs w:val="20"/>
          <w:lang w:val="pt-BR"/>
        </w:rPr>
        <w:t xml:space="preserve"> </w:t>
      </w:r>
      <w:r w:rsidRPr="00C40BD9">
        <w:rPr>
          <w:rFonts w:ascii="Verdana" w:hAnsi="Verdana"/>
          <w:iCs/>
          <w:sz w:val="20"/>
          <w:szCs w:val="20"/>
          <w:lang w:val="pt-BR"/>
        </w:rPr>
        <w:t>ju</w:t>
      </w:r>
      <w:r w:rsidR="00C40BD9" w:rsidRPr="00C40BD9">
        <w:rPr>
          <w:rFonts w:ascii="Verdana" w:hAnsi="Verdana"/>
          <w:iCs/>
          <w:sz w:val="20"/>
          <w:szCs w:val="20"/>
          <w:lang w:val="pt-BR"/>
        </w:rPr>
        <w:t>l</w:t>
      </w:r>
      <w:r w:rsidRPr="00C40BD9">
        <w:rPr>
          <w:rFonts w:ascii="Verdana" w:hAnsi="Verdana"/>
          <w:iCs/>
          <w:sz w:val="20"/>
          <w:szCs w:val="20"/>
          <w:lang w:val="pt-BR"/>
        </w:rPr>
        <w:t>gar pos</w:t>
      </w:r>
      <w:r w:rsidR="00C40BD9" w:rsidRPr="00C40BD9">
        <w:rPr>
          <w:rFonts w:ascii="Verdana" w:hAnsi="Verdana"/>
          <w:iCs/>
          <w:sz w:val="20"/>
          <w:szCs w:val="20"/>
          <w:lang w:val="pt-BR"/>
        </w:rPr>
        <w:t xml:space="preserve">síveis </w:t>
      </w:r>
      <w:r w:rsidRPr="00C40BD9">
        <w:rPr>
          <w:rFonts w:ascii="Verdana" w:hAnsi="Verdana"/>
          <w:iCs/>
          <w:sz w:val="20"/>
          <w:szCs w:val="20"/>
          <w:lang w:val="pt-BR"/>
        </w:rPr>
        <w:t>viola</w:t>
      </w:r>
      <w:r w:rsidR="00F633DD" w:rsidRPr="00C40BD9">
        <w:rPr>
          <w:rFonts w:ascii="Verdana" w:hAnsi="Verdana"/>
          <w:iCs/>
          <w:sz w:val="20"/>
          <w:szCs w:val="20"/>
          <w:lang w:val="pt-BR"/>
        </w:rPr>
        <w:t>ções</w:t>
      </w:r>
      <w:r w:rsidRPr="00C40BD9">
        <w:rPr>
          <w:rFonts w:ascii="Verdana" w:hAnsi="Verdana"/>
          <w:iCs/>
          <w:sz w:val="20"/>
          <w:szCs w:val="20"/>
          <w:lang w:val="pt-BR"/>
        </w:rPr>
        <w:t xml:space="preserve"> </w:t>
      </w:r>
      <w:r w:rsidR="00C40BD9" w:rsidRPr="00C40BD9">
        <w:rPr>
          <w:rFonts w:ascii="Verdana" w:hAnsi="Verdana"/>
          <w:iCs/>
          <w:sz w:val="20"/>
          <w:szCs w:val="20"/>
          <w:lang w:val="pt-BR"/>
        </w:rPr>
        <w:t xml:space="preserve">à </w:t>
      </w:r>
      <w:r w:rsidRPr="00C40BD9">
        <w:rPr>
          <w:rFonts w:ascii="Verdana" w:hAnsi="Verdana"/>
          <w:iCs/>
          <w:sz w:val="20"/>
          <w:szCs w:val="20"/>
          <w:lang w:val="pt-BR"/>
        </w:rPr>
        <w:t xml:space="preserve">CIPST cometidas </w:t>
      </w:r>
      <w:r w:rsidR="00036A1B" w:rsidRPr="00C40BD9">
        <w:rPr>
          <w:rFonts w:ascii="Verdana" w:hAnsi="Verdana"/>
          <w:iCs/>
          <w:sz w:val="20"/>
          <w:szCs w:val="20"/>
          <w:lang w:val="pt-BR"/>
        </w:rPr>
        <w:t xml:space="preserve">pelo </w:t>
      </w:r>
      <w:r w:rsidRPr="00C40BD9">
        <w:rPr>
          <w:rFonts w:ascii="Verdana" w:hAnsi="Verdana"/>
          <w:iCs/>
          <w:sz w:val="20"/>
          <w:szCs w:val="20"/>
          <w:lang w:val="pt-BR"/>
        </w:rPr>
        <w:t xml:space="preserve">Estado </w:t>
      </w:r>
      <w:r w:rsidR="00C40BD9" w:rsidRPr="00C40BD9">
        <w:rPr>
          <w:rFonts w:ascii="Verdana" w:hAnsi="Verdana"/>
          <w:iCs/>
          <w:sz w:val="20"/>
          <w:szCs w:val="20"/>
          <w:lang w:val="pt-BR"/>
        </w:rPr>
        <w:t xml:space="preserve">brasileiro. </w:t>
      </w:r>
    </w:p>
    <w:p w:rsidR="0074017B" w:rsidRPr="00C40BD9" w:rsidRDefault="0074017B" w:rsidP="00A82FB4">
      <w:pPr>
        <w:pStyle w:val="ListParagraph"/>
        <w:spacing w:after="0" w:line="240" w:lineRule="auto"/>
        <w:ind w:left="0"/>
        <w:jc w:val="both"/>
        <w:rPr>
          <w:rFonts w:ascii="Verdana" w:hAnsi="Verdana"/>
          <w:sz w:val="20"/>
          <w:szCs w:val="20"/>
          <w:lang w:val="pt-BR"/>
        </w:rPr>
      </w:pPr>
    </w:p>
    <w:p w:rsidR="0074017B" w:rsidRPr="00C40BD9" w:rsidRDefault="00C40BD9" w:rsidP="00A82FB4">
      <w:pPr>
        <w:pStyle w:val="ListParagraph"/>
        <w:numPr>
          <w:ilvl w:val="0"/>
          <w:numId w:val="2"/>
        </w:numPr>
        <w:tabs>
          <w:tab w:val="clear" w:pos="1247"/>
        </w:tabs>
        <w:spacing w:after="0" w:line="240" w:lineRule="auto"/>
        <w:jc w:val="both"/>
        <w:rPr>
          <w:rFonts w:ascii="Verdana" w:hAnsi="Verdana"/>
          <w:sz w:val="20"/>
          <w:szCs w:val="20"/>
          <w:lang w:val="pt-BR"/>
        </w:rPr>
      </w:pPr>
      <w:r w:rsidRPr="00C40BD9">
        <w:rPr>
          <w:rFonts w:ascii="Verdana" w:hAnsi="Verdana"/>
          <w:sz w:val="20"/>
          <w:szCs w:val="20"/>
          <w:lang w:val="pt-BR"/>
        </w:rPr>
        <w:t>Os</w:t>
      </w:r>
      <w:r w:rsidR="0074017B" w:rsidRPr="00C40BD9">
        <w:rPr>
          <w:rFonts w:ascii="Verdana" w:hAnsi="Verdana"/>
          <w:sz w:val="20"/>
          <w:szCs w:val="20"/>
          <w:lang w:val="pt-BR"/>
        </w:rPr>
        <w:t xml:space="preserve"> </w:t>
      </w:r>
      <w:r w:rsidR="0074017B" w:rsidRPr="00C40BD9">
        <w:rPr>
          <w:rFonts w:ascii="Verdana" w:hAnsi="Verdana"/>
          <w:b/>
          <w:i/>
          <w:sz w:val="20"/>
          <w:szCs w:val="20"/>
          <w:lang w:val="pt-BR"/>
        </w:rPr>
        <w:t xml:space="preserve">representantes </w:t>
      </w:r>
      <w:r w:rsidR="0074017B" w:rsidRPr="00C40BD9">
        <w:rPr>
          <w:rFonts w:ascii="Verdana" w:hAnsi="Verdana"/>
          <w:sz w:val="20"/>
          <w:szCs w:val="20"/>
          <w:lang w:val="pt-BR"/>
        </w:rPr>
        <w:t>afirmar</w:t>
      </w:r>
      <w:r w:rsidRPr="00C40BD9">
        <w:rPr>
          <w:rFonts w:ascii="Verdana" w:hAnsi="Verdana"/>
          <w:sz w:val="20"/>
          <w:szCs w:val="20"/>
          <w:lang w:val="pt-BR"/>
        </w:rPr>
        <w:t xml:space="preserve">am que o </w:t>
      </w:r>
      <w:r w:rsidR="0074017B" w:rsidRPr="00C40BD9">
        <w:rPr>
          <w:rFonts w:ascii="Verdana" w:hAnsi="Verdana"/>
          <w:sz w:val="20"/>
          <w:szCs w:val="20"/>
          <w:lang w:val="pt-BR"/>
        </w:rPr>
        <w:t xml:space="preserve">Estado se </w:t>
      </w:r>
      <w:r w:rsidRPr="00C40BD9">
        <w:rPr>
          <w:rFonts w:ascii="Verdana" w:hAnsi="Verdana"/>
          <w:sz w:val="20"/>
          <w:szCs w:val="20"/>
          <w:lang w:val="pt-BR"/>
        </w:rPr>
        <w:t xml:space="preserve">limitou a </w:t>
      </w:r>
      <w:r w:rsidR="0074017B" w:rsidRPr="00C40BD9">
        <w:rPr>
          <w:rFonts w:ascii="Verdana" w:hAnsi="Verdana"/>
          <w:sz w:val="20"/>
          <w:szCs w:val="20"/>
          <w:lang w:val="pt-BR"/>
        </w:rPr>
        <w:t xml:space="preserve">repetir os argumentos </w:t>
      </w:r>
      <w:r w:rsidRPr="00C40BD9">
        <w:rPr>
          <w:rFonts w:ascii="Verdana" w:hAnsi="Verdana"/>
          <w:sz w:val="20"/>
          <w:szCs w:val="20"/>
          <w:lang w:val="pt-BR"/>
        </w:rPr>
        <w:t>já a</w:t>
      </w:r>
      <w:r w:rsidR="0074017B" w:rsidRPr="00C40BD9">
        <w:rPr>
          <w:rFonts w:ascii="Verdana" w:hAnsi="Verdana"/>
          <w:sz w:val="20"/>
          <w:szCs w:val="20"/>
          <w:lang w:val="pt-BR"/>
        </w:rPr>
        <w:t>presentados e</w:t>
      </w:r>
      <w:r w:rsidRPr="00C40BD9">
        <w:rPr>
          <w:rFonts w:ascii="Verdana" w:hAnsi="Verdana"/>
          <w:sz w:val="20"/>
          <w:szCs w:val="20"/>
          <w:lang w:val="pt-BR"/>
        </w:rPr>
        <w:t xml:space="preserve">m suas </w:t>
      </w:r>
      <w:r w:rsidR="0074017B" w:rsidRPr="00C40BD9">
        <w:rPr>
          <w:rFonts w:ascii="Verdana" w:hAnsi="Verdana"/>
          <w:sz w:val="20"/>
          <w:szCs w:val="20"/>
          <w:lang w:val="pt-BR"/>
        </w:rPr>
        <w:t>exce</w:t>
      </w:r>
      <w:r w:rsidR="00F633DD" w:rsidRPr="00C40BD9">
        <w:rPr>
          <w:rFonts w:ascii="Verdana" w:hAnsi="Verdana"/>
          <w:sz w:val="20"/>
          <w:szCs w:val="20"/>
          <w:lang w:val="pt-BR"/>
        </w:rPr>
        <w:t>ções</w:t>
      </w:r>
      <w:r w:rsidR="0074017B" w:rsidRPr="00C40BD9">
        <w:rPr>
          <w:rFonts w:ascii="Verdana" w:hAnsi="Verdana"/>
          <w:sz w:val="20"/>
          <w:szCs w:val="20"/>
          <w:lang w:val="pt-BR"/>
        </w:rPr>
        <w:t xml:space="preserve"> preliminares, os </w:t>
      </w:r>
      <w:r w:rsidRPr="00C40BD9">
        <w:rPr>
          <w:rFonts w:ascii="Verdana" w:hAnsi="Verdana"/>
          <w:sz w:val="20"/>
          <w:szCs w:val="20"/>
          <w:lang w:val="pt-BR"/>
        </w:rPr>
        <w:t>q</w:t>
      </w:r>
      <w:r w:rsidR="0074017B" w:rsidRPr="00C40BD9">
        <w:rPr>
          <w:rFonts w:ascii="Verdana" w:hAnsi="Verdana"/>
          <w:sz w:val="20"/>
          <w:szCs w:val="20"/>
          <w:lang w:val="pt-BR"/>
        </w:rPr>
        <w:t>u</w:t>
      </w:r>
      <w:r w:rsidR="00C06A9B" w:rsidRPr="00C40BD9">
        <w:rPr>
          <w:rFonts w:ascii="Verdana" w:hAnsi="Verdana"/>
          <w:sz w:val="20"/>
          <w:szCs w:val="20"/>
          <w:lang w:val="pt-BR"/>
        </w:rPr>
        <w:t>ais</w:t>
      </w:r>
      <w:r w:rsidR="00DE316A">
        <w:rPr>
          <w:rFonts w:ascii="Verdana" w:hAnsi="Verdana"/>
          <w:sz w:val="20"/>
          <w:szCs w:val="20"/>
          <w:lang w:val="pt-BR"/>
        </w:rPr>
        <w:t xml:space="preserve"> </w:t>
      </w:r>
      <w:r w:rsidRPr="00C40BD9">
        <w:rPr>
          <w:rFonts w:ascii="Verdana" w:hAnsi="Verdana"/>
          <w:sz w:val="20"/>
          <w:szCs w:val="20"/>
          <w:lang w:val="pt-BR"/>
        </w:rPr>
        <w:t xml:space="preserve">já foram </w:t>
      </w:r>
      <w:r w:rsidR="0074017B" w:rsidRPr="00C40BD9">
        <w:rPr>
          <w:rFonts w:ascii="Verdana" w:hAnsi="Verdana"/>
          <w:sz w:val="20"/>
          <w:szCs w:val="20"/>
          <w:lang w:val="pt-BR"/>
        </w:rPr>
        <w:t>amplamente debatidos ao l</w:t>
      </w:r>
      <w:r w:rsidRPr="00C40BD9">
        <w:rPr>
          <w:rFonts w:ascii="Verdana" w:hAnsi="Verdana"/>
          <w:sz w:val="20"/>
          <w:szCs w:val="20"/>
          <w:lang w:val="pt-BR"/>
        </w:rPr>
        <w:t xml:space="preserve">ongo do processo e </w:t>
      </w:r>
      <w:r w:rsidR="0074017B" w:rsidRPr="00C40BD9">
        <w:rPr>
          <w:rFonts w:ascii="Verdana" w:hAnsi="Verdana"/>
          <w:sz w:val="20"/>
          <w:szCs w:val="20"/>
          <w:lang w:val="pt-BR"/>
        </w:rPr>
        <w:t xml:space="preserve">claramente fundamentados </w:t>
      </w:r>
      <w:r w:rsidR="000814BE" w:rsidRPr="00C40BD9">
        <w:rPr>
          <w:rFonts w:ascii="Verdana" w:hAnsi="Verdana"/>
          <w:sz w:val="20"/>
          <w:szCs w:val="20"/>
          <w:lang w:val="pt-BR"/>
        </w:rPr>
        <w:t xml:space="preserve">na </w:t>
      </w:r>
      <w:r w:rsidR="00F633DD" w:rsidRPr="00C40BD9">
        <w:rPr>
          <w:rFonts w:ascii="Verdana" w:hAnsi="Verdana"/>
          <w:sz w:val="20"/>
          <w:szCs w:val="20"/>
          <w:lang w:val="pt-BR"/>
        </w:rPr>
        <w:t>Sentença</w:t>
      </w:r>
      <w:r w:rsidR="0074017B" w:rsidRPr="00C40BD9">
        <w:rPr>
          <w:rFonts w:ascii="Verdana" w:hAnsi="Verdana"/>
          <w:sz w:val="20"/>
          <w:szCs w:val="20"/>
          <w:lang w:val="pt-BR"/>
        </w:rPr>
        <w:t xml:space="preserve">. </w:t>
      </w:r>
      <w:r w:rsidR="000246F0" w:rsidRPr="00C40BD9">
        <w:rPr>
          <w:rFonts w:ascii="Verdana" w:hAnsi="Verdana"/>
          <w:sz w:val="20"/>
          <w:szCs w:val="20"/>
          <w:lang w:val="pt-BR"/>
        </w:rPr>
        <w:t>Considerar</w:t>
      </w:r>
      <w:r w:rsidRPr="00C40BD9">
        <w:rPr>
          <w:rFonts w:ascii="Verdana" w:hAnsi="Verdana"/>
          <w:sz w:val="20"/>
          <w:szCs w:val="20"/>
          <w:lang w:val="pt-BR"/>
        </w:rPr>
        <w:t xml:space="preserve">am que a </w:t>
      </w:r>
      <w:r w:rsidR="00F633DD" w:rsidRPr="00C40BD9">
        <w:rPr>
          <w:rFonts w:ascii="Verdana" w:hAnsi="Verdana"/>
          <w:sz w:val="20"/>
          <w:szCs w:val="20"/>
          <w:lang w:val="pt-BR"/>
        </w:rPr>
        <w:t>Sentença</w:t>
      </w:r>
      <w:r w:rsidR="00DE316A">
        <w:rPr>
          <w:rFonts w:ascii="Verdana" w:hAnsi="Verdana"/>
          <w:sz w:val="20"/>
          <w:szCs w:val="20"/>
          <w:lang w:val="pt-BR"/>
        </w:rPr>
        <w:t xml:space="preserve"> </w:t>
      </w:r>
      <w:r w:rsidRPr="00C40BD9">
        <w:rPr>
          <w:rFonts w:ascii="Verdana" w:hAnsi="Verdana"/>
          <w:sz w:val="20"/>
          <w:szCs w:val="20"/>
          <w:lang w:val="pt-BR"/>
        </w:rPr>
        <w:t xml:space="preserve">é </w:t>
      </w:r>
      <w:r w:rsidR="0074017B" w:rsidRPr="00C40BD9">
        <w:rPr>
          <w:rFonts w:ascii="Verdana" w:hAnsi="Verdana"/>
          <w:sz w:val="20"/>
          <w:szCs w:val="20"/>
          <w:lang w:val="pt-BR"/>
        </w:rPr>
        <w:t xml:space="preserve">clara </w:t>
      </w:r>
      <w:r w:rsidR="00F633DD" w:rsidRPr="00C40BD9">
        <w:rPr>
          <w:rFonts w:ascii="Verdana" w:hAnsi="Verdana"/>
          <w:sz w:val="20"/>
          <w:szCs w:val="20"/>
          <w:lang w:val="pt-BR"/>
        </w:rPr>
        <w:t>e</w:t>
      </w:r>
      <w:r w:rsidR="00DE316A">
        <w:rPr>
          <w:rFonts w:ascii="Verdana" w:hAnsi="Verdana"/>
          <w:sz w:val="20"/>
          <w:szCs w:val="20"/>
          <w:lang w:val="pt-BR"/>
        </w:rPr>
        <w:t xml:space="preserve"> </w:t>
      </w:r>
      <w:r w:rsidR="00854B8A">
        <w:rPr>
          <w:rFonts w:ascii="Verdana" w:hAnsi="Verdana"/>
          <w:sz w:val="20"/>
          <w:szCs w:val="20"/>
          <w:lang w:val="pt-BR"/>
        </w:rPr>
        <w:t>não deixa</w:t>
      </w:r>
      <w:r w:rsidRPr="00C40BD9">
        <w:rPr>
          <w:rFonts w:ascii="Verdana" w:hAnsi="Verdana"/>
          <w:sz w:val="20"/>
          <w:szCs w:val="20"/>
          <w:lang w:val="pt-BR"/>
        </w:rPr>
        <w:t xml:space="preserve"> margem </w:t>
      </w:r>
      <w:r w:rsidR="00854B8A">
        <w:rPr>
          <w:rFonts w:ascii="Verdana" w:hAnsi="Verdana"/>
          <w:sz w:val="20"/>
          <w:szCs w:val="20"/>
          <w:lang w:val="pt-BR"/>
        </w:rPr>
        <w:t>a</w:t>
      </w:r>
      <w:r w:rsidRPr="00C40BD9">
        <w:rPr>
          <w:rFonts w:ascii="Verdana" w:hAnsi="Verdana"/>
          <w:sz w:val="20"/>
          <w:szCs w:val="20"/>
          <w:lang w:val="pt-BR"/>
        </w:rPr>
        <w:t xml:space="preserve"> dúvida</w:t>
      </w:r>
      <w:r w:rsidR="00854B8A">
        <w:rPr>
          <w:rFonts w:ascii="Verdana" w:hAnsi="Verdana"/>
          <w:sz w:val="20"/>
          <w:szCs w:val="20"/>
          <w:lang w:val="pt-BR"/>
        </w:rPr>
        <w:t>s</w:t>
      </w:r>
      <w:r w:rsidRPr="00C40BD9">
        <w:rPr>
          <w:rFonts w:ascii="Verdana" w:hAnsi="Verdana"/>
          <w:sz w:val="20"/>
          <w:szCs w:val="20"/>
          <w:lang w:val="pt-BR"/>
        </w:rPr>
        <w:t xml:space="preserve">, razão pela qual solicitam que essa </w:t>
      </w:r>
      <w:r w:rsidR="00C06A9B" w:rsidRPr="00C40BD9">
        <w:rPr>
          <w:rFonts w:ascii="Verdana" w:hAnsi="Verdana"/>
          <w:sz w:val="20"/>
          <w:szCs w:val="20"/>
          <w:lang w:val="pt-BR"/>
        </w:rPr>
        <w:t>solicitação</w:t>
      </w:r>
      <w:r w:rsidR="00DE316A">
        <w:rPr>
          <w:rFonts w:ascii="Verdana" w:hAnsi="Verdana"/>
          <w:sz w:val="20"/>
          <w:szCs w:val="20"/>
          <w:lang w:val="pt-BR"/>
        </w:rPr>
        <w:t xml:space="preserve"> </w:t>
      </w:r>
      <w:r w:rsidRPr="00C40BD9">
        <w:rPr>
          <w:rFonts w:ascii="Verdana" w:hAnsi="Verdana"/>
          <w:sz w:val="20"/>
          <w:szCs w:val="20"/>
          <w:lang w:val="pt-BR"/>
        </w:rPr>
        <w:t>seja rejeitada.</w:t>
      </w:r>
      <w:r w:rsidR="00390412" w:rsidRPr="00C40BD9">
        <w:rPr>
          <w:rFonts w:ascii="Verdana" w:hAnsi="Verdana"/>
          <w:sz w:val="20"/>
          <w:szCs w:val="20"/>
          <w:lang w:val="pt-BR"/>
        </w:rPr>
        <w:t xml:space="preserve"> </w:t>
      </w:r>
    </w:p>
    <w:p w:rsidR="0074017B" w:rsidRPr="00C40BD9" w:rsidRDefault="0074017B" w:rsidP="00A82FB4">
      <w:pPr>
        <w:pStyle w:val="ListParagraph"/>
        <w:rPr>
          <w:rFonts w:ascii="Verdana" w:hAnsi="Verdana"/>
          <w:sz w:val="20"/>
          <w:szCs w:val="20"/>
          <w:lang w:val="pt-BR"/>
        </w:rPr>
      </w:pPr>
    </w:p>
    <w:p w:rsidR="0074017B" w:rsidRPr="00C40BD9" w:rsidRDefault="00C40BD9" w:rsidP="00A82FB4">
      <w:pPr>
        <w:pStyle w:val="ListParagraph"/>
        <w:numPr>
          <w:ilvl w:val="0"/>
          <w:numId w:val="2"/>
        </w:numPr>
        <w:tabs>
          <w:tab w:val="clear" w:pos="1247"/>
        </w:tabs>
        <w:spacing w:after="0" w:line="240" w:lineRule="auto"/>
        <w:jc w:val="both"/>
        <w:rPr>
          <w:rFonts w:ascii="Verdana" w:hAnsi="Verdana"/>
          <w:sz w:val="20"/>
          <w:szCs w:val="20"/>
          <w:lang w:val="pt-BR"/>
        </w:rPr>
      </w:pPr>
      <w:r w:rsidRPr="00C40BD9">
        <w:rPr>
          <w:rFonts w:ascii="Verdana" w:hAnsi="Verdana"/>
          <w:sz w:val="20"/>
          <w:szCs w:val="20"/>
          <w:lang w:val="pt-BR"/>
        </w:rPr>
        <w:t>A</w:t>
      </w:r>
      <w:r w:rsidR="0074017B" w:rsidRPr="00C40BD9">
        <w:rPr>
          <w:rFonts w:ascii="Verdana" w:hAnsi="Verdana"/>
          <w:sz w:val="20"/>
          <w:szCs w:val="20"/>
          <w:lang w:val="pt-BR"/>
        </w:rPr>
        <w:t xml:space="preserve"> </w:t>
      </w:r>
      <w:r w:rsidR="00C06A9B" w:rsidRPr="00C40BD9">
        <w:rPr>
          <w:rFonts w:ascii="Verdana" w:hAnsi="Verdana"/>
          <w:b/>
          <w:i/>
          <w:sz w:val="20"/>
          <w:szCs w:val="20"/>
          <w:lang w:val="pt-BR"/>
        </w:rPr>
        <w:t xml:space="preserve">Comissão </w:t>
      </w:r>
      <w:r w:rsidR="0074017B" w:rsidRPr="00C40BD9">
        <w:rPr>
          <w:rFonts w:ascii="Verdana" w:hAnsi="Verdana"/>
          <w:sz w:val="20"/>
          <w:szCs w:val="20"/>
          <w:lang w:val="pt-BR"/>
        </w:rPr>
        <w:t>afirm</w:t>
      </w:r>
      <w:r w:rsidRPr="00C40BD9">
        <w:rPr>
          <w:rFonts w:ascii="Verdana" w:hAnsi="Verdana"/>
          <w:sz w:val="20"/>
          <w:szCs w:val="20"/>
          <w:lang w:val="pt-BR"/>
        </w:rPr>
        <w:t xml:space="preserve">ou que, </w:t>
      </w:r>
      <w:r w:rsidR="0074017B" w:rsidRPr="00C40BD9">
        <w:rPr>
          <w:rFonts w:ascii="Verdana" w:hAnsi="Verdana"/>
          <w:sz w:val="20"/>
          <w:szCs w:val="20"/>
          <w:lang w:val="pt-BR"/>
        </w:rPr>
        <w:t xml:space="preserve">mediante </w:t>
      </w:r>
      <w:r w:rsidRPr="00C40BD9">
        <w:rPr>
          <w:rFonts w:ascii="Verdana" w:hAnsi="Verdana"/>
          <w:sz w:val="20"/>
          <w:szCs w:val="20"/>
          <w:lang w:val="pt-BR"/>
        </w:rPr>
        <w:t>a</w:t>
      </w:r>
      <w:r w:rsidR="0074017B" w:rsidRPr="00C40BD9">
        <w:rPr>
          <w:rFonts w:ascii="Verdana" w:hAnsi="Verdana"/>
          <w:sz w:val="20"/>
          <w:szCs w:val="20"/>
          <w:lang w:val="pt-BR"/>
        </w:rPr>
        <w:t xml:space="preserve"> </w:t>
      </w:r>
      <w:r w:rsidR="00C06A9B" w:rsidRPr="00C40BD9">
        <w:rPr>
          <w:rFonts w:ascii="Verdana" w:hAnsi="Verdana"/>
          <w:sz w:val="20"/>
          <w:szCs w:val="20"/>
          <w:lang w:val="pt-BR"/>
        </w:rPr>
        <w:t>solicitação</w:t>
      </w:r>
      <w:r w:rsidR="00DE316A">
        <w:rPr>
          <w:rFonts w:ascii="Verdana" w:hAnsi="Verdana"/>
          <w:sz w:val="20"/>
          <w:szCs w:val="20"/>
          <w:lang w:val="pt-BR"/>
        </w:rPr>
        <w:t xml:space="preserve"> </w:t>
      </w:r>
      <w:r w:rsidR="0074017B" w:rsidRPr="00C40BD9">
        <w:rPr>
          <w:rFonts w:ascii="Verdana" w:hAnsi="Verdana"/>
          <w:sz w:val="20"/>
          <w:szCs w:val="20"/>
          <w:lang w:val="pt-BR"/>
        </w:rPr>
        <w:t>de interpreta</w:t>
      </w:r>
      <w:r w:rsidR="00F633DD" w:rsidRPr="00C40BD9">
        <w:rPr>
          <w:rFonts w:ascii="Verdana" w:hAnsi="Verdana"/>
          <w:sz w:val="20"/>
          <w:szCs w:val="20"/>
          <w:lang w:val="pt-BR"/>
        </w:rPr>
        <w:t>ção</w:t>
      </w:r>
      <w:r w:rsidR="0074017B" w:rsidRPr="00C40BD9">
        <w:rPr>
          <w:rFonts w:ascii="Verdana" w:hAnsi="Verdana"/>
          <w:sz w:val="20"/>
          <w:szCs w:val="20"/>
          <w:lang w:val="pt-BR"/>
        </w:rPr>
        <w:t xml:space="preserve">, </w:t>
      </w:r>
      <w:r w:rsidRPr="00C40BD9">
        <w:rPr>
          <w:rFonts w:ascii="Verdana" w:hAnsi="Verdana"/>
          <w:sz w:val="20"/>
          <w:szCs w:val="20"/>
          <w:lang w:val="pt-BR"/>
        </w:rPr>
        <w:t xml:space="preserve">o </w:t>
      </w:r>
      <w:r w:rsidR="0074017B" w:rsidRPr="00C40BD9">
        <w:rPr>
          <w:rFonts w:ascii="Verdana" w:hAnsi="Verdana"/>
          <w:sz w:val="20"/>
          <w:szCs w:val="20"/>
          <w:lang w:val="pt-BR"/>
        </w:rPr>
        <w:t xml:space="preserve">Estado </w:t>
      </w:r>
      <w:r w:rsidRPr="00C40BD9">
        <w:rPr>
          <w:rFonts w:ascii="Verdana" w:hAnsi="Verdana"/>
          <w:sz w:val="20"/>
          <w:szCs w:val="20"/>
          <w:lang w:val="pt-BR"/>
        </w:rPr>
        <w:t xml:space="preserve">tentaria </w:t>
      </w:r>
      <w:r w:rsidR="0074017B" w:rsidRPr="00C40BD9">
        <w:rPr>
          <w:rFonts w:ascii="Verdana" w:hAnsi="Verdana"/>
          <w:sz w:val="20"/>
          <w:szCs w:val="20"/>
          <w:lang w:val="pt-BR"/>
        </w:rPr>
        <w:t>insistir e</w:t>
      </w:r>
      <w:r w:rsidRPr="00C40BD9">
        <w:rPr>
          <w:rFonts w:ascii="Verdana" w:hAnsi="Verdana"/>
          <w:sz w:val="20"/>
          <w:szCs w:val="20"/>
          <w:lang w:val="pt-BR"/>
        </w:rPr>
        <w:t xml:space="preserve">m sua </w:t>
      </w:r>
      <w:r w:rsidR="0074017B" w:rsidRPr="00C40BD9">
        <w:rPr>
          <w:rFonts w:ascii="Verdana" w:hAnsi="Verdana"/>
          <w:sz w:val="20"/>
          <w:szCs w:val="20"/>
          <w:lang w:val="pt-BR"/>
        </w:rPr>
        <w:t>argumenta</w:t>
      </w:r>
      <w:r w:rsidR="00F633DD" w:rsidRPr="00C40BD9">
        <w:rPr>
          <w:rFonts w:ascii="Verdana" w:hAnsi="Verdana"/>
          <w:sz w:val="20"/>
          <w:szCs w:val="20"/>
          <w:lang w:val="pt-BR"/>
        </w:rPr>
        <w:t>ção</w:t>
      </w:r>
      <w:r w:rsidR="0074017B" w:rsidRPr="00C40BD9">
        <w:rPr>
          <w:rFonts w:ascii="Verdana" w:hAnsi="Verdana"/>
          <w:sz w:val="20"/>
          <w:szCs w:val="20"/>
          <w:lang w:val="pt-BR"/>
        </w:rPr>
        <w:t xml:space="preserve"> sobre u</w:t>
      </w:r>
      <w:r w:rsidRPr="00C40BD9">
        <w:rPr>
          <w:rFonts w:ascii="Verdana" w:hAnsi="Verdana"/>
          <w:sz w:val="20"/>
          <w:szCs w:val="20"/>
          <w:lang w:val="pt-BR"/>
        </w:rPr>
        <w:t>m</w:t>
      </w:r>
      <w:r w:rsidR="0074017B" w:rsidRPr="00C40BD9">
        <w:rPr>
          <w:rFonts w:ascii="Verdana" w:hAnsi="Verdana"/>
          <w:sz w:val="20"/>
          <w:szCs w:val="20"/>
          <w:lang w:val="pt-BR"/>
        </w:rPr>
        <w:t xml:space="preserve"> aspecto </w:t>
      </w:r>
      <w:r w:rsidRPr="00C40BD9">
        <w:rPr>
          <w:rFonts w:ascii="Verdana" w:hAnsi="Verdana"/>
          <w:sz w:val="20"/>
          <w:szCs w:val="20"/>
          <w:lang w:val="pt-BR"/>
        </w:rPr>
        <w:t xml:space="preserve">já </w:t>
      </w:r>
      <w:r w:rsidR="0074017B" w:rsidRPr="00C40BD9">
        <w:rPr>
          <w:rFonts w:ascii="Verdana" w:hAnsi="Verdana"/>
          <w:sz w:val="20"/>
          <w:szCs w:val="20"/>
          <w:lang w:val="pt-BR"/>
        </w:rPr>
        <w:t xml:space="preserve">debatido nas etapas </w:t>
      </w:r>
      <w:r w:rsidR="007558A5" w:rsidRPr="00C40BD9">
        <w:rPr>
          <w:rFonts w:ascii="Verdana" w:hAnsi="Verdana"/>
          <w:sz w:val="20"/>
          <w:szCs w:val="20"/>
          <w:lang w:val="pt-BR"/>
        </w:rPr>
        <w:t>processuais</w:t>
      </w:r>
      <w:r w:rsidR="00DE316A">
        <w:rPr>
          <w:rFonts w:ascii="Verdana" w:hAnsi="Verdana"/>
          <w:sz w:val="20"/>
          <w:szCs w:val="20"/>
          <w:lang w:val="pt-BR"/>
        </w:rPr>
        <w:t xml:space="preserve"> </w:t>
      </w:r>
      <w:r w:rsidR="0074017B" w:rsidRPr="00C40BD9">
        <w:rPr>
          <w:rFonts w:ascii="Verdana" w:hAnsi="Verdana"/>
          <w:sz w:val="20"/>
          <w:szCs w:val="20"/>
          <w:lang w:val="pt-BR"/>
        </w:rPr>
        <w:t xml:space="preserve">oportunas, </w:t>
      </w:r>
      <w:r w:rsidRPr="00C40BD9">
        <w:rPr>
          <w:rFonts w:ascii="Verdana" w:hAnsi="Verdana"/>
          <w:sz w:val="20"/>
          <w:szCs w:val="20"/>
          <w:lang w:val="pt-BR"/>
        </w:rPr>
        <w:t xml:space="preserve">e que, portanto, não necessita </w:t>
      </w:r>
      <w:r w:rsidR="0074017B" w:rsidRPr="00C40BD9">
        <w:rPr>
          <w:rFonts w:ascii="Verdana" w:hAnsi="Verdana"/>
          <w:sz w:val="20"/>
          <w:szCs w:val="20"/>
          <w:lang w:val="pt-BR"/>
        </w:rPr>
        <w:t>interpreta</w:t>
      </w:r>
      <w:r w:rsidR="00F633DD" w:rsidRPr="00C40BD9">
        <w:rPr>
          <w:rFonts w:ascii="Verdana" w:hAnsi="Verdana"/>
          <w:sz w:val="20"/>
          <w:szCs w:val="20"/>
          <w:lang w:val="pt-BR"/>
        </w:rPr>
        <w:t>ção</w:t>
      </w:r>
      <w:r w:rsidR="00390412" w:rsidRPr="00C40BD9">
        <w:rPr>
          <w:rFonts w:ascii="Verdana" w:hAnsi="Verdana"/>
          <w:sz w:val="20"/>
          <w:szCs w:val="20"/>
          <w:lang w:val="pt-BR"/>
        </w:rPr>
        <w:t xml:space="preserve"> n</w:t>
      </w:r>
      <w:r w:rsidRPr="00C40BD9">
        <w:rPr>
          <w:rFonts w:ascii="Verdana" w:hAnsi="Verdana"/>
          <w:sz w:val="20"/>
          <w:szCs w:val="20"/>
          <w:lang w:val="pt-BR"/>
        </w:rPr>
        <w:t>o</w:t>
      </w:r>
      <w:r w:rsidR="00390412" w:rsidRPr="00C40BD9">
        <w:rPr>
          <w:rFonts w:ascii="Verdana" w:hAnsi="Verdana"/>
          <w:sz w:val="20"/>
          <w:szCs w:val="20"/>
          <w:lang w:val="pt-BR"/>
        </w:rPr>
        <w:t xml:space="preserve"> presente caso</w:t>
      </w:r>
      <w:r w:rsidRPr="00C40BD9">
        <w:rPr>
          <w:rFonts w:ascii="Verdana" w:hAnsi="Verdana"/>
          <w:sz w:val="20"/>
          <w:szCs w:val="20"/>
          <w:lang w:val="pt-BR"/>
        </w:rPr>
        <w:t>.</w:t>
      </w:r>
      <w:r w:rsidR="00390412" w:rsidRPr="00C40BD9">
        <w:rPr>
          <w:rFonts w:ascii="Verdana" w:hAnsi="Verdana"/>
          <w:sz w:val="20"/>
          <w:szCs w:val="20"/>
          <w:lang w:val="pt-BR"/>
        </w:rPr>
        <w:t xml:space="preserve"> </w:t>
      </w:r>
    </w:p>
    <w:p w:rsidR="0074017B" w:rsidRPr="00C40BD9" w:rsidRDefault="0074017B" w:rsidP="00A82FB4">
      <w:pPr>
        <w:pStyle w:val="ListParagraph"/>
        <w:spacing w:after="0" w:line="240" w:lineRule="auto"/>
        <w:ind w:left="0"/>
        <w:jc w:val="both"/>
        <w:rPr>
          <w:rFonts w:ascii="Verdana" w:hAnsi="Verdana"/>
          <w:sz w:val="20"/>
          <w:szCs w:val="20"/>
          <w:lang w:val="pt-BR"/>
        </w:rPr>
      </w:pPr>
    </w:p>
    <w:p w:rsidR="0074017B" w:rsidRPr="00C40BD9" w:rsidRDefault="0049492F" w:rsidP="00E048DB">
      <w:pPr>
        <w:pStyle w:val="Heading2"/>
        <w:rPr>
          <w:b w:val="0"/>
        </w:rPr>
      </w:pPr>
      <w:r w:rsidRPr="00C40BD9">
        <w:rPr>
          <w:b w:val="0"/>
        </w:rPr>
        <w:t xml:space="preserve">C.2. </w:t>
      </w:r>
      <w:r w:rsidR="0074017B" w:rsidRPr="003A338E">
        <w:rPr>
          <w:b w:val="0"/>
        </w:rPr>
        <w:t>Considera</w:t>
      </w:r>
      <w:r w:rsidR="00F633DD" w:rsidRPr="003A338E">
        <w:rPr>
          <w:b w:val="0"/>
        </w:rPr>
        <w:t>ções</w:t>
      </w:r>
      <w:r w:rsidR="0074017B" w:rsidRPr="00C40BD9">
        <w:rPr>
          <w:b w:val="0"/>
        </w:rPr>
        <w:t xml:space="preserve"> </w:t>
      </w:r>
      <w:r w:rsidR="00F633DD" w:rsidRPr="00C40BD9">
        <w:rPr>
          <w:b w:val="0"/>
        </w:rPr>
        <w:t xml:space="preserve">da </w:t>
      </w:r>
      <w:r w:rsidR="0074017B" w:rsidRPr="00C40BD9">
        <w:rPr>
          <w:b w:val="0"/>
        </w:rPr>
        <w:t>Corte</w:t>
      </w:r>
    </w:p>
    <w:p w:rsidR="0074017B" w:rsidRPr="00C40BD9" w:rsidRDefault="0074017B" w:rsidP="00A82FB4">
      <w:pPr>
        <w:pStyle w:val="ListParagraph"/>
        <w:spacing w:after="0" w:line="240" w:lineRule="auto"/>
        <w:ind w:left="0"/>
        <w:jc w:val="both"/>
        <w:rPr>
          <w:rFonts w:ascii="Verdana" w:hAnsi="Verdana"/>
          <w:sz w:val="20"/>
          <w:szCs w:val="20"/>
          <w:lang w:val="pt-BR"/>
        </w:rPr>
      </w:pPr>
    </w:p>
    <w:p w:rsidR="005413CE" w:rsidRPr="00C40BD9" w:rsidRDefault="00C40BD9" w:rsidP="00A82FB4">
      <w:pPr>
        <w:pStyle w:val="ListParagraph"/>
        <w:numPr>
          <w:ilvl w:val="0"/>
          <w:numId w:val="2"/>
        </w:numPr>
        <w:tabs>
          <w:tab w:val="clear" w:pos="1247"/>
        </w:tabs>
        <w:spacing w:after="0" w:line="240" w:lineRule="auto"/>
        <w:contextualSpacing w:val="0"/>
        <w:jc w:val="both"/>
        <w:rPr>
          <w:rFonts w:ascii="Verdana" w:hAnsi="Verdana"/>
          <w:sz w:val="20"/>
          <w:szCs w:val="20"/>
          <w:lang w:val="pt-BR"/>
        </w:rPr>
      </w:pPr>
      <w:r w:rsidRPr="00C40BD9">
        <w:rPr>
          <w:rFonts w:ascii="Verdana" w:hAnsi="Verdana"/>
          <w:sz w:val="20"/>
          <w:szCs w:val="20"/>
          <w:lang w:val="pt-BR"/>
        </w:rPr>
        <w:t>A</w:t>
      </w:r>
      <w:r w:rsidR="0074017B" w:rsidRPr="00C40BD9">
        <w:rPr>
          <w:rFonts w:ascii="Verdana" w:hAnsi="Verdana"/>
          <w:sz w:val="20"/>
          <w:szCs w:val="20"/>
          <w:lang w:val="pt-BR"/>
        </w:rPr>
        <w:t xml:space="preserve"> Corte reitera que considera</w:t>
      </w:r>
      <w:r w:rsidR="0074017B" w:rsidRPr="00C40BD9">
        <w:rPr>
          <w:rFonts w:ascii="Verdana" w:hAnsi="Verdana" w:cs="Verdana"/>
          <w:sz w:val="20"/>
          <w:szCs w:val="20"/>
          <w:lang w:val="pt-BR"/>
        </w:rPr>
        <w:t xml:space="preserve"> improcedente utilizar </w:t>
      </w:r>
      <w:r w:rsidR="006770ED" w:rsidRPr="00C40BD9">
        <w:rPr>
          <w:rFonts w:ascii="Verdana" w:hAnsi="Verdana" w:cs="Verdana"/>
          <w:sz w:val="20"/>
          <w:szCs w:val="20"/>
          <w:lang w:val="pt-BR"/>
        </w:rPr>
        <w:t>uma</w:t>
      </w:r>
      <w:r w:rsidR="00DE316A">
        <w:rPr>
          <w:rFonts w:ascii="Verdana" w:hAnsi="Verdana" w:cs="Verdana"/>
          <w:sz w:val="20"/>
          <w:szCs w:val="20"/>
          <w:lang w:val="pt-BR"/>
        </w:rPr>
        <w:t xml:space="preserve"> </w:t>
      </w:r>
      <w:r w:rsidR="00C06A9B" w:rsidRPr="00C40BD9">
        <w:rPr>
          <w:rFonts w:ascii="Verdana" w:hAnsi="Verdana" w:cs="Verdana"/>
          <w:sz w:val="20"/>
          <w:szCs w:val="20"/>
          <w:lang w:val="pt-BR"/>
        </w:rPr>
        <w:t>solicitação</w:t>
      </w:r>
      <w:r w:rsidR="00DE316A">
        <w:rPr>
          <w:rFonts w:ascii="Verdana" w:hAnsi="Verdana" w:cs="Verdana"/>
          <w:sz w:val="20"/>
          <w:szCs w:val="20"/>
          <w:lang w:val="pt-BR"/>
        </w:rPr>
        <w:t xml:space="preserve"> </w:t>
      </w:r>
      <w:r w:rsidR="0074017B" w:rsidRPr="00C40BD9">
        <w:rPr>
          <w:rFonts w:ascii="Verdana" w:hAnsi="Verdana" w:cs="Verdana"/>
          <w:sz w:val="20"/>
          <w:szCs w:val="20"/>
          <w:lang w:val="pt-BR"/>
        </w:rPr>
        <w:t>de interpreta</w:t>
      </w:r>
      <w:r w:rsidR="00F633DD" w:rsidRPr="00C40BD9">
        <w:rPr>
          <w:rFonts w:ascii="Verdana" w:hAnsi="Verdana" w:cs="Verdana"/>
          <w:sz w:val="20"/>
          <w:szCs w:val="20"/>
          <w:lang w:val="pt-BR"/>
        </w:rPr>
        <w:t>ção</w:t>
      </w:r>
      <w:r w:rsidR="0074017B" w:rsidRPr="00C40BD9">
        <w:rPr>
          <w:rFonts w:ascii="Verdana" w:hAnsi="Verdana" w:cs="Verdana"/>
          <w:sz w:val="20"/>
          <w:szCs w:val="20"/>
          <w:lang w:val="pt-BR"/>
        </w:rPr>
        <w:t xml:space="preserve"> para </w:t>
      </w:r>
      <w:r>
        <w:rPr>
          <w:rFonts w:ascii="Verdana" w:hAnsi="Verdana" w:cs="Verdana"/>
          <w:sz w:val="20"/>
          <w:szCs w:val="20"/>
          <w:lang w:val="pt-BR"/>
        </w:rPr>
        <w:t xml:space="preserve">apresentar </w:t>
      </w:r>
      <w:r w:rsidR="00036A1B" w:rsidRPr="00C40BD9">
        <w:rPr>
          <w:rFonts w:ascii="Verdana" w:hAnsi="Verdana" w:cs="Verdana"/>
          <w:sz w:val="20"/>
          <w:szCs w:val="20"/>
          <w:lang w:val="pt-BR"/>
        </w:rPr>
        <w:t>questões</w:t>
      </w:r>
      <w:r w:rsidR="00DE316A">
        <w:rPr>
          <w:rFonts w:ascii="Verdana" w:hAnsi="Verdana" w:cs="Verdana"/>
          <w:sz w:val="20"/>
          <w:szCs w:val="20"/>
          <w:lang w:val="pt-BR"/>
        </w:rPr>
        <w:t xml:space="preserve"> </w:t>
      </w:r>
      <w:r w:rsidR="0074017B" w:rsidRPr="00C40BD9">
        <w:rPr>
          <w:rFonts w:ascii="Verdana" w:hAnsi="Verdana" w:cs="Verdana"/>
          <w:sz w:val="20"/>
          <w:szCs w:val="20"/>
          <w:lang w:val="pt-BR"/>
        </w:rPr>
        <w:t xml:space="preserve">de </w:t>
      </w:r>
      <w:r>
        <w:rPr>
          <w:rFonts w:ascii="Verdana" w:hAnsi="Verdana" w:cs="Verdana"/>
          <w:sz w:val="20"/>
          <w:szCs w:val="20"/>
          <w:lang w:val="pt-BR"/>
        </w:rPr>
        <w:t xml:space="preserve">fato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0074017B" w:rsidRPr="00C40BD9">
        <w:rPr>
          <w:rFonts w:ascii="Verdana" w:hAnsi="Verdana" w:cs="Verdana"/>
          <w:sz w:val="20"/>
          <w:szCs w:val="20"/>
          <w:lang w:val="pt-BR"/>
        </w:rPr>
        <w:t xml:space="preserve">de </w:t>
      </w:r>
      <w:r w:rsidR="006770ED" w:rsidRPr="00C40BD9">
        <w:rPr>
          <w:rFonts w:ascii="Verdana" w:hAnsi="Verdana" w:cs="Verdana"/>
          <w:sz w:val="20"/>
          <w:szCs w:val="20"/>
          <w:lang w:val="pt-BR"/>
        </w:rPr>
        <w:t>direito</w:t>
      </w:r>
      <w:r w:rsidR="00DE316A">
        <w:rPr>
          <w:rFonts w:ascii="Verdana" w:hAnsi="Verdana" w:cs="Verdana"/>
          <w:sz w:val="20"/>
          <w:szCs w:val="20"/>
          <w:lang w:val="pt-BR"/>
        </w:rPr>
        <w:t xml:space="preserve"> </w:t>
      </w:r>
      <w:r>
        <w:rPr>
          <w:rFonts w:ascii="Verdana" w:hAnsi="Verdana" w:cs="Verdana"/>
          <w:sz w:val="20"/>
          <w:szCs w:val="20"/>
          <w:lang w:val="pt-BR"/>
        </w:rPr>
        <w:t xml:space="preserve">já expostas na </w:t>
      </w:r>
      <w:r w:rsidR="0074017B" w:rsidRPr="00C40BD9">
        <w:rPr>
          <w:rFonts w:ascii="Verdana" w:hAnsi="Verdana" w:cs="Verdana"/>
          <w:sz w:val="20"/>
          <w:szCs w:val="20"/>
          <w:lang w:val="pt-BR"/>
        </w:rPr>
        <w:t>oportunidad</w:t>
      </w:r>
      <w:r>
        <w:rPr>
          <w:rFonts w:ascii="Verdana" w:hAnsi="Verdana" w:cs="Verdana"/>
          <w:sz w:val="20"/>
          <w:szCs w:val="20"/>
          <w:lang w:val="pt-BR"/>
        </w:rPr>
        <w:t>e</w:t>
      </w:r>
      <w:r w:rsidR="0074017B" w:rsidRPr="00C40BD9">
        <w:rPr>
          <w:rFonts w:ascii="Verdana" w:hAnsi="Verdana" w:cs="Verdana"/>
          <w:sz w:val="20"/>
          <w:szCs w:val="20"/>
          <w:lang w:val="pt-BR"/>
        </w:rPr>
        <w:t xml:space="preserve"> </w:t>
      </w:r>
      <w:r w:rsidR="00D12C4F" w:rsidRPr="00C40BD9">
        <w:rPr>
          <w:rFonts w:ascii="Verdana" w:hAnsi="Verdana" w:cs="Verdana"/>
          <w:sz w:val="20"/>
          <w:szCs w:val="20"/>
          <w:lang w:val="pt-BR"/>
        </w:rPr>
        <w:t>processual</w:t>
      </w:r>
      <w:r w:rsidR="00DE316A">
        <w:rPr>
          <w:rFonts w:ascii="Verdana" w:hAnsi="Verdana" w:cs="Verdana"/>
          <w:sz w:val="20"/>
          <w:szCs w:val="20"/>
          <w:lang w:val="pt-BR"/>
        </w:rPr>
        <w:t xml:space="preserve">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0074017B" w:rsidRPr="00C40BD9">
        <w:rPr>
          <w:rFonts w:ascii="Verdana" w:hAnsi="Verdana" w:cs="Verdana"/>
          <w:sz w:val="20"/>
          <w:szCs w:val="20"/>
          <w:lang w:val="pt-BR"/>
        </w:rPr>
        <w:t xml:space="preserve">sobre as </w:t>
      </w:r>
      <w:r>
        <w:rPr>
          <w:rFonts w:ascii="Verdana" w:hAnsi="Verdana" w:cs="Verdana"/>
          <w:sz w:val="20"/>
          <w:szCs w:val="20"/>
          <w:lang w:val="pt-BR"/>
        </w:rPr>
        <w:t>q</w:t>
      </w:r>
      <w:r w:rsidR="0074017B" w:rsidRPr="00C40BD9">
        <w:rPr>
          <w:rFonts w:ascii="Verdana" w:hAnsi="Verdana" w:cs="Verdana"/>
          <w:sz w:val="20"/>
          <w:szCs w:val="20"/>
          <w:lang w:val="pt-BR"/>
        </w:rPr>
        <w:t>u</w:t>
      </w:r>
      <w:r w:rsidR="00C06A9B" w:rsidRPr="00C40BD9">
        <w:rPr>
          <w:rFonts w:ascii="Verdana" w:hAnsi="Verdana" w:cs="Verdana"/>
          <w:sz w:val="20"/>
          <w:szCs w:val="20"/>
          <w:lang w:val="pt-BR"/>
        </w:rPr>
        <w:t>ais</w:t>
      </w:r>
      <w:r w:rsidR="00DE316A">
        <w:rPr>
          <w:rFonts w:ascii="Verdana" w:hAnsi="Verdana" w:cs="Verdana"/>
          <w:sz w:val="20"/>
          <w:szCs w:val="20"/>
          <w:lang w:val="pt-BR"/>
        </w:rPr>
        <w:t xml:space="preserve"> </w:t>
      </w:r>
      <w:r w:rsidR="00036A1B" w:rsidRPr="00C40BD9">
        <w:rPr>
          <w:rFonts w:ascii="Verdana" w:hAnsi="Verdana" w:cs="Verdana"/>
          <w:sz w:val="20"/>
          <w:szCs w:val="20"/>
          <w:lang w:val="pt-BR"/>
        </w:rPr>
        <w:t xml:space="preserve">a Corte </w:t>
      </w:r>
      <w:r w:rsidR="00BF48F6">
        <w:rPr>
          <w:rFonts w:ascii="Verdana" w:hAnsi="Verdana" w:cs="Verdana"/>
          <w:sz w:val="20"/>
          <w:szCs w:val="20"/>
          <w:lang w:val="pt-BR"/>
        </w:rPr>
        <w:t>já decidiu</w:t>
      </w:r>
      <w:r w:rsidR="0074017B" w:rsidRPr="00C40BD9">
        <w:rPr>
          <w:rFonts w:ascii="Verdana" w:hAnsi="Verdana" w:cs="Verdana"/>
          <w:sz w:val="20"/>
          <w:szCs w:val="20"/>
          <w:lang w:val="pt-BR"/>
        </w:rPr>
        <w:t>.</w:t>
      </w:r>
    </w:p>
    <w:p w:rsidR="00BE48AE" w:rsidRPr="00C40BD9" w:rsidRDefault="00BE48AE" w:rsidP="00A82FB4">
      <w:pPr>
        <w:pStyle w:val="ListParagraph"/>
        <w:spacing w:after="0" w:line="240" w:lineRule="auto"/>
        <w:ind w:left="0"/>
        <w:contextualSpacing w:val="0"/>
        <w:jc w:val="both"/>
        <w:rPr>
          <w:rFonts w:ascii="Verdana" w:hAnsi="Verdana"/>
          <w:sz w:val="20"/>
          <w:szCs w:val="20"/>
          <w:lang w:val="pt-BR"/>
        </w:rPr>
      </w:pPr>
    </w:p>
    <w:p w:rsidR="00E40783" w:rsidRPr="00BF48F6" w:rsidRDefault="00BF48F6" w:rsidP="00A82FB4">
      <w:pPr>
        <w:pStyle w:val="ListParagraph"/>
        <w:numPr>
          <w:ilvl w:val="0"/>
          <w:numId w:val="2"/>
        </w:numPr>
        <w:tabs>
          <w:tab w:val="clear" w:pos="1247"/>
        </w:tabs>
        <w:spacing w:after="0" w:line="240" w:lineRule="auto"/>
        <w:jc w:val="both"/>
        <w:rPr>
          <w:rFonts w:ascii="Verdana" w:hAnsi="Verdana"/>
          <w:sz w:val="20"/>
          <w:szCs w:val="20"/>
          <w:lang w:val="pt-BR"/>
        </w:rPr>
      </w:pPr>
      <w:r w:rsidRPr="00BF48F6">
        <w:rPr>
          <w:rFonts w:ascii="Verdana" w:hAnsi="Verdana"/>
          <w:sz w:val="20"/>
          <w:szCs w:val="20"/>
          <w:lang w:val="pt-BR"/>
        </w:rPr>
        <w:t>O</w:t>
      </w:r>
      <w:r w:rsidR="0074017B" w:rsidRPr="00BF48F6">
        <w:rPr>
          <w:rFonts w:ascii="Verdana" w:hAnsi="Verdana"/>
          <w:sz w:val="20"/>
          <w:szCs w:val="20"/>
          <w:lang w:val="pt-BR"/>
        </w:rPr>
        <w:t xml:space="preserve"> Estado interp</w:t>
      </w:r>
      <w:r w:rsidRPr="00BF48F6">
        <w:rPr>
          <w:rFonts w:ascii="Verdana" w:hAnsi="Verdana"/>
          <w:sz w:val="20"/>
          <w:szCs w:val="20"/>
          <w:lang w:val="pt-BR"/>
        </w:rPr>
        <w:t xml:space="preserve">ôs </w:t>
      </w:r>
      <w:r w:rsidR="006770ED" w:rsidRPr="00BF48F6">
        <w:rPr>
          <w:rFonts w:ascii="Verdana" w:hAnsi="Verdana"/>
          <w:sz w:val="20"/>
          <w:szCs w:val="20"/>
          <w:lang w:val="pt-BR"/>
        </w:rPr>
        <w:t>uma</w:t>
      </w:r>
      <w:r w:rsidR="00DE316A">
        <w:rPr>
          <w:rFonts w:ascii="Verdana" w:hAnsi="Verdana"/>
          <w:sz w:val="20"/>
          <w:szCs w:val="20"/>
          <w:lang w:val="pt-BR"/>
        </w:rPr>
        <w:t xml:space="preserve"> </w:t>
      </w:r>
      <w:r w:rsidR="00D12C4F" w:rsidRPr="00BF48F6">
        <w:rPr>
          <w:rFonts w:ascii="Verdana" w:hAnsi="Verdana"/>
          <w:sz w:val="20"/>
          <w:szCs w:val="20"/>
          <w:lang w:val="pt-BR"/>
        </w:rPr>
        <w:t>exceção</w:t>
      </w:r>
      <w:r w:rsidR="00DE316A">
        <w:rPr>
          <w:rFonts w:ascii="Verdana" w:hAnsi="Verdana"/>
          <w:sz w:val="20"/>
          <w:szCs w:val="20"/>
          <w:lang w:val="pt-BR"/>
        </w:rPr>
        <w:t xml:space="preserve"> </w:t>
      </w:r>
      <w:r w:rsidR="0074017B" w:rsidRPr="00BF48F6">
        <w:rPr>
          <w:rFonts w:ascii="Verdana" w:hAnsi="Verdana"/>
          <w:i/>
          <w:sz w:val="20"/>
          <w:szCs w:val="20"/>
          <w:lang w:val="pt-BR"/>
        </w:rPr>
        <w:t>ratione materiae</w:t>
      </w:r>
      <w:r w:rsidR="0074017B" w:rsidRPr="00BF48F6">
        <w:rPr>
          <w:rFonts w:ascii="Verdana" w:hAnsi="Verdana"/>
          <w:sz w:val="20"/>
          <w:szCs w:val="20"/>
          <w:lang w:val="pt-BR"/>
        </w:rPr>
        <w:t xml:space="preserve"> </w:t>
      </w:r>
      <w:r w:rsidRPr="00BF48F6">
        <w:rPr>
          <w:rFonts w:ascii="Verdana" w:hAnsi="Verdana"/>
          <w:sz w:val="20"/>
          <w:szCs w:val="20"/>
          <w:lang w:val="pt-BR"/>
        </w:rPr>
        <w:t xml:space="preserve">no </w:t>
      </w:r>
      <w:r w:rsidR="0074017B" w:rsidRPr="00BF48F6">
        <w:rPr>
          <w:rFonts w:ascii="Verdana" w:hAnsi="Verdana"/>
          <w:sz w:val="20"/>
          <w:szCs w:val="20"/>
          <w:lang w:val="pt-BR"/>
        </w:rPr>
        <w:t xml:space="preserve">momento </w:t>
      </w:r>
      <w:r w:rsidR="00D12C4F" w:rsidRPr="00BF48F6">
        <w:rPr>
          <w:rFonts w:ascii="Verdana" w:hAnsi="Verdana"/>
          <w:sz w:val="20"/>
          <w:szCs w:val="20"/>
          <w:lang w:val="pt-BR"/>
        </w:rPr>
        <w:t>processual</w:t>
      </w:r>
      <w:r w:rsidR="00DE316A">
        <w:rPr>
          <w:rFonts w:ascii="Verdana" w:hAnsi="Verdana"/>
          <w:sz w:val="20"/>
          <w:szCs w:val="20"/>
          <w:lang w:val="pt-BR"/>
        </w:rPr>
        <w:t xml:space="preserve"> </w:t>
      </w:r>
      <w:r w:rsidR="0074017B" w:rsidRPr="00BF48F6">
        <w:rPr>
          <w:rFonts w:ascii="Verdana" w:hAnsi="Verdana"/>
          <w:sz w:val="20"/>
          <w:szCs w:val="20"/>
          <w:lang w:val="pt-BR"/>
        </w:rPr>
        <w:t xml:space="preserve">oportuno, </w:t>
      </w:r>
      <w:r w:rsidRPr="00BF48F6">
        <w:rPr>
          <w:rFonts w:ascii="Verdana" w:hAnsi="Verdana"/>
          <w:sz w:val="20"/>
          <w:szCs w:val="20"/>
          <w:lang w:val="pt-BR"/>
        </w:rPr>
        <w:t xml:space="preserve">a qual foi </w:t>
      </w:r>
      <w:r>
        <w:rPr>
          <w:rFonts w:ascii="Verdana" w:hAnsi="Verdana"/>
          <w:sz w:val="20"/>
          <w:szCs w:val="20"/>
          <w:lang w:val="pt-BR"/>
        </w:rPr>
        <w:t xml:space="preserve">resolvida </w:t>
      </w:r>
      <w:r w:rsidR="0074017B" w:rsidRPr="00BF48F6">
        <w:rPr>
          <w:rFonts w:ascii="Verdana" w:hAnsi="Verdana"/>
          <w:sz w:val="20"/>
          <w:szCs w:val="20"/>
          <w:lang w:val="pt-BR"/>
        </w:rPr>
        <w:t xml:space="preserve">por esta Corte </w:t>
      </w:r>
      <w:r w:rsidR="00DE3814">
        <w:rPr>
          <w:rFonts w:ascii="Verdana" w:hAnsi="Verdana"/>
          <w:sz w:val="20"/>
          <w:szCs w:val="20"/>
          <w:lang w:val="pt-BR"/>
        </w:rPr>
        <w:t xml:space="preserve">na </w:t>
      </w:r>
      <w:r w:rsidR="00F633DD" w:rsidRPr="00BF48F6">
        <w:rPr>
          <w:rFonts w:ascii="Verdana" w:hAnsi="Verdana"/>
          <w:sz w:val="20"/>
          <w:szCs w:val="20"/>
          <w:lang w:val="pt-BR"/>
        </w:rPr>
        <w:t>Sentença</w:t>
      </w:r>
      <w:r w:rsidR="0074017B" w:rsidRPr="00BF48F6">
        <w:rPr>
          <w:rFonts w:ascii="Verdana" w:hAnsi="Verdana"/>
          <w:sz w:val="20"/>
          <w:szCs w:val="20"/>
          <w:lang w:val="pt-BR"/>
        </w:rPr>
        <w:t xml:space="preserve">, </w:t>
      </w:r>
      <w:r>
        <w:rPr>
          <w:rFonts w:ascii="Verdana" w:hAnsi="Verdana"/>
          <w:sz w:val="20"/>
          <w:szCs w:val="20"/>
          <w:lang w:val="pt-BR"/>
        </w:rPr>
        <w:t>q</w:t>
      </w:r>
      <w:r w:rsidR="005C4559" w:rsidRPr="00BF48F6">
        <w:rPr>
          <w:rFonts w:ascii="Verdana" w:hAnsi="Verdana"/>
          <w:sz w:val="20"/>
          <w:szCs w:val="20"/>
          <w:lang w:val="pt-BR"/>
        </w:rPr>
        <w:t xml:space="preserve">uando </w:t>
      </w:r>
      <w:r>
        <w:rPr>
          <w:rFonts w:ascii="Verdana" w:hAnsi="Verdana"/>
          <w:sz w:val="20"/>
          <w:szCs w:val="20"/>
          <w:lang w:val="pt-BR"/>
        </w:rPr>
        <w:t xml:space="preserve">reiterou sua </w:t>
      </w:r>
      <w:r w:rsidR="0074017B" w:rsidRPr="00BF48F6">
        <w:rPr>
          <w:rFonts w:ascii="Verdana" w:hAnsi="Verdana"/>
          <w:sz w:val="20"/>
          <w:szCs w:val="20"/>
          <w:lang w:val="pt-BR"/>
        </w:rPr>
        <w:t xml:space="preserve">extensa </w:t>
      </w:r>
      <w:r w:rsidR="00970B13" w:rsidRPr="00BF48F6">
        <w:rPr>
          <w:rFonts w:ascii="Verdana" w:hAnsi="Verdana"/>
          <w:sz w:val="20"/>
          <w:szCs w:val="20"/>
          <w:lang w:val="pt-BR"/>
        </w:rPr>
        <w:t>jurisprudência</w:t>
      </w:r>
      <w:r w:rsidR="00DE316A">
        <w:rPr>
          <w:rFonts w:ascii="Verdana" w:hAnsi="Verdana"/>
          <w:sz w:val="20"/>
          <w:szCs w:val="20"/>
          <w:lang w:val="pt-BR"/>
        </w:rPr>
        <w:t xml:space="preserve"> </w:t>
      </w:r>
      <w:r>
        <w:rPr>
          <w:rFonts w:ascii="Verdana" w:hAnsi="Verdana"/>
          <w:sz w:val="20"/>
          <w:szCs w:val="20"/>
          <w:lang w:val="pt-BR"/>
        </w:rPr>
        <w:t>sobre a matéria</w:t>
      </w:r>
      <w:r w:rsidR="005C4559" w:rsidRPr="00BF48F6">
        <w:rPr>
          <w:rFonts w:ascii="Verdana" w:hAnsi="Verdana"/>
          <w:sz w:val="20"/>
          <w:szCs w:val="20"/>
          <w:lang w:val="pt-BR"/>
        </w:rPr>
        <w:t>.</w:t>
      </w:r>
      <w:r w:rsidR="0074017B" w:rsidRPr="00BF48F6">
        <w:rPr>
          <w:rFonts w:ascii="Verdana" w:hAnsi="Verdana"/>
          <w:sz w:val="20"/>
          <w:szCs w:val="20"/>
          <w:lang w:val="pt-BR"/>
        </w:rPr>
        <w:t xml:space="preserve"> </w:t>
      </w:r>
    </w:p>
    <w:p w:rsidR="00BE48AE" w:rsidRPr="00BF48F6" w:rsidRDefault="00BE48AE" w:rsidP="00A82FB4">
      <w:pPr>
        <w:pStyle w:val="ListParagraph"/>
        <w:rPr>
          <w:rFonts w:ascii="Verdana" w:hAnsi="Verdana"/>
          <w:sz w:val="20"/>
          <w:szCs w:val="20"/>
          <w:lang w:val="pt-BR"/>
        </w:rPr>
      </w:pPr>
    </w:p>
    <w:p w:rsidR="00BE48AE" w:rsidRPr="00C40BD9" w:rsidRDefault="00BF48F6" w:rsidP="00A82FB4">
      <w:pPr>
        <w:pStyle w:val="ListParagraph"/>
        <w:numPr>
          <w:ilvl w:val="0"/>
          <w:numId w:val="2"/>
        </w:numPr>
        <w:tabs>
          <w:tab w:val="clear" w:pos="1247"/>
        </w:tabs>
        <w:spacing w:after="0" w:line="240" w:lineRule="auto"/>
        <w:contextualSpacing w:val="0"/>
        <w:jc w:val="both"/>
        <w:rPr>
          <w:rFonts w:ascii="Verdana" w:hAnsi="Verdana"/>
          <w:sz w:val="20"/>
          <w:szCs w:val="20"/>
          <w:lang w:val="pt-BR"/>
        </w:rPr>
      </w:pPr>
      <w:r w:rsidRPr="00BF48F6">
        <w:rPr>
          <w:rFonts w:ascii="Verdana" w:hAnsi="Verdana" w:cs="Verdana"/>
          <w:sz w:val="20"/>
          <w:szCs w:val="20"/>
          <w:lang w:val="pt-BR"/>
        </w:rPr>
        <w:t>A</w:t>
      </w:r>
      <w:r w:rsidR="00DE316A">
        <w:rPr>
          <w:rFonts w:ascii="Verdana" w:hAnsi="Verdana" w:cs="Verdana"/>
          <w:sz w:val="20"/>
          <w:szCs w:val="20"/>
          <w:lang w:val="pt-BR"/>
        </w:rPr>
        <w:t xml:space="preserve"> </w:t>
      </w:r>
      <w:r w:rsidR="004A12CF" w:rsidRPr="00BF48F6">
        <w:rPr>
          <w:rFonts w:ascii="Verdana" w:hAnsi="Verdana" w:cs="Verdana"/>
          <w:sz w:val="20"/>
          <w:szCs w:val="20"/>
          <w:lang w:val="pt-BR"/>
        </w:rPr>
        <w:t>Corte considera que a fundamenta</w:t>
      </w:r>
      <w:r w:rsidR="00F633DD" w:rsidRPr="00BF48F6">
        <w:rPr>
          <w:rFonts w:ascii="Verdana" w:hAnsi="Verdana" w:cs="Verdana"/>
          <w:sz w:val="20"/>
          <w:szCs w:val="20"/>
          <w:lang w:val="pt-BR"/>
        </w:rPr>
        <w:t>ção</w:t>
      </w:r>
      <w:r w:rsidR="004A12CF" w:rsidRPr="00BF48F6">
        <w:rPr>
          <w:rFonts w:ascii="Verdana" w:hAnsi="Verdana" w:cs="Verdana"/>
          <w:sz w:val="20"/>
          <w:szCs w:val="20"/>
          <w:lang w:val="pt-BR"/>
        </w:rPr>
        <w:t xml:space="preserve"> </w:t>
      </w:r>
      <w:r w:rsidRPr="00BF48F6">
        <w:rPr>
          <w:rFonts w:ascii="Verdana" w:hAnsi="Verdana" w:cs="Verdana"/>
          <w:sz w:val="20"/>
          <w:szCs w:val="20"/>
          <w:lang w:val="pt-BR"/>
        </w:rPr>
        <w:t xml:space="preserve">disposta nos </w:t>
      </w:r>
      <w:r w:rsidR="00635878" w:rsidRPr="00BF48F6">
        <w:rPr>
          <w:rFonts w:ascii="Verdana" w:hAnsi="Verdana" w:cs="Verdana"/>
          <w:sz w:val="20"/>
          <w:szCs w:val="20"/>
          <w:lang w:val="pt-BR"/>
        </w:rPr>
        <w:t>parágrafos</w:t>
      </w:r>
      <w:r w:rsidR="00DE316A">
        <w:rPr>
          <w:rFonts w:ascii="Verdana" w:hAnsi="Verdana" w:cs="Verdana"/>
          <w:sz w:val="20"/>
          <w:szCs w:val="20"/>
          <w:lang w:val="pt-BR"/>
        </w:rPr>
        <w:t xml:space="preserve"> </w:t>
      </w:r>
      <w:r w:rsidR="004A12CF" w:rsidRPr="00BF48F6">
        <w:rPr>
          <w:rFonts w:ascii="Verdana" w:hAnsi="Verdana" w:cs="Verdana"/>
          <w:sz w:val="20"/>
          <w:szCs w:val="20"/>
          <w:lang w:val="pt-BR"/>
        </w:rPr>
        <w:t xml:space="preserve">64 a 67, </w:t>
      </w:r>
      <w:r w:rsidR="00DE3814">
        <w:rPr>
          <w:rFonts w:ascii="Verdana" w:hAnsi="Verdana" w:cs="Verdana"/>
          <w:sz w:val="20"/>
          <w:szCs w:val="20"/>
          <w:lang w:val="pt-BR"/>
        </w:rPr>
        <w:t xml:space="preserve">além de </w:t>
      </w:r>
      <w:r w:rsidR="004A12CF" w:rsidRPr="00BF48F6">
        <w:rPr>
          <w:rFonts w:ascii="Verdana" w:hAnsi="Verdana" w:cs="Verdana"/>
          <w:sz w:val="20"/>
          <w:szCs w:val="20"/>
          <w:lang w:val="pt-BR"/>
        </w:rPr>
        <w:t>su</w:t>
      </w:r>
      <w:r>
        <w:rPr>
          <w:rFonts w:ascii="Verdana" w:hAnsi="Verdana" w:cs="Verdana"/>
          <w:sz w:val="20"/>
          <w:szCs w:val="20"/>
          <w:lang w:val="pt-BR"/>
        </w:rPr>
        <w:t>a</w:t>
      </w:r>
      <w:r w:rsidR="004A12CF" w:rsidRPr="00BF48F6">
        <w:rPr>
          <w:rFonts w:ascii="Verdana" w:hAnsi="Verdana" w:cs="Verdana"/>
          <w:sz w:val="20"/>
          <w:szCs w:val="20"/>
          <w:lang w:val="pt-BR"/>
        </w:rPr>
        <w:t xml:space="preserve"> extensa </w:t>
      </w:r>
      <w:r w:rsidR="00F633DD" w:rsidRPr="00BF48F6">
        <w:rPr>
          <w:rFonts w:ascii="Verdana" w:hAnsi="Verdana" w:cs="Verdana"/>
          <w:sz w:val="20"/>
          <w:szCs w:val="20"/>
          <w:lang w:val="pt-BR"/>
        </w:rPr>
        <w:t>e</w:t>
      </w:r>
      <w:r w:rsidR="00DE316A">
        <w:rPr>
          <w:rFonts w:ascii="Verdana" w:hAnsi="Verdana" w:cs="Verdana"/>
          <w:sz w:val="20"/>
          <w:szCs w:val="20"/>
          <w:lang w:val="pt-BR"/>
        </w:rPr>
        <w:t xml:space="preserve"> </w:t>
      </w:r>
      <w:r w:rsidR="004A12CF" w:rsidRPr="00BF48F6">
        <w:rPr>
          <w:rFonts w:ascii="Verdana" w:hAnsi="Verdana" w:cs="Verdana"/>
          <w:sz w:val="20"/>
          <w:szCs w:val="20"/>
          <w:lang w:val="pt-BR"/>
        </w:rPr>
        <w:t xml:space="preserve">constante </w:t>
      </w:r>
      <w:r w:rsidR="00970B13" w:rsidRPr="00BF48F6">
        <w:rPr>
          <w:rFonts w:ascii="Verdana" w:hAnsi="Verdana" w:cs="Verdana"/>
          <w:sz w:val="20"/>
          <w:szCs w:val="20"/>
          <w:lang w:val="pt-BR"/>
        </w:rPr>
        <w:t>jurisprudência</w:t>
      </w:r>
      <w:r w:rsidR="004A12CF" w:rsidRPr="00BF48F6">
        <w:rPr>
          <w:rFonts w:ascii="Verdana" w:hAnsi="Verdana" w:cs="Verdana"/>
          <w:sz w:val="20"/>
          <w:szCs w:val="20"/>
          <w:lang w:val="pt-BR"/>
        </w:rPr>
        <w:t xml:space="preserve">, </w:t>
      </w:r>
      <w:r>
        <w:rPr>
          <w:rFonts w:ascii="Verdana" w:hAnsi="Verdana" w:cs="Verdana"/>
          <w:sz w:val="20"/>
          <w:szCs w:val="20"/>
          <w:lang w:val="pt-BR"/>
        </w:rPr>
        <w:t xml:space="preserve">não deixa margem a dúvidas sobre sua </w:t>
      </w:r>
      <w:r w:rsidR="00C06A9B" w:rsidRPr="00BF48F6">
        <w:rPr>
          <w:rFonts w:ascii="Verdana" w:hAnsi="Verdana" w:cs="Verdana"/>
          <w:sz w:val="20"/>
          <w:szCs w:val="20"/>
          <w:lang w:val="pt-BR"/>
        </w:rPr>
        <w:t>competência</w:t>
      </w:r>
      <w:r w:rsidR="00DE316A">
        <w:rPr>
          <w:rFonts w:ascii="Verdana" w:hAnsi="Verdana" w:cs="Verdana"/>
          <w:sz w:val="20"/>
          <w:szCs w:val="20"/>
          <w:lang w:val="pt-BR"/>
        </w:rPr>
        <w:t xml:space="preserve"> </w:t>
      </w:r>
      <w:r w:rsidR="004A12CF" w:rsidRPr="00BF48F6">
        <w:rPr>
          <w:rFonts w:ascii="Verdana" w:hAnsi="Verdana" w:cs="Verdana"/>
          <w:sz w:val="20"/>
          <w:szCs w:val="20"/>
          <w:lang w:val="pt-BR"/>
        </w:rPr>
        <w:t>para anali</w:t>
      </w:r>
      <w:r>
        <w:rPr>
          <w:rFonts w:ascii="Verdana" w:hAnsi="Verdana" w:cs="Verdana"/>
          <w:sz w:val="20"/>
          <w:szCs w:val="20"/>
          <w:lang w:val="pt-BR"/>
        </w:rPr>
        <w:t>s</w:t>
      </w:r>
      <w:r w:rsidR="004A12CF" w:rsidRPr="00BF48F6">
        <w:rPr>
          <w:rFonts w:ascii="Verdana" w:hAnsi="Verdana" w:cs="Verdana"/>
          <w:sz w:val="20"/>
          <w:szCs w:val="20"/>
          <w:lang w:val="pt-BR"/>
        </w:rPr>
        <w:t>ar viola</w:t>
      </w:r>
      <w:r w:rsidR="00F633DD" w:rsidRPr="00BF48F6">
        <w:rPr>
          <w:rFonts w:ascii="Verdana" w:hAnsi="Verdana" w:cs="Verdana"/>
          <w:sz w:val="20"/>
          <w:szCs w:val="20"/>
          <w:lang w:val="pt-BR"/>
        </w:rPr>
        <w:t>ções</w:t>
      </w:r>
      <w:r w:rsidR="004A12CF" w:rsidRPr="00BF48F6">
        <w:rPr>
          <w:rFonts w:ascii="Verdana" w:hAnsi="Verdana" w:cs="Verdana"/>
          <w:sz w:val="20"/>
          <w:szCs w:val="20"/>
          <w:lang w:val="pt-BR"/>
        </w:rPr>
        <w:t xml:space="preserve"> </w:t>
      </w:r>
      <w:r>
        <w:rPr>
          <w:rFonts w:ascii="Verdana" w:hAnsi="Verdana" w:cs="Verdana"/>
          <w:sz w:val="20"/>
          <w:szCs w:val="20"/>
          <w:lang w:val="pt-BR"/>
        </w:rPr>
        <w:t xml:space="preserve">à </w:t>
      </w:r>
      <w:r w:rsidR="004A12CF" w:rsidRPr="00BF48F6">
        <w:rPr>
          <w:rFonts w:ascii="Verdana" w:hAnsi="Verdana" w:cs="Verdana"/>
          <w:sz w:val="20"/>
          <w:szCs w:val="20"/>
          <w:lang w:val="pt-BR"/>
        </w:rPr>
        <w:t>CIPST e</w:t>
      </w:r>
      <w:r>
        <w:rPr>
          <w:rFonts w:ascii="Verdana" w:hAnsi="Verdana" w:cs="Verdana"/>
          <w:sz w:val="20"/>
          <w:szCs w:val="20"/>
          <w:lang w:val="pt-BR"/>
        </w:rPr>
        <w:t xml:space="preserve">m </w:t>
      </w:r>
      <w:r w:rsidR="004A12CF" w:rsidRPr="00BF48F6">
        <w:rPr>
          <w:rFonts w:ascii="Verdana" w:hAnsi="Verdana" w:cs="Verdana"/>
          <w:sz w:val="20"/>
          <w:szCs w:val="20"/>
          <w:lang w:val="pt-BR"/>
        </w:rPr>
        <w:t>rela</w:t>
      </w:r>
      <w:r w:rsidR="00F633DD" w:rsidRPr="00BF48F6">
        <w:rPr>
          <w:rFonts w:ascii="Verdana" w:hAnsi="Verdana" w:cs="Verdana"/>
          <w:sz w:val="20"/>
          <w:szCs w:val="20"/>
          <w:lang w:val="pt-BR"/>
        </w:rPr>
        <w:t>ção</w:t>
      </w:r>
      <w:r w:rsidR="004A12CF" w:rsidRPr="00BF48F6">
        <w:rPr>
          <w:rFonts w:ascii="Verdana" w:hAnsi="Verdana" w:cs="Verdana"/>
          <w:sz w:val="20"/>
          <w:szCs w:val="20"/>
          <w:lang w:val="pt-BR"/>
        </w:rPr>
        <w:t xml:space="preserve"> </w:t>
      </w:r>
      <w:r>
        <w:rPr>
          <w:rFonts w:ascii="Verdana" w:hAnsi="Verdana" w:cs="Verdana"/>
          <w:sz w:val="20"/>
          <w:szCs w:val="20"/>
          <w:lang w:val="pt-BR"/>
        </w:rPr>
        <w:t xml:space="preserve">a </w:t>
      </w:r>
      <w:r w:rsidR="004A12CF" w:rsidRPr="00BF48F6">
        <w:rPr>
          <w:rFonts w:ascii="Verdana" w:hAnsi="Verdana" w:cs="Verdana"/>
          <w:sz w:val="20"/>
          <w:szCs w:val="20"/>
          <w:lang w:val="pt-BR"/>
        </w:rPr>
        <w:t xml:space="preserve">Estados que </w:t>
      </w:r>
      <w:r>
        <w:rPr>
          <w:rFonts w:ascii="Verdana" w:hAnsi="Verdana" w:cs="Verdana"/>
          <w:sz w:val="20"/>
          <w:szCs w:val="20"/>
          <w:lang w:val="pt-BR"/>
        </w:rPr>
        <w:t xml:space="preserve">reconheceram a </w:t>
      </w:r>
      <w:r w:rsidR="00C06A9B" w:rsidRPr="00BF48F6">
        <w:rPr>
          <w:rFonts w:ascii="Verdana" w:hAnsi="Verdana" w:cs="Verdana"/>
          <w:sz w:val="20"/>
          <w:szCs w:val="20"/>
          <w:lang w:val="pt-BR"/>
        </w:rPr>
        <w:t>competência</w:t>
      </w:r>
      <w:r w:rsidR="00DE316A">
        <w:rPr>
          <w:rFonts w:ascii="Verdana" w:hAnsi="Verdana" w:cs="Verdana"/>
          <w:sz w:val="20"/>
          <w:szCs w:val="20"/>
          <w:lang w:val="pt-BR"/>
        </w:rPr>
        <w:t xml:space="preserve"> </w:t>
      </w:r>
      <w:r w:rsidR="004A12CF" w:rsidRPr="00BF48F6">
        <w:rPr>
          <w:rFonts w:ascii="Verdana" w:hAnsi="Verdana" w:cs="Verdana"/>
          <w:sz w:val="20"/>
          <w:szCs w:val="20"/>
          <w:lang w:val="pt-BR"/>
        </w:rPr>
        <w:t>contenciosa d</w:t>
      </w:r>
      <w:r>
        <w:rPr>
          <w:rFonts w:ascii="Verdana" w:hAnsi="Verdana" w:cs="Verdana"/>
          <w:sz w:val="20"/>
          <w:szCs w:val="20"/>
          <w:lang w:val="pt-BR"/>
        </w:rPr>
        <w:t>o</w:t>
      </w:r>
      <w:r w:rsidR="004A12CF" w:rsidRPr="00BF48F6">
        <w:rPr>
          <w:rFonts w:ascii="Verdana" w:hAnsi="Verdana" w:cs="Verdana"/>
          <w:sz w:val="20"/>
          <w:szCs w:val="20"/>
          <w:lang w:val="pt-BR"/>
        </w:rPr>
        <w:t xml:space="preserve"> Tribunal. Por </w:t>
      </w:r>
      <w:r w:rsidRPr="00BF48F6">
        <w:rPr>
          <w:rFonts w:ascii="Verdana" w:hAnsi="Verdana" w:cs="Verdana"/>
          <w:sz w:val="20"/>
          <w:szCs w:val="20"/>
          <w:lang w:val="pt-BR"/>
        </w:rPr>
        <w:t xml:space="preserve">se tratar de assunto </w:t>
      </w:r>
      <w:r w:rsidR="004A12CF" w:rsidRPr="00BF48F6">
        <w:rPr>
          <w:rFonts w:ascii="Verdana" w:hAnsi="Verdana" w:cs="Verdana"/>
          <w:sz w:val="20"/>
          <w:szCs w:val="20"/>
          <w:lang w:val="pt-BR"/>
        </w:rPr>
        <w:t xml:space="preserve">reiteradamente decidido </w:t>
      </w:r>
      <w:r w:rsidR="00036A1B" w:rsidRPr="00BF48F6">
        <w:rPr>
          <w:rFonts w:ascii="Verdana" w:hAnsi="Verdana" w:cs="Verdana"/>
          <w:sz w:val="20"/>
          <w:szCs w:val="20"/>
          <w:lang w:val="pt-BR"/>
        </w:rPr>
        <w:t xml:space="preserve">pelo </w:t>
      </w:r>
      <w:r w:rsidR="004A12CF" w:rsidRPr="00BF48F6">
        <w:rPr>
          <w:rFonts w:ascii="Verdana" w:hAnsi="Verdana" w:cs="Verdana"/>
          <w:sz w:val="20"/>
          <w:szCs w:val="20"/>
          <w:lang w:val="pt-BR"/>
        </w:rPr>
        <w:t xml:space="preserve">Tribunal, a </w:t>
      </w:r>
      <w:r w:rsidR="00F633DD" w:rsidRPr="00BF48F6">
        <w:rPr>
          <w:rFonts w:ascii="Verdana" w:hAnsi="Verdana" w:cs="Verdana"/>
          <w:sz w:val="20"/>
          <w:szCs w:val="20"/>
          <w:lang w:val="pt-BR"/>
        </w:rPr>
        <w:t>Sentença</w:t>
      </w:r>
      <w:r w:rsidR="00DE316A">
        <w:rPr>
          <w:rFonts w:ascii="Verdana" w:hAnsi="Verdana" w:cs="Verdana"/>
          <w:sz w:val="20"/>
          <w:szCs w:val="20"/>
          <w:lang w:val="pt-BR"/>
        </w:rPr>
        <w:t xml:space="preserve"> </w:t>
      </w:r>
      <w:r w:rsidRPr="00BF48F6">
        <w:rPr>
          <w:rFonts w:ascii="Verdana" w:hAnsi="Verdana" w:cs="Verdana"/>
          <w:sz w:val="20"/>
          <w:szCs w:val="20"/>
          <w:lang w:val="pt-BR"/>
        </w:rPr>
        <w:t>faz refer</w:t>
      </w:r>
      <w:r>
        <w:rPr>
          <w:rFonts w:ascii="Verdana" w:hAnsi="Verdana" w:cs="Verdana"/>
          <w:sz w:val="20"/>
          <w:szCs w:val="20"/>
          <w:lang w:val="pt-BR"/>
        </w:rPr>
        <w:t xml:space="preserve">ência aos mais </w:t>
      </w:r>
      <w:r w:rsidR="004A12CF" w:rsidRPr="00BF48F6">
        <w:rPr>
          <w:rFonts w:ascii="Verdana" w:hAnsi="Verdana" w:cs="Verdana"/>
          <w:sz w:val="20"/>
          <w:szCs w:val="20"/>
          <w:lang w:val="pt-BR"/>
        </w:rPr>
        <w:t xml:space="preserve">de 40 casos contenciosos </w:t>
      </w:r>
      <w:r>
        <w:rPr>
          <w:rFonts w:ascii="Verdana" w:hAnsi="Verdana" w:cs="Verdana"/>
          <w:sz w:val="20"/>
          <w:szCs w:val="20"/>
          <w:lang w:val="pt-BR"/>
        </w:rPr>
        <w:t xml:space="preserve">resolvidos com base nessa </w:t>
      </w:r>
      <w:r w:rsidR="004A12CF" w:rsidRPr="00BF48F6">
        <w:rPr>
          <w:rFonts w:ascii="Verdana" w:hAnsi="Verdana" w:cs="Verdana"/>
          <w:sz w:val="20"/>
          <w:szCs w:val="20"/>
          <w:lang w:val="pt-BR"/>
        </w:rPr>
        <w:t>Conven</w:t>
      </w:r>
      <w:r w:rsidR="00F633DD" w:rsidRPr="00BF48F6">
        <w:rPr>
          <w:rFonts w:ascii="Verdana" w:hAnsi="Verdana" w:cs="Verdana"/>
          <w:sz w:val="20"/>
          <w:szCs w:val="20"/>
          <w:lang w:val="pt-BR"/>
        </w:rPr>
        <w:t>ção</w:t>
      </w:r>
      <w:r w:rsidR="004A12CF" w:rsidRPr="00BF48F6">
        <w:rPr>
          <w:rFonts w:ascii="Verdana" w:hAnsi="Verdana" w:cs="Verdana"/>
          <w:sz w:val="20"/>
          <w:szCs w:val="20"/>
          <w:lang w:val="pt-BR"/>
        </w:rPr>
        <w:t xml:space="preserve">. </w:t>
      </w:r>
      <w:r w:rsidR="004A12CF" w:rsidRPr="00C40BD9">
        <w:rPr>
          <w:rFonts w:ascii="Verdana" w:hAnsi="Verdana" w:cs="Verdana"/>
          <w:sz w:val="20"/>
          <w:szCs w:val="20"/>
          <w:lang w:val="pt-BR"/>
        </w:rPr>
        <w:t>P</w:t>
      </w:r>
      <w:r>
        <w:rPr>
          <w:rFonts w:ascii="Verdana" w:hAnsi="Verdana" w:cs="Verdana"/>
          <w:sz w:val="20"/>
          <w:szCs w:val="20"/>
          <w:lang w:val="pt-BR"/>
        </w:rPr>
        <w:t>elo exposto</w:t>
      </w:r>
      <w:r w:rsidR="004A12CF" w:rsidRPr="00C40BD9">
        <w:rPr>
          <w:rFonts w:ascii="Verdana" w:hAnsi="Verdana" w:cs="Verdana"/>
          <w:sz w:val="20"/>
          <w:szCs w:val="20"/>
          <w:lang w:val="pt-BR"/>
        </w:rPr>
        <w:t xml:space="preserve">, </w:t>
      </w:r>
      <w:r w:rsidR="00036A1B" w:rsidRPr="00C40BD9">
        <w:rPr>
          <w:rFonts w:ascii="Verdana" w:hAnsi="Verdana" w:cs="Verdana"/>
          <w:sz w:val="20"/>
          <w:szCs w:val="20"/>
          <w:lang w:val="pt-BR"/>
        </w:rPr>
        <w:t xml:space="preserve">a Corte </w:t>
      </w:r>
      <w:r>
        <w:rPr>
          <w:rFonts w:ascii="Verdana" w:hAnsi="Verdana" w:cs="Verdana"/>
          <w:sz w:val="20"/>
          <w:szCs w:val="20"/>
          <w:lang w:val="pt-BR"/>
        </w:rPr>
        <w:t xml:space="preserve">concluiu que a </w:t>
      </w:r>
      <w:r w:rsidR="00C06A9B" w:rsidRPr="00C40BD9">
        <w:rPr>
          <w:rFonts w:ascii="Verdana" w:hAnsi="Verdana" w:cs="Verdana"/>
          <w:sz w:val="20"/>
          <w:szCs w:val="20"/>
          <w:lang w:val="pt-BR"/>
        </w:rPr>
        <w:t>solicitação</w:t>
      </w:r>
      <w:r w:rsidR="00DE316A">
        <w:rPr>
          <w:rFonts w:ascii="Verdana" w:hAnsi="Verdana" w:cs="Verdana"/>
          <w:sz w:val="20"/>
          <w:szCs w:val="20"/>
          <w:lang w:val="pt-BR"/>
        </w:rPr>
        <w:t xml:space="preserve"> </w:t>
      </w:r>
      <w:r w:rsidR="00BE48AE" w:rsidRPr="00C40BD9">
        <w:rPr>
          <w:rFonts w:ascii="Verdana" w:hAnsi="Verdana" w:cs="Verdana"/>
          <w:sz w:val="20"/>
          <w:szCs w:val="20"/>
          <w:lang w:val="pt-BR"/>
        </w:rPr>
        <w:t>de interpreta</w:t>
      </w:r>
      <w:r w:rsidR="00F633DD" w:rsidRPr="00C40BD9">
        <w:rPr>
          <w:rFonts w:ascii="Verdana" w:hAnsi="Verdana" w:cs="Verdana"/>
          <w:sz w:val="20"/>
          <w:szCs w:val="20"/>
          <w:lang w:val="pt-BR"/>
        </w:rPr>
        <w:t>ção</w:t>
      </w:r>
      <w:r w:rsidR="00BE48AE" w:rsidRPr="00C40BD9">
        <w:rPr>
          <w:rFonts w:ascii="Verdana" w:hAnsi="Verdana" w:cs="Verdana"/>
          <w:sz w:val="20"/>
          <w:szCs w:val="20"/>
          <w:lang w:val="pt-BR"/>
        </w:rPr>
        <w:t xml:space="preserve"> formulad</w:t>
      </w:r>
      <w:r w:rsidR="004A12CF" w:rsidRPr="00C40BD9">
        <w:rPr>
          <w:rFonts w:ascii="Verdana" w:hAnsi="Verdana" w:cs="Verdana"/>
          <w:sz w:val="20"/>
          <w:szCs w:val="20"/>
          <w:lang w:val="pt-BR"/>
        </w:rPr>
        <w:t>a</w:t>
      </w:r>
      <w:r w:rsidR="00BE48AE" w:rsidRPr="00C40BD9">
        <w:rPr>
          <w:rFonts w:ascii="Verdana" w:hAnsi="Verdana" w:cs="Verdana"/>
          <w:sz w:val="20"/>
          <w:szCs w:val="20"/>
          <w:lang w:val="pt-BR"/>
        </w:rPr>
        <w:t xml:space="preserve"> p</w:t>
      </w:r>
      <w:r>
        <w:rPr>
          <w:rFonts w:ascii="Verdana" w:hAnsi="Verdana" w:cs="Verdana"/>
          <w:sz w:val="20"/>
          <w:szCs w:val="20"/>
          <w:lang w:val="pt-BR"/>
        </w:rPr>
        <w:t xml:space="preserve">elo </w:t>
      </w:r>
      <w:r w:rsidR="00A9111C" w:rsidRPr="00C40BD9">
        <w:rPr>
          <w:rFonts w:ascii="Verdana" w:hAnsi="Verdana" w:cs="Verdana"/>
          <w:sz w:val="20"/>
          <w:szCs w:val="20"/>
          <w:lang w:val="pt-BR"/>
        </w:rPr>
        <w:t xml:space="preserve">Brasil </w:t>
      </w:r>
      <w:r>
        <w:rPr>
          <w:rFonts w:ascii="Verdana" w:hAnsi="Verdana" w:cs="Verdana"/>
          <w:sz w:val="20"/>
          <w:szCs w:val="20"/>
          <w:lang w:val="pt-BR"/>
        </w:rPr>
        <w:t xml:space="preserve">não observa o estabelecido no </w:t>
      </w:r>
      <w:r w:rsidR="00F633DD" w:rsidRPr="00C40BD9">
        <w:rPr>
          <w:rFonts w:ascii="Verdana" w:hAnsi="Verdana" w:cs="Verdana"/>
          <w:sz w:val="20"/>
          <w:szCs w:val="20"/>
          <w:lang w:val="pt-BR"/>
        </w:rPr>
        <w:t xml:space="preserve">artigo </w:t>
      </w:r>
      <w:r w:rsidR="00BE48AE" w:rsidRPr="00C40BD9">
        <w:rPr>
          <w:rFonts w:ascii="Verdana" w:hAnsi="Verdana" w:cs="Verdana"/>
          <w:sz w:val="20"/>
          <w:szCs w:val="20"/>
          <w:lang w:val="pt-BR"/>
        </w:rPr>
        <w:t xml:space="preserve">67 </w:t>
      </w:r>
      <w:r w:rsidR="00F633DD" w:rsidRPr="00C40BD9">
        <w:rPr>
          <w:rFonts w:ascii="Verdana" w:hAnsi="Verdana" w:cs="Verdana"/>
          <w:sz w:val="20"/>
          <w:szCs w:val="20"/>
          <w:lang w:val="pt-BR"/>
        </w:rPr>
        <w:t xml:space="preserve">da </w:t>
      </w:r>
      <w:r w:rsidR="00BE48AE" w:rsidRPr="00C40BD9">
        <w:rPr>
          <w:rFonts w:ascii="Verdana" w:hAnsi="Verdana" w:cs="Verdana"/>
          <w:sz w:val="20"/>
          <w:szCs w:val="20"/>
          <w:lang w:val="pt-BR"/>
        </w:rPr>
        <w:t>Conven</w:t>
      </w:r>
      <w:r w:rsidR="00F633DD" w:rsidRPr="00C40BD9">
        <w:rPr>
          <w:rFonts w:ascii="Verdana" w:hAnsi="Verdana" w:cs="Verdana"/>
          <w:sz w:val="20"/>
          <w:szCs w:val="20"/>
          <w:lang w:val="pt-BR"/>
        </w:rPr>
        <w:t>ção</w:t>
      </w:r>
      <w:r w:rsidR="00BE48AE" w:rsidRPr="00C40BD9">
        <w:rPr>
          <w:rFonts w:ascii="Verdana" w:hAnsi="Verdana" w:cs="Verdana"/>
          <w:sz w:val="20"/>
          <w:szCs w:val="20"/>
          <w:lang w:val="pt-BR"/>
        </w:rPr>
        <w:t xml:space="preserve"> Americana. </w:t>
      </w:r>
      <w:r>
        <w:rPr>
          <w:rFonts w:ascii="Verdana" w:hAnsi="Verdana" w:cs="Verdana"/>
          <w:sz w:val="20"/>
          <w:szCs w:val="20"/>
          <w:lang w:val="pt-BR"/>
        </w:rPr>
        <w:t xml:space="preserve">O </w:t>
      </w:r>
      <w:r w:rsidR="00BE48AE" w:rsidRPr="00C40BD9">
        <w:rPr>
          <w:rFonts w:ascii="Verdana" w:hAnsi="Verdana" w:cs="Verdana"/>
          <w:sz w:val="20"/>
          <w:szCs w:val="20"/>
          <w:lang w:val="pt-BR"/>
        </w:rPr>
        <w:t xml:space="preserve">propósito </w:t>
      </w:r>
      <w:r w:rsidR="00F633DD" w:rsidRPr="00C40BD9">
        <w:rPr>
          <w:rFonts w:ascii="Verdana" w:hAnsi="Verdana" w:cs="Verdana"/>
          <w:sz w:val="20"/>
          <w:szCs w:val="20"/>
          <w:lang w:val="pt-BR"/>
        </w:rPr>
        <w:t xml:space="preserve">da </w:t>
      </w:r>
      <w:r w:rsidR="00BE48AE" w:rsidRPr="00C40BD9">
        <w:rPr>
          <w:rFonts w:ascii="Verdana" w:hAnsi="Verdana" w:cs="Verdana"/>
          <w:sz w:val="20"/>
          <w:szCs w:val="20"/>
          <w:lang w:val="pt-BR"/>
        </w:rPr>
        <w:t>interpreta</w:t>
      </w:r>
      <w:r w:rsidR="00F633DD" w:rsidRPr="00C40BD9">
        <w:rPr>
          <w:rFonts w:ascii="Verdana" w:hAnsi="Verdana" w:cs="Verdana"/>
          <w:sz w:val="20"/>
          <w:szCs w:val="20"/>
          <w:lang w:val="pt-BR"/>
        </w:rPr>
        <w:t>ção</w:t>
      </w:r>
      <w:r w:rsidR="00BE48AE" w:rsidRPr="00C40BD9">
        <w:rPr>
          <w:rFonts w:ascii="Verdana" w:hAnsi="Verdana" w:cs="Verdana"/>
          <w:sz w:val="20"/>
          <w:szCs w:val="20"/>
          <w:lang w:val="pt-BR"/>
        </w:rPr>
        <w:t xml:space="preserve"> </w:t>
      </w:r>
      <w:r w:rsidR="006770ED" w:rsidRPr="00C40BD9">
        <w:rPr>
          <w:rFonts w:ascii="Verdana" w:hAnsi="Verdana" w:cs="Verdana"/>
          <w:sz w:val="20"/>
          <w:szCs w:val="20"/>
          <w:lang w:val="pt-BR"/>
        </w:rPr>
        <w:t>deve</w:t>
      </w:r>
      <w:r w:rsidR="00DE316A">
        <w:rPr>
          <w:rFonts w:ascii="Verdana" w:hAnsi="Verdana" w:cs="Verdana"/>
          <w:sz w:val="20"/>
          <w:szCs w:val="20"/>
          <w:lang w:val="pt-BR"/>
        </w:rPr>
        <w:t xml:space="preserve"> </w:t>
      </w:r>
      <w:r w:rsidR="00BE48AE" w:rsidRPr="00C40BD9">
        <w:rPr>
          <w:rFonts w:ascii="Verdana" w:hAnsi="Verdana" w:cs="Verdana"/>
          <w:sz w:val="20"/>
          <w:szCs w:val="20"/>
          <w:lang w:val="pt-BR"/>
        </w:rPr>
        <w:t xml:space="preserve">ser </w:t>
      </w:r>
      <w:r>
        <w:rPr>
          <w:rFonts w:ascii="Verdana" w:hAnsi="Verdana" w:cs="Verdana"/>
          <w:sz w:val="20"/>
          <w:szCs w:val="20"/>
          <w:lang w:val="pt-BR"/>
        </w:rPr>
        <w:t xml:space="preserve">esclarecer algum ponto </w:t>
      </w:r>
      <w:r w:rsidR="00BE48AE" w:rsidRPr="00C40BD9">
        <w:rPr>
          <w:rFonts w:ascii="Verdana" w:hAnsi="Verdana" w:cs="Verdana"/>
          <w:sz w:val="20"/>
          <w:szCs w:val="20"/>
          <w:lang w:val="pt-BR"/>
        </w:rPr>
        <w:t>impreciso o</w:t>
      </w:r>
      <w:r>
        <w:rPr>
          <w:rFonts w:ascii="Verdana" w:hAnsi="Verdana" w:cs="Verdana"/>
          <w:sz w:val="20"/>
          <w:szCs w:val="20"/>
          <w:lang w:val="pt-BR"/>
        </w:rPr>
        <w:t>u</w:t>
      </w:r>
      <w:r w:rsidR="00BE48AE" w:rsidRPr="00C40BD9">
        <w:rPr>
          <w:rFonts w:ascii="Verdana" w:hAnsi="Verdana" w:cs="Verdana"/>
          <w:sz w:val="20"/>
          <w:szCs w:val="20"/>
          <w:lang w:val="pt-BR"/>
        </w:rPr>
        <w:t xml:space="preserve"> amb</w:t>
      </w:r>
      <w:r>
        <w:rPr>
          <w:rFonts w:ascii="Verdana" w:hAnsi="Verdana" w:cs="Verdana"/>
          <w:sz w:val="20"/>
          <w:szCs w:val="20"/>
          <w:lang w:val="pt-BR"/>
        </w:rPr>
        <w:t>í</w:t>
      </w:r>
      <w:r w:rsidR="00BE48AE" w:rsidRPr="00C40BD9">
        <w:rPr>
          <w:rFonts w:ascii="Verdana" w:hAnsi="Verdana" w:cs="Verdana"/>
          <w:sz w:val="20"/>
          <w:szCs w:val="20"/>
          <w:lang w:val="pt-BR"/>
        </w:rPr>
        <w:t xml:space="preserve">guo sobre </w:t>
      </w:r>
      <w:r>
        <w:rPr>
          <w:rFonts w:ascii="Verdana" w:hAnsi="Verdana" w:cs="Verdana"/>
          <w:sz w:val="20"/>
          <w:szCs w:val="20"/>
          <w:lang w:val="pt-BR"/>
        </w:rPr>
        <w:t xml:space="preserve">o </w:t>
      </w:r>
      <w:r w:rsidR="00BE48AE" w:rsidRPr="00C40BD9">
        <w:rPr>
          <w:rFonts w:ascii="Verdana" w:hAnsi="Verdana" w:cs="Verdana"/>
          <w:sz w:val="20"/>
          <w:szCs w:val="20"/>
          <w:lang w:val="pt-BR"/>
        </w:rPr>
        <w:t>sentido o</w:t>
      </w:r>
      <w:r>
        <w:rPr>
          <w:rFonts w:ascii="Verdana" w:hAnsi="Verdana" w:cs="Verdana"/>
          <w:sz w:val="20"/>
          <w:szCs w:val="20"/>
          <w:lang w:val="pt-BR"/>
        </w:rPr>
        <w:t>u</w:t>
      </w:r>
      <w:r w:rsidR="00BE48AE" w:rsidRPr="00C40BD9">
        <w:rPr>
          <w:rFonts w:ascii="Verdana" w:hAnsi="Verdana" w:cs="Verdana"/>
          <w:sz w:val="20"/>
          <w:szCs w:val="20"/>
          <w:lang w:val="pt-BR"/>
        </w:rPr>
        <w:t xml:space="preserve"> alcance </w:t>
      </w:r>
      <w:r w:rsidR="00F633DD" w:rsidRPr="00C40BD9">
        <w:rPr>
          <w:rFonts w:ascii="Verdana" w:hAnsi="Verdana" w:cs="Verdana"/>
          <w:sz w:val="20"/>
          <w:szCs w:val="20"/>
          <w:lang w:val="pt-BR"/>
        </w:rPr>
        <w:t>da Sentença</w:t>
      </w:r>
      <w:r w:rsidR="00DE3814">
        <w:rPr>
          <w:rFonts w:ascii="Verdana" w:hAnsi="Verdana" w:cs="Verdana"/>
          <w:sz w:val="20"/>
          <w:szCs w:val="20"/>
          <w:lang w:val="pt-BR"/>
        </w:rPr>
        <w:t>,</w:t>
      </w:r>
      <w:r w:rsidR="00BE48AE" w:rsidRPr="00C40BD9">
        <w:rPr>
          <w:rFonts w:ascii="Verdana" w:hAnsi="Verdana" w:cs="Verdana"/>
          <w:sz w:val="20"/>
          <w:szCs w:val="20"/>
          <w:lang w:val="pt-BR"/>
        </w:rPr>
        <w:t xml:space="preserve"> </w:t>
      </w:r>
      <w:r w:rsidR="00F633DD" w:rsidRPr="00C40BD9">
        <w:rPr>
          <w:rFonts w:ascii="Verdana" w:hAnsi="Verdana" w:cs="Verdana"/>
          <w:sz w:val="20"/>
          <w:szCs w:val="20"/>
          <w:lang w:val="pt-BR"/>
        </w:rPr>
        <w:t>e</w:t>
      </w:r>
      <w:r w:rsidR="00DE316A">
        <w:rPr>
          <w:rFonts w:ascii="Verdana" w:hAnsi="Verdana" w:cs="Verdana"/>
          <w:sz w:val="20"/>
          <w:szCs w:val="20"/>
          <w:lang w:val="pt-BR"/>
        </w:rPr>
        <w:t xml:space="preserve"> </w:t>
      </w:r>
      <w:r w:rsidR="00BE48AE" w:rsidRPr="00C40BD9">
        <w:rPr>
          <w:rFonts w:ascii="Verdana" w:hAnsi="Verdana" w:cs="Verdana"/>
          <w:sz w:val="20"/>
          <w:szCs w:val="20"/>
          <w:lang w:val="pt-BR"/>
        </w:rPr>
        <w:t>n</w:t>
      </w:r>
      <w:r>
        <w:rPr>
          <w:rFonts w:ascii="Verdana" w:hAnsi="Verdana" w:cs="Verdana"/>
          <w:sz w:val="20"/>
          <w:szCs w:val="20"/>
          <w:lang w:val="pt-BR"/>
        </w:rPr>
        <w:t>ã</w:t>
      </w:r>
      <w:r w:rsidR="00BE48AE" w:rsidRPr="00C40BD9">
        <w:rPr>
          <w:rFonts w:ascii="Verdana" w:hAnsi="Verdana" w:cs="Verdana"/>
          <w:sz w:val="20"/>
          <w:szCs w:val="20"/>
          <w:lang w:val="pt-BR"/>
        </w:rPr>
        <w:t xml:space="preserve">o </w:t>
      </w:r>
      <w:r>
        <w:rPr>
          <w:rFonts w:ascii="Verdana" w:hAnsi="Verdana" w:cs="Verdana"/>
          <w:sz w:val="20"/>
          <w:szCs w:val="20"/>
          <w:lang w:val="pt-BR"/>
        </w:rPr>
        <w:t xml:space="preserve">suscitar </w:t>
      </w:r>
      <w:r w:rsidR="00036A1B" w:rsidRPr="00C40BD9">
        <w:rPr>
          <w:rFonts w:ascii="Verdana" w:hAnsi="Verdana" w:cs="Verdana"/>
          <w:sz w:val="20"/>
          <w:szCs w:val="20"/>
          <w:lang w:val="pt-BR"/>
        </w:rPr>
        <w:t>questões</w:t>
      </w:r>
      <w:r w:rsidR="00DE316A">
        <w:rPr>
          <w:rFonts w:ascii="Verdana" w:hAnsi="Verdana" w:cs="Verdana"/>
          <w:sz w:val="20"/>
          <w:szCs w:val="20"/>
          <w:lang w:val="pt-BR"/>
        </w:rPr>
        <w:t xml:space="preserve"> </w:t>
      </w:r>
      <w:r>
        <w:rPr>
          <w:rFonts w:ascii="Verdana" w:hAnsi="Verdana" w:cs="Verdana"/>
          <w:sz w:val="20"/>
          <w:szCs w:val="20"/>
          <w:lang w:val="pt-BR"/>
        </w:rPr>
        <w:t>já resolvidas na própria S</w:t>
      </w:r>
      <w:r w:rsidR="00C06A9B" w:rsidRPr="00C40BD9">
        <w:rPr>
          <w:rFonts w:ascii="Verdana" w:hAnsi="Verdana" w:cs="Verdana"/>
          <w:sz w:val="20"/>
          <w:szCs w:val="20"/>
          <w:lang w:val="pt-BR"/>
        </w:rPr>
        <w:t>entença</w:t>
      </w:r>
      <w:r w:rsidR="00A9111C" w:rsidRPr="00C40BD9">
        <w:rPr>
          <w:rFonts w:ascii="Verdana" w:hAnsi="Verdana" w:cs="Verdana"/>
          <w:sz w:val="20"/>
          <w:szCs w:val="20"/>
          <w:lang w:val="pt-BR"/>
        </w:rPr>
        <w:t xml:space="preserve">, </w:t>
      </w:r>
      <w:r>
        <w:rPr>
          <w:rFonts w:ascii="Verdana" w:hAnsi="Verdana" w:cs="Verdana"/>
          <w:sz w:val="20"/>
          <w:szCs w:val="20"/>
          <w:lang w:val="pt-BR"/>
        </w:rPr>
        <w:t xml:space="preserve">razão pela qual a </w:t>
      </w:r>
      <w:r w:rsidR="00BE48AE" w:rsidRPr="00C40BD9">
        <w:rPr>
          <w:rFonts w:ascii="Verdana" w:hAnsi="Verdana" w:cs="Verdana"/>
          <w:sz w:val="20"/>
          <w:szCs w:val="20"/>
          <w:lang w:val="pt-BR"/>
        </w:rPr>
        <w:t xml:space="preserve">Corte declara improcedente </w:t>
      </w:r>
      <w:r w:rsidR="004A12CF" w:rsidRPr="00C40BD9">
        <w:rPr>
          <w:rFonts w:ascii="Verdana" w:hAnsi="Verdana" w:cs="Verdana"/>
          <w:sz w:val="20"/>
          <w:szCs w:val="20"/>
          <w:lang w:val="pt-BR"/>
        </w:rPr>
        <w:t>es</w:t>
      </w:r>
      <w:r>
        <w:rPr>
          <w:rFonts w:ascii="Verdana" w:hAnsi="Verdana" w:cs="Verdana"/>
          <w:sz w:val="20"/>
          <w:szCs w:val="20"/>
          <w:lang w:val="pt-BR"/>
        </w:rPr>
        <w:t>s</w:t>
      </w:r>
      <w:r w:rsidR="004A12CF" w:rsidRPr="00C40BD9">
        <w:rPr>
          <w:rFonts w:ascii="Verdana" w:hAnsi="Verdana" w:cs="Verdana"/>
          <w:sz w:val="20"/>
          <w:szCs w:val="20"/>
          <w:lang w:val="pt-BR"/>
        </w:rPr>
        <w:t xml:space="preserve">a </w:t>
      </w:r>
      <w:r w:rsidR="00C06A9B" w:rsidRPr="00C40BD9">
        <w:rPr>
          <w:rFonts w:ascii="Verdana" w:hAnsi="Verdana" w:cs="Verdana"/>
          <w:sz w:val="20"/>
          <w:szCs w:val="20"/>
          <w:lang w:val="pt-BR"/>
        </w:rPr>
        <w:t>solicitação</w:t>
      </w:r>
      <w:r w:rsidR="00DE316A">
        <w:rPr>
          <w:rFonts w:ascii="Verdana" w:hAnsi="Verdana" w:cs="Verdana"/>
          <w:sz w:val="20"/>
          <w:szCs w:val="20"/>
          <w:lang w:val="pt-BR"/>
        </w:rPr>
        <w:t xml:space="preserve"> </w:t>
      </w:r>
      <w:r w:rsidR="00A9111C" w:rsidRPr="00C40BD9">
        <w:rPr>
          <w:rFonts w:ascii="Verdana" w:hAnsi="Verdana" w:cs="Verdana"/>
          <w:sz w:val="20"/>
          <w:szCs w:val="20"/>
          <w:lang w:val="pt-BR"/>
        </w:rPr>
        <w:t>de interpreta</w:t>
      </w:r>
      <w:r w:rsidR="00F633DD" w:rsidRPr="00C40BD9">
        <w:rPr>
          <w:rFonts w:ascii="Verdana" w:hAnsi="Verdana" w:cs="Verdana"/>
          <w:sz w:val="20"/>
          <w:szCs w:val="20"/>
          <w:lang w:val="pt-BR"/>
        </w:rPr>
        <w:t>ção</w:t>
      </w:r>
      <w:r w:rsidR="00BE48AE" w:rsidRPr="00C40BD9">
        <w:rPr>
          <w:rFonts w:ascii="Verdana" w:hAnsi="Verdana" w:cs="Verdana"/>
          <w:sz w:val="20"/>
          <w:szCs w:val="20"/>
          <w:lang w:val="pt-BR"/>
        </w:rPr>
        <w:t>.</w:t>
      </w:r>
    </w:p>
    <w:p w:rsidR="0074017B" w:rsidRPr="00C40BD9" w:rsidRDefault="0074017B" w:rsidP="00A82FB4">
      <w:pPr>
        <w:pStyle w:val="ListParagraph"/>
        <w:spacing w:after="0" w:line="240" w:lineRule="auto"/>
        <w:ind w:left="0"/>
        <w:jc w:val="both"/>
        <w:rPr>
          <w:rFonts w:ascii="Verdana" w:hAnsi="Verdana"/>
          <w:sz w:val="20"/>
          <w:szCs w:val="20"/>
          <w:lang w:val="pt-BR"/>
        </w:rPr>
      </w:pPr>
    </w:p>
    <w:p w:rsidR="0074017B" w:rsidRPr="00C40BD9" w:rsidRDefault="004A12CF" w:rsidP="00A82FB4">
      <w:pPr>
        <w:pStyle w:val="ListParagraph"/>
        <w:numPr>
          <w:ilvl w:val="0"/>
          <w:numId w:val="3"/>
        </w:numPr>
        <w:spacing w:after="0" w:line="240" w:lineRule="auto"/>
        <w:jc w:val="both"/>
        <w:rPr>
          <w:rFonts w:ascii="Verdana" w:hAnsi="Verdana"/>
          <w:sz w:val="20"/>
          <w:szCs w:val="20"/>
          <w:lang w:val="pt-BR"/>
        </w:rPr>
      </w:pPr>
      <w:r w:rsidRPr="00C40BD9">
        <w:rPr>
          <w:rFonts w:ascii="Verdana" w:hAnsi="Verdana"/>
          <w:b/>
          <w:sz w:val="20"/>
          <w:szCs w:val="20"/>
          <w:lang w:val="pt-BR"/>
        </w:rPr>
        <w:t>Modalidad</w:t>
      </w:r>
      <w:r w:rsidR="00BF48F6">
        <w:rPr>
          <w:rFonts w:ascii="Verdana" w:hAnsi="Verdana"/>
          <w:b/>
          <w:sz w:val="20"/>
          <w:szCs w:val="20"/>
          <w:lang w:val="pt-BR"/>
        </w:rPr>
        <w:t>e</w:t>
      </w:r>
      <w:r w:rsidRPr="00C40BD9">
        <w:rPr>
          <w:rFonts w:ascii="Verdana" w:hAnsi="Verdana"/>
          <w:b/>
          <w:sz w:val="20"/>
          <w:szCs w:val="20"/>
          <w:lang w:val="pt-BR"/>
        </w:rPr>
        <w:t xml:space="preserve"> de </w:t>
      </w:r>
      <w:r w:rsidR="00BF48F6">
        <w:rPr>
          <w:rFonts w:ascii="Verdana" w:hAnsi="Verdana"/>
          <w:b/>
          <w:sz w:val="20"/>
          <w:szCs w:val="20"/>
          <w:lang w:val="pt-BR"/>
        </w:rPr>
        <w:t xml:space="preserve">cumprimento dos pagamentos </w:t>
      </w:r>
      <w:r w:rsidRPr="00C40BD9">
        <w:rPr>
          <w:rFonts w:ascii="Verdana" w:hAnsi="Verdana"/>
          <w:b/>
          <w:sz w:val="20"/>
          <w:szCs w:val="20"/>
          <w:lang w:val="pt-BR"/>
        </w:rPr>
        <w:t>ordenados</w:t>
      </w:r>
    </w:p>
    <w:p w:rsidR="0074017B" w:rsidRPr="00C40BD9" w:rsidRDefault="0074017B" w:rsidP="00A82FB4">
      <w:pPr>
        <w:pStyle w:val="ListParagraph"/>
        <w:spacing w:after="0" w:line="240" w:lineRule="auto"/>
        <w:ind w:left="0"/>
        <w:contextualSpacing w:val="0"/>
        <w:jc w:val="both"/>
        <w:rPr>
          <w:rFonts w:ascii="Verdana" w:hAnsi="Verdana"/>
          <w:sz w:val="20"/>
          <w:szCs w:val="20"/>
          <w:lang w:val="pt-BR"/>
        </w:rPr>
      </w:pPr>
    </w:p>
    <w:p w:rsidR="0074017B" w:rsidRPr="00C40BD9" w:rsidRDefault="00456D6E" w:rsidP="00E048DB">
      <w:pPr>
        <w:pStyle w:val="ListParagraph"/>
        <w:spacing w:after="0" w:line="240" w:lineRule="auto"/>
        <w:ind w:left="0"/>
        <w:contextualSpacing w:val="0"/>
        <w:jc w:val="both"/>
        <w:rPr>
          <w:rFonts w:ascii="Verdana" w:hAnsi="Verdana"/>
          <w:i/>
          <w:sz w:val="20"/>
          <w:szCs w:val="20"/>
          <w:lang w:val="pt-BR"/>
        </w:rPr>
      </w:pPr>
      <w:r w:rsidRPr="00C40BD9">
        <w:rPr>
          <w:rFonts w:ascii="Verdana" w:hAnsi="Verdana"/>
          <w:i/>
          <w:sz w:val="20"/>
          <w:szCs w:val="20"/>
          <w:lang w:val="pt-BR"/>
        </w:rPr>
        <w:t>D</w:t>
      </w:r>
      <w:r w:rsidR="0074017B" w:rsidRPr="00C40BD9">
        <w:rPr>
          <w:rFonts w:ascii="Verdana" w:hAnsi="Verdana"/>
          <w:i/>
          <w:sz w:val="20"/>
          <w:szCs w:val="20"/>
          <w:lang w:val="pt-BR"/>
        </w:rPr>
        <w:t xml:space="preserve">.1. Sobre </w:t>
      </w:r>
      <w:r w:rsidR="00BF48F6">
        <w:rPr>
          <w:rFonts w:ascii="Verdana" w:hAnsi="Verdana"/>
          <w:i/>
          <w:sz w:val="20"/>
          <w:szCs w:val="20"/>
          <w:lang w:val="pt-BR"/>
        </w:rPr>
        <w:t xml:space="preserve">o prazo </w:t>
      </w:r>
    </w:p>
    <w:p w:rsidR="0049492F" w:rsidRPr="00C40BD9" w:rsidRDefault="0049492F" w:rsidP="00A82FB4">
      <w:pPr>
        <w:pStyle w:val="ListParagraph"/>
        <w:spacing w:after="0" w:line="240" w:lineRule="auto"/>
        <w:ind w:left="0" w:firstLine="720"/>
        <w:contextualSpacing w:val="0"/>
        <w:jc w:val="both"/>
        <w:rPr>
          <w:rFonts w:ascii="Verdana" w:hAnsi="Verdana"/>
          <w:sz w:val="20"/>
          <w:szCs w:val="20"/>
          <w:lang w:val="pt-BR"/>
        </w:rPr>
      </w:pPr>
    </w:p>
    <w:p w:rsidR="0049492F" w:rsidRPr="00C40BD9" w:rsidRDefault="0049492F" w:rsidP="00A82FB4">
      <w:pPr>
        <w:pStyle w:val="ListParagraph"/>
        <w:spacing w:after="0" w:line="240" w:lineRule="auto"/>
        <w:ind w:left="0" w:firstLine="720"/>
        <w:contextualSpacing w:val="0"/>
        <w:jc w:val="both"/>
        <w:rPr>
          <w:rFonts w:ascii="Verdana" w:hAnsi="Verdana"/>
          <w:i/>
          <w:sz w:val="20"/>
          <w:szCs w:val="20"/>
          <w:lang w:val="pt-BR"/>
        </w:rPr>
      </w:pPr>
      <w:r w:rsidRPr="00C40BD9">
        <w:rPr>
          <w:rFonts w:ascii="Verdana" w:hAnsi="Verdana"/>
          <w:i/>
          <w:sz w:val="20"/>
          <w:szCs w:val="20"/>
          <w:lang w:val="pt-BR"/>
        </w:rPr>
        <w:t xml:space="preserve">D.1.1. Argumentos </w:t>
      </w:r>
      <w:r w:rsidR="00C06A9B" w:rsidRPr="00C40BD9">
        <w:rPr>
          <w:rFonts w:ascii="Verdana" w:hAnsi="Verdana"/>
          <w:i/>
          <w:sz w:val="20"/>
          <w:szCs w:val="20"/>
          <w:lang w:val="pt-BR"/>
        </w:rPr>
        <w:t xml:space="preserve">das </w:t>
      </w:r>
      <w:r w:rsidRPr="00C40BD9">
        <w:rPr>
          <w:rFonts w:ascii="Verdana" w:hAnsi="Verdana"/>
          <w:i/>
          <w:sz w:val="20"/>
          <w:szCs w:val="20"/>
          <w:lang w:val="pt-BR"/>
        </w:rPr>
        <w:t xml:space="preserve">partes </w:t>
      </w:r>
      <w:r w:rsidR="00F633DD" w:rsidRPr="00C40BD9">
        <w:rPr>
          <w:rFonts w:ascii="Verdana" w:hAnsi="Verdana"/>
          <w:i/>
          <w:sz w:val="20"/>
          <w:szCs w:val="20"/>
          <w:lang w:val="pt-BR"/>
        </w:rPr>
        <w:t>e</w:t>
      </w:r>
      <w:r w:rsidR="00DE316A">
        <w:rPr>
          <w:rFonts w:ascii="Verdana" w:hAnsi="Verdana"/>
          <w:i/>
          <w:sz w:val="20"/>
          <w:szCs w:val="20"/>
          <w:lang w:val="pt-BR"/>
        </w:rPr>
        <w:t xml:space="preserve"> </w:t>
      </w:r>
      <w:r w:rsidR="00F633DD" w:rsidRPr="00C40BD9">
        <w:rPr>
          <w:rFonts w:ascii="Verdana" w:hAnsi="Verdana"/>
          <w:i/>
          <w:sz w:val="20"/>
          <w:szCs w:val="20"/>
          <w:lang w:val="pt-BR"/>
        </w:rPr>
        <w:t xml:space="preserve">da </w:t>
      </w:r>
      <w:r w:rsidR="00C06A9B" w:rsidRPr="00C40BD9">
        <w:rPr>
          <w:rFonts w:ascii="Verdana" w:hAnsi="Verdana"/>
          <w:i/>
          <w:sz w:val="20"/>
          <w:szCs w:val="20"/>
          <w:lang w:val="pt-BR"/>
        </w:rPr>
        <w:t>Comissão</w:t>
      </w:r>
      <w:r w:rsidR="00DE316A">
        <w:rPr>
          <w:rFonts w:ascii="Verdana" w:hAnsi="Verdana"/>
          <w:i/>
          <w:sz w:val="20"/>
          <w:szCs w:val="20"/>
          <w:lang w:val="pt-BR"/>
        </w:rPr>
        <w:t xml:space="preserve"> </w:t>
      </w:r>
    </w:p>
    <w:p w:rsidR="0074017B" w:rsidRPr="00C40BD9" w:rsidRDefault="0074017B" w:rsidP="00A82FB4">
      <w:pPr>
        <w:pStyle w:val="ListParagraph"/>
        <w:spacing w:after="0" w:line="240" w:lineRule="auto"/>
        <w:ind w:left="0" w:firstLine="720"/>
        <w:contextualSpacing w:val="0"/>
        <w:jc w:val="both"/>
        <w:rPr>
          <w:rFonts w:ascii="Verdana" w:hAnsi="Verdana"/>
          <w:sz w:val="20"/>
          <w:szCs w:val="20"/>
          <w:lang w:val="pt-BR"/>
        </w:rPr>
      </w:pPr>
    </w:p>
    <w:p w:rsidR="0074017B" w:rsidRPr="00C40BD9" w:rsidRDefault="00BF48F6" w:rsidP="00A82FB4">
      <w:pPr>
        <w:pStyle w:val="ListParagraph"/>
        <w:numPr>
          <w:ilvl w:val="0"/>
          <w:numId w:val="2"/>
        </w:numPr>
        <w:tabs>
          <w:tab w:val="clear" w:pos="1247"/>
        </w:tabs>
        <w:spacing w:after="0" w:line="240" w:lineRule="auto"/>
        <w:contextualSpacing w:val="0"/>
        <w:jc w:val="both"/>
        <w:rPr>
          <w:rFonts w:ascii="Verdana" w:hAnsi="Verdana"/>
          <w:sz w:val="20"/>
          <w:szCs w:val="20"/>
          <w:lang w:val="pt-BR"/>
        </w:rPr>
      </w:pPr>
      <w:r>
        <w:rPr>
          <w:rFonts w:ascii="Verdana" w:hAnsi="Verdana"/>
          <w:sz w:val="20"/>
          <w:szCs w:val="20"/>
          <w:lang w:val="pt-BR"/>
        </w:rPr>
        <w:t xml:space="preserve">No </w:t>
      </w:r>
      <w:r w:rsidR="00C06A9B" w:rsidRPr="00C40BD9">
        <w:rPr>
          <w:rFonts w:ascii="Verdana" w:hAnsi="Verdana"/>
          <w:sz w:val="20"/>
          <w:szCs w:val="20"/>
          <w:lang w:val="pt-BR"/>
        </w:rPr>
        <w:t>parágrafo</w:t>
      </w:r>
      <w:r w:rsidR="00DE316A">
        <w:rPr>
          <w:rFonts w:ascii="Verdana" w:hAnsi="Verdana"/>
          <w:sz w:val="20"/>
          <w:szCs w:val="20"/>
          <w:lang w:val="pt-BR"/>
        </w:rPr>
        <w:t xml:space="preserve"> </w:t>
      </w:r>
      <w:r w:rsidR="0074017B" w:rsidRPr="00C40BD9">
        <w:rPr>
          <w:rFonts w:ascii="Verdana" w:hAnsi="Verdana"/>
          <w:sz w:val="20"/>
          <w:szCs w:val="20"/>
          <w:lang w:val="pt-BR"/>
        </w:rPr>
        <w:t xml:space="preserve">363 </w:t>
      </w:r>
      <w:r w:rsidR="00F633DD" w:rsidRPr="00C40BD9">
        <w:rPr>
          <w:rFonts w:ascii="Verdana" w:hAnsi="Verdana"/>
          <w:sz w:val="20"/>
          <w:szCs w:val="20"/>
          <w:lang w:val="pt-BR"/>
        </w:rPr>
        <w:t>da Sentença</w:t>
      </w:r>
      <w:r w:rsidR="0074017B" w:rsidRPr="00C40BD9">
        <w:rPr>
          <w:rFonts w:ascii="Verdana" w:hAnsi="Verdana"/>
          <w:sz w:val="20"/>
          <w:szCs w:val="20"/>
          <w:lang w:val="pt-BR"/>
        </w:rPr>
        <w:t xml:space="preserve">, </w:t>
      </w:r>
      <w:r w:rsidR="00036A1B" w:rsidRPr="00C40BD9">
        <w:rPr>
          <w:rFonts w:ascii="Verdana" w:hAnsi="Verdana"/>
          <w:sz w:val="20"/>
          <w:szCs w:val="20"/>
          <w:lang w:val="pt-BR"/>
        </w:rPr>
        <w:t xml:space="preserve">a Corte </w:t>
      </w:r>
      <w:r>
        <w:rPr>
          <w:rFonts w:ascii="Verdana" w:hAnsi="Verdana"/>
          <w:sz w:val="20"/>
          <w:szCs w:val="20"/>
          <w:lang w:val="pt-BR"/>
        </w:rPr>
        <w:t xml:space="preserve">salientou que o </w:t>
      </w:r>
      <w:r w:rsidR="0074017B" w:rsidRPr="00C40BD9">
        <w:rPr>
          <w:rFonts w:ascii="Verdana" w:hAnsi="Verdana"/>
          <w:sz w:val="20"/>
          <w:szCs w:val="20"/>
          <w:lang w:val="pt-BR"/>
        </w:rPr>
        <w:t>Estado de</w:t>
      </w:r>
      <w:r>
        <w:rPr>
          <w:rFonts w:ascii="Verdana" w:hAnsi="Verdana"/>
          <w:sz w:val="20"/>
          <w:szCs w:val="20"/>
          <w:lang w:val="pt-BR"/>
        </w:rPr>
        <w:t>v</w:t>
      </w:r>
      <w:r w:rsidR="0074017B" w:rsidRPr="00C40BD9">
        <w:rPr>
          <w:rFonts w:ascii="Verdana" w:hAnsi="Verdana"/>
          <w:sz w:val="20"/>
          <w:szCs w:val="20"/>
          <w:lang w:val="pt-BR"/>
        </w:rPr>
        <w:t xml:space="preserve">erá efetuar </w:t>
      </w:r>
      <w:r>
        <w:rPr>
          <w:rFonts w:ascii="Verdana" w:hAnsi="Verdana"/>
          <w:sz w:val="20"/>
          <w:szCs w:val="20"/>
          <w:lang w:val="pt-BR"/>
        </w:rPr>
        <w:t xml:space="preserve">o pagamento </w:t>
      </w:r>
      <w:r w:rsidR="00C06A9B" w:rsidRPr="00C40BD9">
        <w:rPr>
          <w:rFonts w:ascii="Verdana" w:hAnsi="Verdana"/>
          <w:sz w:val="20"/>
          <w:szCs w:val="20"/>
          <w:lang w:val="pt-BR"/>
        </w:rPr>
        <w:t xml:space="preserve">das </w:t>
      </w:r>
      <w:r w:rsidR="0074017B" w:rsidRPr="00C40BD9">
        <w:rPr>
          <w:rFonts w:ascii="Verdana" w:hAnsi="Verdana"/>
          <w:sz w:val="20"/>
          <w:szCs w:val="20"/>
          <w:lang w:val="pt-BR"/>
        </w:rPr>
        <w:t>indeniza</w:t>
      </w:r>
      <w:r w:rsidR="00F633DD" w:rsidRPr="00C40BD9">
        <w:rPr>
          <w:rFonts w:ascii="Verdana" w:hAnsi="Verdana"/>
          <w:sz w:val="20"/>
          <w:szCs w:val="20"/>
          <w:lang w:val="pt-BR"/>
        </w:rPr>
        <w:t>ções</w:t>
      </w:r>
      <w:r w:rsidR="0074017B" w:rsidRPr="00C40BD9">
        <w:rPr>
          <w:rFonts w:ascii="Verdana" w:hAnsi="Verdana"/>
          <w:sz w:val="20"/>
          <w:szCs w:val="20"/>
          <w:lang w:val="pt-BR"/>
        </w:rPr>
        <w:t xml:space="preserve"> </w:t>
      </w:r>
      <w:r>
        <w:rPr>
          <w:rFonts w:ascii="Verdana" w:hAnsi="Verdana"/>
          <w:sz w:val="20"/>
          <w:szCs w:val="20"/>
          <w:lang w:val="pt-BR"/>
        </w:rPr>
        <w:t xml:space="preserve">a título de dano </w:t>
      </w:r>
      <w:r w:rsidR="0074017B" w:rsidRPr="00C40BD9">
        <w:rPr>
          <w:rFonts w:ascii="Verdana" w:hAnsi="Verdana"/>
          <w:sz w:val="20"/>
          <w:szCs w:val="20"/>
          <w:lang w:val="pt-BR"/>
        </w:rPr>
        <w:t xml:space="preserve">imaterial </w:t>
      </w:r>
      <w:r w:rsidR="00F633DD" w:rsidRPr="00C40BD9">
        <w:rPr>
          <w:rFonts w:ascii="Verdana" w:hAnsi="Verdana"/>
          <w:sz w:val="20"/>
          <w:szCs w:val="20"/>
          <w:lang w:val="pt-BR"/>
        </w:rPr>
        <w:t>e</w:t>
      </w:r>
      <w:r w:rsidR="00DE316A">
        <w:rPr>
          <w:rFonts w:ascii="Verdana" w:hAnsi="Verdana"/>
          <w:sz w:val="20"/>
          <w:szCs w:val="20"/>
          <w:lang w:val="pt-BR"/>
        </w:rPr>
        <w:t xml:space="preserve"> </w:t>
      </w:r>
      <w:r>
        <w:rPr>
          <w:rFonts w:ascii="Verdana" w:hAnsi="Verdana"/>
          <w:sz w:val="20"/>
          <w:szCs w:val="20"/>
          <w:lang w:val="pt-BR"/>
        </w:rPr>
        <w:t xml:space="preserve">reembolso de custas </w:t>
      </w:r>
      <w:r w:rsidR="00F633DD" w:rsidRPr="00C40BD9">
        <w:rPr>
          <w:rFonts w:ascii="Verdana" w:hAnsi="Verdana"/>
          <w:sz w:val="20"/>
          <w:szCs w:val="20"/>
          <w:lang w:val="pt-BR"/>
        </w:rPr>
        <w:t>e</w:t>
      </w:r>
      <w:r w:rsidR="00DE316A">
        <w:rPr>
          <w:rFonts w:ascii="Verdana" w:hAnsi="Verdana"/>
          <w:sz w:val="20"/>
          <w:szCs w:val="20"/>
          <w:lang w:val="pt-BR"/>
        </w:rPr>
        <w:t xml:space="preserve"> </w:t>
      </w:r>
      <w:r w:rsidR="0074017B" w:rsidRPr="00C40BD9">
        <w:rPr>
          <w:rFonts w:ascii="Verdana" w:hAnsi="Verdana"/>
          <w:sz w:val="20"/>
          <w:szCs w:val="20"/>
          <w:lang w:val="pt-BR"/>
        </w:rPr>
        <w:t>gastos estab</w:t>
      </w:r>
      <w:r>
        <w:rPr>
          <w:rFonts w:ascii="Verdana" w:hAnsi="Verdana"/>
          <w:sz w:val="20"/>
          <w:szCs w:val="20"/>
          <w:lang w:val="pt-BR"/>
        </w:rPr>
        <w:t>e</w:t>
      </w:r>
      <w:r w:rsidR="0074017B" w:rsidRPr="00C40BD9">
        <w:rPr>
          <w:rFonts w:ascii="Verdana" w:hAnsi="Verdana"/>
          <w:sz w:val="20"/>
          <w:szCs w:val="20"/>
          <w:lang w:val="pt-BR"/>
        </w:rPr>
        <w:t xml:space="preserve">lecidos diretamente </w:t>
      </w:r>
      <w:r>
        <w:rPr>
          <w:rFonts w:ascii="Verdana" w:hAnsi="Verdana"/>
          <w:sz w:val="20"/>
          <w:szCs w:val="20"/>
          <w:lang w:val="pt-BR"/>
        </w:rPr>
        <w:t xml:space="preserve">às pessoas </w:t>
      </w:r>
      <w:r w:rsidR="00F633DD" w:rsidRPr="00C40BD9">
        <w:rPr>
          <w:rFonts w:ascii="Verdana" w:hAnsi="Verdana"/>
          <w:sz w:val="20"/>
          <w:szCs w:val="20"/>
          <w:lang w:val="pt-BR"/>
        </w:rPr>
        <w:t>e</w:t>
      </w:r>
      <w:r w:rsidR="00DE316A">
        <w:rPr>
          <w:rFonts w:ascii="Verdana" w:hAnsi="Verdana"/>
          <w:sz w:val="20"/>
          <w:szCs w:val="20"/>
          <w:lang w:val="pt-BR"/>
        </w:rPr>
        <w:t xml:space="preserve"> </w:t>
      </w:r>
      <w:r w:rsidR="0074017B" w:rsidRPr="00C40BD9">
        <w:rPr>
          <w:rFonts w:ascii="Verdana" w:hAnsi="Verdana"/>
          <w:sz w:val="20"/>
          <w:szCs w:val="20"/>
          <w:lang w:val="pt-BR"/>
        </w:rPr>
        <w:t>organiza</w:t>
      </w:r>
      <w:r w:rsidR="00F633DD" w:rsidRPr="00C40BD9">
        <w:rPr>
          <w:rFonts w:ascii="Verdana" w:hAnsi="Verdana"/>
          <w:sz w:val="20"/>
          <w:szCs w:val="20"/>
          <w:lang w:val="pt-BR"/>
        </w:rPr>
        <w:t>ções</w:t>
      </w:r>
      <w:r w:rsidR="0074017B" w:rsidRPr="00C40BD9">
        <w:rPr>
          <w:rFonts w:ascii="Verdana" w:hAnsi="Verdana"/>
          <w:sz w:val="20"/>
          <w:szCs w:val="20"/>
          <w:lang w:val="pt-BR"/>
        </w:rPr>
        <w:t xml:space="preserve"> indicadas, </w:t>
      </w:r>
      <w:r>
        <w:rPr>
          <w:rFonts w:ascii="Verdana" w:hAnsi="Verdana"/>
          <w:sz w:val="20"/>
          <w:szCs w:val="20"/>
          <w:lang w:val="pt-BR"/>
        </w:rPr>
        <w:t xml:space="preserve">no </w:t>
      </w:r>
      <w:r w:rsidR="0074017B" w:rsidRPr="00C40BD9">
        <w:rPr>
          <w:rFonts w:ascii="Verdana" w:hAnsi="Verdana"/>
          <w:sz w:val="20"/>
          <w:szCs w:val="20"/>
          <w:lang w:val="pt-BR"/>
        </w:rPr>
        <w:t>p</w:t>
      </w:r>
      <w:r>
        <w:rPr>
          <w:rFonts w:ascii="Verdana" w:hAnsi="Verdana"/>
          <w:sz w:val="20"/>
          <w:szCs w:val="20"/>
          <w:lang w:val="pt-BR"/>
        </w:rPr>
        <w:t>r</w:t>
      </w:r>
      <w:r w:rsidR="0074017B" w:rsidRPr="00C40BD9">
        <w:rPr>
          <w:rFonts w:ascii="Verdana" w:hAnsi="Verdana"/>
          <w:sz w:val="20"/>
          <w:szCs w:val="20"/>
          <w:lang w:val="pt-BR"/>
        </w:rPr>
        <w:t>azo de u</w:t>
      </w:r>
      <w:r>
        <w:rPr>
          <w:rFonts w:ascii="Verdana" w:hAnsi="Verdana"/>
          <w:sz w:val="20"/>
          <w:szCs w:val="20"/>
          <w:lang w:val="pt-BR"/>
        </w:rPr>
        <w:t>m</w:t>
      </w:r>
      <w:r w:rsidR="0074017B" w:rsidRPr="00C40BD9">
        <w:rPr>
          <w:rFonts w:ascii="Verdana" w:hAnsi="Verdana"/>
          <w:sz w:val="20"/>
          <w:szCs w:val="20"/>
          <w:lang w:val="pt-BR"/>
        </w:rPr>
        <w:t xml:space="preserve"> </w:t>
      </w:r>
      <w:r w:rsidR="00635878" w:rsidRPr="00C40BD9">
        <w:rPr>
          <w:rFonts w:ascii="Verdana" w:hAnsi="Verdana"/>
          <w:sz w:val="20"/>
          <w:szCs w:val="20"/>
          <w:lang w:val="pt-BR"/>
        </w:rPr>
        <w:t>ano</w:t>
      </w:r>
      <w:r w:rsidR="0074017B" w:rsidRPr="00C40BD9">
        <w:rPr>
          <w:rFonts w:ascii="Verdana" w:hAnsi="Verdana"/>
          <w:sz w:val="20"/>
          <w:szCs w:val="20"/>
          <w:lang w:val="pt-BR"/>
        </w:rPr>
        <w:t xml:space="preserve">, contado a partir </w:t>
      </w:r>
      <w:r w:rsidR="00F633DD" w:rsidRPr="00C40BD9">
        <w:rPr>
          <w:rFonts w:ascii="Verdana" w:hAnsi="Verdana"/>
          <w:sz w:val="20"/>
          <w:szCs w:val="20"/>
          <w:lang w:val="pt-BR"/>
        </w:rPr>
        <w:t xml:space="preserve">da </w:t>
      </w:r>
      <w:r w:rsidR="0074017B" w:rsidRPr="00C40BD9">
        <w:rPr>
          <w:rFonts w:ascii="Verdana" w:hAnsi="Verdana"/>
          <w:sz w:val="20"/>
          <w:szCs w:val="20"/>
          <w:lang w:val="pt-BR"/>
        </w:rPr>
        <w:t>notifica</w:t>
      </w:r>
      <w:r w:rsidR="00F633DD" w:rsidRPr="00C40BD9">
        <w:rPr>
          <w:rFonts w:ascii="Verdana" w:hAnsi="Verdana"/>
          <w:sz w:val="20"/>
          <w:szCs w:val="20"/>
          <w:lang w:val="pt-BR"/>
        </w:rPr>
        <w:t>ção</w:t>
      </w:r>
      <w:r w:rsidR="0074017B" w:rsidRPr="00C40BD9">
        <w:rPr>
          <w:rFonts w:ascii="Verdana" w:hAnsi="Verdana"/>
          <w:sz w:val="20"/>
          <w:szCs w:val="20"/>
          <w:lang w:val="pt-BR"/>
        </w:rPr>
        <w:t xml:space="preserve"> </w:t>
      </w:r>
      <w:r w:rsidR="00F633DD" w:rsidRPr="00C40BD9">
        <w:rPr>
          <w:rFonts w:ascii="Verdana" w:hAnsi="Verdana"/>
          <w:sz w:val="20"/>
          <w:szCs w:val="20"/>
          <w:lang w:val="pt-BR"/>
        </w:rPr>
        <w:t>da Sentença</w:t>
      </w:r>
      <w:r w:rsidR="00D70516" w:rsidRPr="00C40BD9">
        <w:rPr>
          <w:rFonts w:ascii="Verdana" w:hAnsi="Verdana"/>
          <w:sz w:val="20"/>
          <w:szCs w:val="20"/>
          <w:lang w:val="pt-BR"/>
        </w:rPr>
        <w:t>.</w:t>
      </w:r>
      <w:r w:rsidR="005C4559" w:rsidRPr="00C40BD9">
        <w:rPr>
          <w:rFonts w:ascii="Verdana" w:hAnsi="Verdana"/>
          <w:sz w:val="18"/>
          <w:szCs w:val="18"/>
          <w:lang w:val="pt-BR"/>
        </w:rPr>
        <w:t xml:space="preserve"> </w:t>
      </w:r>
    </w:p>
    <w:p w:rsidR="0074017B" w:rsidRPr="00C40BD9" w:rsidRDefault="0074017B" w:rsidP="00A82FB4">
      <w:pPr>
        <w:pStyle w:val="ListParagraph"/>
        <w:spacing w:after="0" w:line="240" w:lineRule="auto"/>
        <w:ind w:left="0"/>
        <w:contextualSpacing w:val="0"/>
        <w:jc w:val="both"/>
        <w:rPr>
          <w:rFonts w:ascii="Verdana" w:hAnsi="Verdana"/>
          <w:sz w:val="20"/>
          <w:szCs w:val="20"/>
          <w:lang w:val="pt-BR"/>
        </w:rPr>
      </w:pPr>
    </w:p>
    <w:p w:rsidR="0074017B" w:rsidRPr="00C40BD9" w:rsidRDefault="0074017B" w:rsidP="00A82FB4">
      <w:pPr>
        <w:pStyle w:val="ListParagraph"/>
        <w:numPr>
          <w:ilvl w:val="0"/>
          <w:numId w:val="2"/>
        </w:numPr>
        <w:tabs>
          <w:tab w:val="clear" w:pos="1247"/>
        </w:tabs>
        <w:spacing w:after="0" w:line="240" w:lineRule="auto"/>
        <w:contextualSpacing w:val="0"/>
        <w:jc w:val="both"/>
        <w:rPr>
          <w:rFonts w:ascii="Verdana" w:hAnsi="Verdana"/>
          <w:sz w:val="20"/>
          <w:szCs w:val="20"/>
          <w:lang w:val="pt-BR"/>
        </w:rPr>
      </w:pPr>
      <w:r w:rsidRPr="00BF48F6">
        <w:rPr>
          <w:rFonts w:ascii="Verdana" w:hAnsi="Verdana"/>
          <w:sz w:val="20"/>
          <w:szCs w:val="20"/>
          <w:lang w:val="pt-BR"/>
        </w:rPr>
        <w:t xml:space="preserve">Para </w:t>
      </w:r>
      <w:r w:rsidR="00BF48F6" w:rsidRPr="00BF48F6">
        <w:rPr>
          <w:rFonts w:ascii="Verdana" w:hAnsi="Verdana"/>
          <w:sz w:val="20"/>
          <w:szCs w:val="20"/>
          <w:lang w:val="pt-BR"/>
        </w:rPr>
        <w:t>o</w:t>
      </w:r>
      <w:r w:rsidRPr="00BF48F6">
        <w:rPr>
          <w:rFonts w:ascii="Verdana" w:hAnsi="Verdana"/>
          <w:sz w:val="20"/>
          <w:szCs w:val="20"/>
          <w:lang w:val="pt-BR"/>
        </w:rPr>
        <w:t xml:space="preserve"> </w:t>
      </w:r>
      <w:r w:rsidRPr="00BF48F6">
        <w:rPr>
          <w:rFonts w:ascii="Verdana" w:hAnsi="Verdana"/>
          <w:b/>
          <w:i/>
          <w:sz w:val="20"/>
          <w:szCs w:val="20"/>
          <w:lang w:val="pt-BR"/>
        </w:rPr>
        <w:t>Estado</w:t>
      </w:r>
      <w:r w:rsidRPr="00BF48F6">
        <w:rPr>
          <w:rFonts w:ascii="Verdana" w:hAnsi="Verdana"/>
          <w:sz w:val="20"/>
          <w:szCs w:val="20"/>
          <w:lang w:val="pt-BR"/>
        </w:rPr>
        <w:t>, a expres</w:t>
      </w:r>
      <w:r w:rsidR="00BF48F6" w:rsidRPr="00BF48F6">
        <w:rPr>
          <w:rFonts w:ascii="Verdana" w:hAnsi="Verdana"/>
          <w:sz w:val="20"/>
          <w:szCs w:val="20"/>
          <w:lang w:val="pt-BR"/>
        </w:rPr>
        <w:t xml:space="preserve">são </w:t>
      </w:r>
      <w:r w:rsidR="00E1024F" w:rsidRPr="00BF48F6">
        <w:rPr>
          <w:rFonts w:ascii="Verdana" w:hAnsi="Verdana"/>
          <w:sz w:val="20"/>
          <w:szCs w:val="20"/>
          <w:lang w:val="pt-BR"/>
        </w:rPr>
        <w:t xml:space="preserve">“conforme </w:t>
      </w:r>
      <w:r w:rsidR="00BF48F6" w:rsidRPr="00BF48F6">
        <w:rPr>
          <w:rFonts w:ascii="Verdana" w:hAnsi="Verdana"/>
          <w:sz w:val="20"/>
          <w:szCs w:val="20"/>
          <w:lang w:val="pt-BR"/>
        </w:rPr>
        <w:t>o</w:t>
      </w:r>
      <w:r w:rsidR="00E1024F" w:rsidRPr="00BF48F6">
        <w:rPr>
          <w:rFonts w:ascii="Verdana" w:hAnsi="Verdana"/>
          <w:sz w:val="20"/>
          <w:szCs w:val="20"/>
          <w:lang w:val="pt-BR"/>
        </w:rPr>
        <w:t xml:space="preserve"> </w:t>
      </w:r>
      <w:r w:rsidR="006770ED" w:rsidRPr="00BF48F6">
        <w:rPr>
          <w:rFonts w:ascii="Verdana" w:hAnsi="Verdana"/>
          <w:sz w:val="20"/>
          <w:szCs w:val="20"/>
          <w:lang w:val="pt-BR"/>
        </w:rPr>
        <w:t>direito</w:t>
      </w:r>
      <w:r w:rsidR="00DE316A">
        <w:rPr>
          <w:rFonts w:ascii="Verdana" w:hAnsi="Verdana"/>
          <w:sz w:val="20"/>
          <w:szCs w:val="20"/>
          <w:lang w:val="pt-BR"/>
        </w:rPr>
        <w:t xml:space="preserve"> </w:t>
      </w:r>
      <w:r w:rsidR="00E1024F" w:rsidRPr="00BF48F6">
        <w:rPr>
          <w:rFonts w:ascii="Verdana" w:hAnsi="Verdana"/>
          <w:sz w:val="20"/>
          <w:szCs w:val="20"/>
          <w:lang w:val="pt-BR"/>
        </w:rPr>
        <w:t>interno aplic</w:t>
      </w:r>
      <w:r w:rsidR="00BF48F6" w:rsidRPr="00BF48F6">
        <w:rPr>
          <w:rFonts w:ascii="Verdana" w:hAnsi="Verdana"/>
          <w:sz w:val="20"/>
          <w:szCs w:val="20"/>
          <w:lang w:val="pt-BR"/>
        </w:rPr>
        <w:t>ável</w:t>
      </w:r>
      <w:r w:rsidR="00E1024F" w:rsidRPr="00BF48F6">
        <w:rPr>
          <w:rFonts w:ascii="Verdana" w:hAnsi="Verdana"/>
          <w:sz w:val="20"/>
          <w:szCs w:val="20"/>
          <w:lang w:val="pt-BR"/>
        </w:rPr>
        <w:t xml:space="preserve">” </w:t>
      </w:r>
      <w:r w:rsidR="00BF48F6">
        <w:rPr>
          <w:rFonts w:ascii="Verdana" w:hAnsi="Verdana"/>
          <w:sz w:val="20"/>
          <w:szCs w:val="20"/>
          <w:lang w:val="pt-BR"/>
        </w:rPr>
        <w:t xml:space="preserve">exclui a </w:t>
      </w:r>
      <w:r w:rsidRPr="00BF48F6">
        <w:rPr>
          <w:rFonts w:ascii="Verdana" w:hAnsi="Verdana"/>
          <w:sz w:val="20"/>
          <w:szCs w:val="20"/>
          <w:lang w:val="pt-BR"/>
        </w:rPr>
        <w:t>aplica</w:t>
      </w:r>
      <w:r w:rsidR="00F633DD" w:rsidRPr="00BF48F6">
        <w:rPr>
          <w:rFonts w:ascii="Verdana" w:hAnsi="Verdana"/>
          <w:sz w:val="20"/>
          <w:szCs w:val="20"/>
          <w:lang w:val="pt-BR"/>
        </w:rPr>
        <w:t>ção</w:t>
      </w:r>
      <w:r w:rsidRPr="00BF48F6">
        <w:rPr>
          <w:rFonts w:ascii="Verdana" w:hAnsi="Verdana"/>
          <w:sz w:val="20"/>
          <w:szCs w:val="20"/>
          <w:lang w:val="pt-BR"/>
        </w:rPr>
        <w:t xml:space="preserve"> d</w:t>
      </w:r>
      <w:r w:rsidR="00BF48F6">
        <w:rPr>
          <w:rFonts w:ascii="Verdana" w:hAnsi="Verdana"/>
          <w:sz w:val="20"/>
          <w:szCs w:val="20"/>
          <w:lang w:val="pt-BR"/>
        </w:rPr>
        <w:t xml:space="preserve">o prazo de um </w:t>
      </w:r>
      <w:r w:rsidR="00635878" w:rsidRPr="00BF48F6">
        <w:rPr>
          <w:rFonts w:ascii="Verdana" w:hAnsi="Verdana"/>
          <w:sz w:val="20"/>
          <w:szCs w:val="20"/>
          <w:lang w:val="pt-BR"/>
        </w:rPr>
        <w:t>ano</w:t>
      </w:r>
      <w:r w:rsidRPr="00BF48F6">
        <w:rPr>
          <w:rFonts w:ascii="Verdana" w:hAnsi="Verdana"/>
          <w:sz w:val="20"/>
          <w:szCs w:val="20"/>
          <w:lang w:val="pt-BR"/>
        </w:rPr>
        <w:t>, dado que os procedimentos neces</w:t>
      </w:r>
      <w:r w:rsidR="008F2740">
        <w:rPr>
          <w:rFonts w:ascii="Verdana" w:hAnsi="Verdana"/>
          <w:sz w:val="20"/>
          <w:szCs w:val="20"/>
          <w:lang w:val="pt-BR"/>
        </w:rPr>
        <w:t>sá</w:t>
      </w:r>
      <w:r w:rsidRPr="00BF48F6">
        <w:rPr>
          <w:rFonts w:ascii="Verdana" w:hAnsi="Verdana"/>
          <w:sz w:val="20"/>
          <w:szCs w:val="20"/>
          <w:lang w:val="pt-BR"/>
        </w:rPr>
        <w:t xml:space="preserve">rios para </w:t>
      </w:r>
      <w:r w:rsidR="00D443ED" w:rsidRPr="00BF48F6">
        <w:rPr>
          <w:rFonts w:ascii="Verdana" w:hAnsi="Verdana"/>
          <w:sz w:val="20"/>
          <w:szCs w:val="20"/>
          <w:lang w:val="pt-BR"/>
        </w:rPr>
        <w:t>anali</w:t>
      </w:r>
      <w:r w:rsidR="008F2740">
        <w:rPr>
          <w:rFonts w:ascii="Verdana" w:hAnsi="Verdana"/>
          <w:sz w:val="20"/>
          <w:szCs w:val="20"/>
          <w:lang w:val="pt-BR"/>
        </w:rPr>
        <w:t>s</w:t>
      </w:r>
      <w:r w:rsidR="00D443ED" w:rsidRPr="00BF48F6">
        <w:rPr>
          <w:rFonts w:ascii="Verdana" w:hAnsi="Verdana"/>
          <w:sz w:val="20"/>
          <w:szCs w:val="20"/>
          <w:lang w:val="pt-BR"/>
        </w:rPr>
        <w:t xml:space="preserve">ar </w:t>
      </w:r>
      <w:r w:rsidRPr="00BF48F6">
        <w:rPr>
          <w:rFonts w:ascii="Verdana" w:hAnsi="Verdana"/>
          <w:sz w:val="20"/>
          <w:szCs w:val="20"/>
          <w:lang w:val="pt-BR"/>
        </w:rPr>
        <w:t xml:space="preserve">a </w:t>
      </w:r>
      <w:r w:rsidR="008F2740">
        <w:rPr>
          <w:rFonts w:ascii="Verdana" w:hAnsi="Verdana"/>
          <w:sz w:val="20"/>
          <w:szCs w:val="20"/>
          <w:lang w:val="pt-BR"/>
        </w:rPr>
        <w:t xml:space="preserve">ordem sucessória </w:t>
      </w:r>
      <w:r w:rsidR="00F633DD" w:rsidRPr="00BF48F6">
        <w:rPr>
          <w:rFonts w:ascii="Verdana" w:hAnsi="Verdana"/>
          <w:sz w:val="20"/>
          <w:szCs w:val="20"/>
          <w:lang w:val="pt-BR"/>
        </w:rPr>
        <w:t>e</w:t>
      </w:r>
      <w:r w:rsidR="00DE316A">
        <w:rPr>
          <w:rFonts w:ascii="Verdana" w:hAnsi="Verdana"/>
          <w:sz w:val="20"/>
          <w:szCs w:val="20"/>
          <w:lang w:val="pt-BR"/>
        </w:rPr>
        <w:t xml:space="preserve"> </w:t>
      </w:r>
      <w:r w:rsidR="008F2740">
        <w:rPr>
          <w:rFonts w:ascii="Verdana" w:hAnsi="Verdana"/>
          <w:sz w:val="20"/>
          <w:szCs w:val="20"/>
          <w:lang w:val="pt-BR"/>
        </w:rPr>
        <w:t xml:space="preserve">a </w:t>
      </w:r>
      <w:r w:rsidRPr="00BF48F6">
        <w:rPr>
          <w:rFonts w:ascii="Verdana" w:hAnsi="Verdana"/>
          <w:sz w:val="20"/>
          <w:szCs w:val="20"/>
          <w:lang w:val="pt-BR"/>
        </w:rPr>
        <w:t>defini</w:t>
      </w:r>
      <w:r w:rsidR="00F633DD" w:rsidRPr="00BF48F6">
        <w:rPr>
          <w:rFonts w:ascii="Verdana" w:hAnsi="Verdana"/>
          <w:sz w:val="20"/>
          <w:szCs w:val="20"/>
          <w:lang w:val="pt-BR"/>
        </w:rPr>
        <w:t>ção</w:t>
      </w:r>
      <w:r w:rsidRPr="00BF48F6">
        <w:rPr>
          <w:rFonts w:ascii="Verdana" w:hAnsi="Verdana"/>
          <w:sz w:val="20"/>
          <w:szCs w:val="20"/>
          <w:lang w:val="pt-BR"/>
        </w:rPr>
        <w:t xml:space="preserve"> de cota parte, conforme </w:t>
      </w:r>
      <w:r w:rsidR="008F2740">
        <w:rPr>
          <w:rFonts w:ascii="Verdana" w:hAnsi="Verdana"/>
          <w:sz w:val="20"/>
          <w:szCs w:val="20"/>
          <w:lang w:val="pt-BR"/>
        </w:rPr>
        <w:t xml:space="preserve">o </w:t>
      </w:r>
      <w:r w:rsidR="006770ED" w:rsidRPr="00BF48F6">
        <w:rPr>
          <w:rFonts w:ascii="Verdana" w:hAnsi="Verdana"/>
          <w:sz w:val="20"/>
          <w:szCs w:val="20"/>
          <w:lang w:val="pt-BR"/>
        </w:rPr>
        <w:t>direito</w:t>
      </w:r>
      <w:r w:rsidR="00DE316A">
        <w:rPr>
          <w:rFonts w:ascii="Verdana" w:hAnsi="Verdana"/>
          <w:sz w:val="20"/>
          <w:szCs w:val="20"/>
          <w:lang w:val="pt-BR"/>
        </w:rPr>
        <w:t xml:space="preserve"> </w:t>
      </w:r>
      <w:r w:rsidRPr="00BF48F6">
        <w:rPr>
          <w:rFonts w:ascii="Verdana" w:hAnsi="Verdana"/>
          <w:sz w:val="20"/>
          <w:szCs w:val="20"/>
          <w:lang w:val="pt-BR"/>
        </w:rPr>
        <w:t>interno, p</w:t>
      </w:r>
      <w:r w:rsidR="008F2740">
        <w:rPr>
          <w:rFonts w:ascii="Verdana" w:hAnsi="Verdana"/>
          <w:sz w:val="20"/>
          <w:szCs w:val="20"/>
          <w:lang w:val="pt-BR"/>
        </w:rPr>
        <w:t xml:space="preserve">odem exigir tempo </w:t>
      </w:r>
      <w:r w:rsidRPr="00BF48F6">
        <w:rPr>
          <w:rFonts w:ascii="Verdana" w:hAnsi="Verdana"/>
          <w:sz w:val="20"/>
          <w:szCs w:val="20"/>
          <w:lang w:val="pt-BR"/>
        </w:rPr>
        <w:t xml:space="preserve">superior </w:t>
      </w:r>
      <w:r w:rsidR="008F2740">
        <w:rPr>
          <w:rFonts w:ascii="Verdana" w:hAnsi="Verdana"/>
          <w:sz w:val="20"/>
          <w:szCs w:val="20"/>
          <w:lang w:val="pt-BR"/>
        </w:rPr>
        <w:t xml:space="preserve">ao prazo </w:t>
      </w:r>
      <w:r w:rsidRPr="00BF48F6">
        <w:rPr>
          <w:rFonts w:ascii="Verdana" w:hAnsi="Verdana"/>
          <w:sz w:val="20"/>
          <w:szCs w:val="20"/>
          <w:lang w:val="pt-BR"/>
        </w:rPr>
        <w:t>indicado de u</w:t>
      </w:r>
      <w:r w:rsidR="008F2740">
        <w:rPr>
          <w:rFonts w:ascii="Verdana" w:hAnsi="Verdana"/>
          <w:sz w:val="20"/>
          <w:szCs w:val="20"/>
          <w:lang w:val="pt-BR"/>
        </w:rPr>
        <w:t>m</w:t>
      </w:r>
      <w:r w:rsidRPr="00BF48F6">
        <w:rPr>
          <w:rFonts w:ascii="Verdana" w:hAnsi="Verdana"/>
          <w:sz w:val="20"/>
          <w:szCs w:val="20"/>
          <w:lang w:val="pt-BR"/>
        </w:rPr>
        <w:t xml:space="preserve"> </w:t>
      </w:r>
      <w:r w:rsidR="00635878" w:rsidRPr="00BF48F6">
        <w:rPr>
          <w:rFonts w:ascii="Verdana" w:hAnsi="Verdana"/>
          <w:sz w:val="20"/>
          <w:szCs w:val="20"/>
          <w:lang w:val="pt-BR"/>
        </w:rPr>
        <w:t>ano</w:t>
      </w:r>
      <w:r w:rsidRPr="00BF48F6">
        <w:rPr>
          <w:rFonts w:ascii="Verdana" w:hAnsi="Verdana"/>
          <w:sz w:val="20"/>
          <w:szCs w:val="20"/>
          <w:lang w:val="pt-BR"/>
        </w:rPr>
        <w:t xml:space="preserve">. </w:t>
      </w:r>
      <w:r w:rsidRPr="00C40BD9">
        <w:rPr>
          <w:rFonts w:ascii="Verdana" w:hAnsi="Verdana"/>
          <w:sz w:val="20"/>
          <w:szCs w:val="20"/>
          <w:lang w:val="pt-BR"/>
        </w:rPr>
        <w:t>A</w:t>
      </w:r>
      <w:r w:rsidR="008F2740">
        <w:rPr>
          <w:rFonts w:ascii="Verdana" w:hAnsi="Verdana"/>
          <w:sz w:val="20"/>
          <w:szCs w:val="20"/>
          <w:lang w:val="pt-BR"/>
        </w:rPr>
        <w:t>lém disso</w:t>
      </w:r>
      <w:r w:rsidRPr="00C40BD9">
        <w:rPr>
          <w:rFonts w:ascii="Verdana" w:hAnsi="Verdana"/>
          <w:sz w:val="20"/>
          <w:szCs w:val="20"/>
          <w:lang w:val="pt-BR"/>
        </w:rPr>
        <w:t xml:space="preserve">, </w:t>
      </w:r>
      <w:r w:rsidR="008F2740">
        <w:rPr>
          <w:rFonts w:ascii="Verdana" w:hAnsi="Verdana"/>
          <w:sz w:val="20"/>
          <w:szCs w:val="20"/>
          <w:lang w:val="pt-BR"/>
        </w:rPr>
        <w:t xml:space="preserve">o </w:t>
      </w:r>
      <w:r w:rsidRPr="00C40BD9">
        <w:rPr>
          <w:rFonts w:ascii="Verdana" w:hAnsi="Verdana"/>
          <w:sz w:val="20"/>
          <w:szCs w:val="20"/>
          <w:lang w:val="pt-BR"/>
        </w:rPr>
        <w:t>Estado s</w:t>
      </w:r>
      <w:r w:rsidR="008F2740">
        <w:rPr>
          <w:rFonts w:ascii="Verdana" w:hAnsi="Verdana"/>
          <w:sz w:val="20"/>
          <w:szCs w:val="20"/>
          <w:lang w:val="pt-BR"/>
        </w:rPr>
        <w:t xml:space="preserve">alientou que, em alguns </w:t>
      </w:r>
      <w:r w:rsidRPr="00C40BD9">
        <w:rPr>
          <w:rFonts w:ascii="Verdana" w:hAnsi="Verdana"/>
          <w:sz w:val="20"/>
          <w:szCs w:val="20"/>
          <w:lang w:val="pt-BR"/>
        </w:rPr>
        <w:t>casos</w:t>
      </w:r>
      <w:r w:rsidR="008F2740">
        <w:rPr>
          <w:rFonts w:ascii="Verdana" w:hAnsi="Verdana"/>
          <w:sz w:val="20"/>
          <w:szCs w:val="20"/>
          <w:lang w:val="pt-BR"/>
        </w:rPr>
        <w:t xml:space="preserve">, a própria </w:t>
      </w:r>
      <w:r w:rsidRPr="00C40BD9">
        <w:rPr>
          <w:rFonts w:ascii="Verdana" w:hAnsi="Verdana"/>
          <w:sz w:val="20"/>
          <w:szCs w:val="20"/>
          <w:lang w:val="pt-BR"/>
        </w:rPr>
        <w:t>identifica</w:t>
      </w:r>
      <w:r w:rsidR="00F633DD" w:rsidRPr="00C40BD9">
        <w:rPr>
          <w:rFonts w:ascii="Verdana" w:hAnsi="Verdana"/>
          <w:sz w:val="20"/>
          <w:szCs w:val="20"/>
          <w:lang w:val="pt-BR"/>
        </w:rPr>
        <w:t>ção</w:t>
      </w:r>
      <w:r w:rsidRPr="00C40BD9">
        <w:rPr>
          <w:rFonts w:ascii="Verdana" w:hAnsi="Verdana"/>
          <w:sz w:val="20"/>
          <w:szCs w:val="20"/>
          <w:lang w:val="pt-BR"/>
        </w:rPr>
        <w:t xml:space="preserve"> </w:t>
      </w:r>
      <w:r w:rsidR="00C06A9B" w:rsidRPr="00C40BD9">
        <w:rPr>
          <w:rFonts w:ascii="Verdana" w:hAnsi="Verdana"/>
          <w:sz w:val="20"/>
          <w:szCs w:val="20"/>
          <w:lang w:val="pt-BR"/>
        </w:rPr>
        <w:t xml:space="preserve">dos </w:t>
      </w:r>
      <w:r w:rsidRPr="00C40BD9">
        <w:rPr>
          <w:rFonts w:ascii="Verdana" w:hAnsi="Verdana"/>
          <w:sz w:val="20"/>
          <w:szCs w:val="20"/>
          <w:lang w:val="pt-BR"/>
        </w:rPr>
        <w:t>pos</w:t>
      </w:r>
      <w:r w:rsidR="008F2740">
        <w:rPr>
          <w:rFonts w:ascii="Verdana" w:hAnsi="Verdana"/>
          <w:sz w:val="20"/>
          <w:szCs w:val="20"/>
          <w:lang w:val="pt-BR"/>
        </w:rPr>
        <w:t xml:space="preserve">síveis sucessores e a </w:t>
      </w:r>
      <w:r w:rsidRPr="00C40BD9">
        <w:rPr>
          <w:rFonts w:ascii="Verdana" w:hAnsi="Verdana"/>
          <w:sz w:val="20"/>
          <w:szCs w:val="20"/>
          <w:lang w:val="pt-BR"/>
        </w:rPr>
        <w:t>obten</w:t>
      </w:r>
      <w:r w:rsidR="00F633DD" w:rsidRPr="00C40BD9">
        <w:rPr>
          <w:rFonts w:ascii="Verdana" w:hAnsi="Verdana"/>
          <w:sz w:val="20"/>
          <w:szCs w:val="20"/>
          <w:lang w:val="pt-BR"/>
        </w:rPr>
        <w:t>ção</w:t>
      </w:r>
      <w:r w:rsidRPr="00C40BD9">
        <w:rPr>
          <w:rFonts w:ascii="Verdana" w:hAnsi="Verdana"/>
          <w:sz w:val="20"/>
          <w:szCs w:val="20"/>
          <w:lang w:val="pt-BR"/>
        </w:rPr>
        <w:t xml:space="preserve"> de s</w:t>
      </w:r>
      <w:r w:rsidR="008F2740">
        <w:rPr>
          <w:rFonts w:ascii="Verdana" w:hAnsi="Verdana"/>
          <w:sz w:val="20"/>
          <w:szCs w:val="20"/>
          <w:lang w:val="pt-BR"/>
        </w:rPr>
        <w:t>e</w:t>
      </w:r>
      <w:r w:rsidRPr="00C40BD9">
        <w:rPr>
          <w:rFonts w:ascii="Verdana" w:hAnsi="Verdana"/>
          <w:sz w:val="20"/>
          <w:szCs w:val="20"/>
          <w:lang w:val="pt-BR"/>
        </w:rPr>
        <w:t>us da</w:t>
      </w:r>
      <w:r w:rsidR="008F2740">
        <w:rPr>
          <w:rFonts w:ascii="Verdana" w:hAnsi="Verdana"/>
          <w:sz w:val="20"/>
          <w:szCs w:val="20"/>
          <w:lang w:val="pt-BR"/>
        </w:rPr>
        <w:t>d</w:t>
      </w:r>
      <w:r w:rsidRPr="00C40BD9">
        <w:rPr>
          <w:rFonts w:ascii="Verdana" w:hAnsi="Verdana"/>
          <w:sz w:val="20"/>
          <w:szCs w:val="20"/>
          <w:lang w:val="pt-BR"/>
        </w:rPr>
        <w:t xml:space="preserve">os </w:t>
      </w:r>
      <w:r w:rsidR="006770ED" w:rsidRPr="00C40BD9">
        <w:rPr>
          <w:rFonts w:ascii="Verdana" w:hAnsi="Verdana"/>
          <w:sz w:val="20"/>
          <w:szCs w:val="20"/>
          <w:lang w:val="pt-BR"/>
        </w:rPr>
        <w:t>pode</w:t>
      </w:r>
      <w:r w:rsidR="00DE316A">
        <w:rPr>
          <w:rFonts w:ascii="Verdana" w:hAnsi="Verdana"/>
          <w:sz w:val="20"/>
          <w:szCs w:val="20"/>
          <w:lang w:val="pt-BR"/>
        </w:rPr>
        <w:t xml:space="preserve"> </w:t>
      </w:r>
      <w:r w:rsidR="008F2740">
        <w:rPr>
          <w:rFonts w:ascii="Verdana" w:hAnsi="Verdana"/>
          <w:sz w:val="20"/>
          <w:szCs w:val="20"/>
          <w:lang w:val="pt-BR"/>
        </w:rPr>
        <w:t xml:space="preserve">demandar um tempo que torne inviável o </w:t>
      </w:r>
      <w:r w:rsidR="00C06A9B" w:rsidRPr="00C40BD9">
        <w:rPr>
          <w:rFonts w:ascii="Verdana" w:hAnsi="Verdana"/>
          <w:sz w:val="20"/>
          <w:szCs w:val="20"/>
          <w:lang w:val="pt-BR"/>
        </w:rPr>
        <w:t>cumprimento</w:t>
      </w:r>
      <w:r w:rsidR="00DE316A">
        <w:rPr>
          <w:rFonts w:ascii="Verdana" w:hAnsi="Verdana"/>
          <w:sz w:val="20"/>
          <w:szCs w:val="20"/>
          <w:lang w:val="pt-BR"/>
        </w:rPr>
        <w:t xml:space="preserve"> </w:t>
      </w:r>
      <w:r w:rsidR="00F633DD" w:rsidRPr="00C40BD9">
        <w:rPr>
          <w:rFonts w:ascii="Verdana" w:hAnsi="Verdana"/>
          <w:sz w:val="20"/>
          <w:szCs w:val="20"/>
          <w:lang w:val="pt-BR"/>
        </w:rPr>
        <w:t xml:space="preserve">da </w:t>
      </w:r>
      <w:r w:rsidRPr="00C40BD9">
        <w:rPr>
          <w:rFonts w:ascii="Verdana" w:hAnsi="Verdana"/>
          <w:sz w:val="20"/>
          <w:szCs w:val="20"/>
          <w:lang w:val="pt-BR"/>
        </w:rPr>
        <w:t>ob</w:t>
      </w:r>
      <w:r w:rsidR="008F2740">
        <w:rPr>
          <w:rFonts w:ascii="Verdana" w:hAnsi="Verdana"/>
          <w:sz w:val="20"/>
          <w:szCs w:val="20"/>
          <w:lang w:val="pt-BR"/>
        </w:rPr>
        <w:t>r</w:t>
      </w:r>
      <w:r w:rsidRPr="00C40BD9">
        <w:rPr>
          <w:rFonts w:ascii="Verdana" w:hAnsi="Verdana"/>
          <w:sz w:val="20"/>
          <w:szCs w:val="20"/>
          <w:lang w:val="pt-BR"/>
        </w:rPr>
        <w:t>iga</w:t>
      </w:r>
      <w:r w:rsidR="00F633DD" w:rsidRPr="00C40BD9">
        <w:rPr>
          <w:rFonts w:ascii="Verdana" w:hAnsi="Verdana"/>
          <w:sz w:val="20"/>
          <w:szCs w:val="20"/>
          <w:lang w:val="pt-BR"/>
        </w:rPr>
        <w:t>ção</w:t>
      </w:r>
      <w:r w:rsidRPr="00C40BD9">
        <w:rPr>
          <w:rFonts w:ascii="Verdana" w:hAnsi="Verdana"/>
          <w:sz w:val="20"/>
          <w:szCs w:val="20"/>
          <w:lang w:val="pt-BR"/>
        </w:rPr>
        <w:t xml:space="preserve"> </w:t>
      </w:r>
      <w:r w:rsidR="008F2740">
        <w:rPr>
          <w:rFonts w:ascii="Verdana" w:hAnsi="Verdana"/>
          <w:sz w:val="20"/>
          <w:szCs w:val="20"/>
          <w:lang w:val="pt-BR"/>
        </w:rPr>
        <w:t xml:space="preserve">no mesmo </w:t>
      </w:r>
      <w:r w:rsidRPr="00C40BD9">
        <w:rPr>
          <w:rFonts w:ascii="Verdana" w:hAnsi="Verdana"/>
          <w:sz w:val="20"/>
          <w:szCs w:val="20"/>
          <w:lang w:val="pt-BR"/>
        </w:rPr>
        <w:t>p</w:t>
      </w:r>
      <w:r w:rsidR="008F2740">
        <w:rPr>
          <w:rFonts w:ascii="Verdana" w:hAnsi="Verdana"/>
          <w:sz w:val="20"/>
          <w:szCs w:val="20"/>
          <w:lang w:val="pt-BR"/>
        </w:rPr>
        <w:t>r</w:t>
      </w:r>
      <w:r w:rsidRPr="00C40BD9">
        <w:rPr>
          <w:rFonts w:ascii="Verdana" w:hAnsi="Verdana"/>
          <w:sz w:val="20"/>
          <w:szCs w:val="20"/>
          <w:lang w:val="pt-BR"/>
        </w:rPr>
        <w:t xml:space="preserve">azo indicado </w:t>
      </w:r>
      <w:r w:rsidR="008F2740">
        <w:rPr>
          <w:rFonts w:ascii="Verdana" w:hAnsi="Verdana"/>
          <w:sz w:val="20"/>
          <w:szCs w:val="20"/>
          <w:lang w:val="pt-BR"/>
        </w:rPr>
        <w:t xml:space="preserve">no </w:t>
      </w:r>
      <w:r w:rsidR="00C06A9B" w:rsidRPr="00C40BD9">
        <w:rPr>
          <w:rFonts w:ascii="Verdana" w:hAnsi="Verdana"/>
          <w:sz w:val="20"/>
          <w:szCs w:val="20"/>
          <w:lang w:val="pt-BR"/>
        </w:rPr>
        <w:t>parágrafo</w:t>
      </w:r>
      <w:r w:rsidR="00DE316A">
        <w:rPr>
          <w:rFonts w:ascii="Verdana" w:hAnsi="Verdana"/>
          <w:sz w:val="20"/>
          <w:szCs w:val="20"/>
          <w:lang w:val="pt-BR"/>
        </w:rPr>
        <w:t xml:space="preserve"> </w:t>
      </w:r>
      <w:r w:rsidRPr="00C40BD9">
        <w:rPr>
          <w:rFonts w:ascii="Verdana" w:hAnsi="Verdana"/>
          <w:sz w:val="20"/>
          <w:szCs w:val="20"/>
          <w:lang w:val="pt-BR"/>
        </w:rPr>
        <w:t>363</w:t>
      </w:r>
      <w:r w:rsidR="008F2740">
        <w:rPr>
          <w:rFonts w:ascii="Verdana" w:hAnsi="Verdana"/>
          <w:sz w:val="20"/>
          <w:szCs w:val="20"/>
          <w:lang w:val="pt-BR"/>
        </w:rPr>
        <w:t>.</w:t>
      </w:r>
      <w:r w:rsidR="00912CB1" w:rsidRPr="00C40BD9">
        <w:rPr>
          <w:rFonts w:ascii="Verdana" w:hAnsi="Verdana"/>
          <w:sz w:val="20"/>
          <w:szCs w:val="20"/>
          <w:lang w:val="pt-BR"/>
        </w:rPr>
        <w:t xml:space="preserve"> </w:t>
      </w:r>
    </w:p>
    <w:p w:rsidR="0074017B" w:rsidRPr="00C40BD9" w:rsidRDefault="0074017B" w:rsidP="00A82FB4">
      <w:pPr>
        <w:pStyle w:val="ListParagraph"/>
        <w:spacing w:after="0" w:line="240" w:lineRule="auto"/>
        <w:ind w:left="0"/>
        <w:contextualSpacing w:val="0"/>
        <w:jc w:val="both"/>
        <w:rPr>
          <w:rFonts w:ascii="Verdana" w:hAnsi="Verdana"/>
          <w:sz w:val="20"/>
          <w:szCs w:val="20"/>
          <w:lang w:val="pt-BR"/>
        </w:rPr>
      </w:pPr>
    </w:p>
    <w:p w:rsidR="0074017B" w:rsidRPr="008F2740" w:rsidRDefault="008F2740" w:rsidP="00A82FB4">
      <w:pPr>
        <w:pStyle w:val="ListParagraph"/>
        <w:numPr>
          <w:ilvl w:val="0"/>
          <w:numId w:val="2"/>
        </w:numPr>
        <w:tabs>
          <w:tab w:val="clear" w:pos="1247"/>
        </w:tabs>
        <w:spacing w:after="0" w:line="240" w:lineRule="auto"/>
        <w:contextualSpacing w:val="0"/>
        <w:jc w:val="both"/>
        <w:rPr>
          <w:rFonts w:ascii="Verdana" w:hAnsi="Verdana"/>
          <w:sz w:val="20"/>
          <w:szCs w:val="20"/>
          <w:lang w:val="pt-BR"/>
        </w:rPr>
      </w:pPr>
      <w:r w:rsidRPr="008F2740">
        <w:rPr>
          <w:rFonts w:ascii="Verdana" w:hAnsi="Verdana"/>
          <w:sz w:val="20"/>
          <w:szCs w:val="20"/>
          <w:lang w:val="pt-BR"/>
        </w:rPr>
        <w:t>Por conseguinte</w:t>
      </w:r>
      <w:r w:rsidR="0074017B" w:rsidRPr="008F2740">
        <w:rPr>
          <w:rFonts w:ascii="Verdana" w:hAnsi="Verdana"/>
          <w:sz w:val="20"/>
          <w:szCs w:val="20"/>
          <w:lang w:val="pt-BR"/>
        </w:rPr>
        <w:t xml:space="preserve">, </w:t>
      </w:r>
      <w:r w:rsidRPr="008F2740">
        <w:rPr>
          <w:rFonts w:ascii="Verdana" w:hAnsi="Verdana"/>
          <w:sz w:val="20"/>
          <w:szCs w:val="20"/>
          <w:lang w:val="pt-BR"/>
        </w:rPr>
        <w:t xml:space="preserve">o </w:t>
      </w:r>
      <w:r w:rsidR="0074017B" w:rsidRPr="008F2740">
        <w:rPr>
          <w:rFonts w:ascii="Verdana" w:hAnsi="Verdana"/>
          <w:sz w:val="20"/>
          <w:szCs w:val="20"/>
          <w:lang w:val="pt-BR"/>
        </w:rPr>
        <w:t xml:space="preserve">Estado </w:t>
      </w:r>
      <w:r w:rsidRPr="008F2740">
        <w:rPr>
          <w:rFonts w:ascii="Verdana" w:hAnsi="Verdana"/>
          <w:sz w:val="20"/>
          <w:szCs w:val="20"/>
          <w:lang w:val="pt-BR"/>
        </w:rPr>
        <w:t xml:space="preserve">solicitou esclarecimento sobre esse </w:t>
      </w:r>
      <w:r>
        <w:rPr>
          <w:rFonts w:ascii="Verdana" w:hAnsi="Verdana"/>
          <w:sz w:val="20"/>
          <w:szCs w:val="20"/>
          <w:lang w:val="pt-BR"/>
        </w:rPr>
        <w:t>ponto, em relação ao ponto</w:t>
      </w:r>
      <w:r w:rsidR="00DE316A">
        <w:rPr>
          <w:rFonts w:ascii="Verdana" w:hAnsi="Verdana"/>
          <w:sz w:val="20"/>
          <w:szCs w:val="20"/>
          <w:lang w:val="pt-BR"/>
        </w:rPr>
        <w:t xml:space="preserve"> </w:t>
      </w:r>
      <w:r w:rsidR="00D443ED" w:rsidRPr="008F2740">
        <w:rPr>
          <w:rFonts w:ascii="Verdana" w:hAnsi="Verdana"/>
          <w:sz w:val="20"/>
          <w:szCs w:val="20"/>
          <w:lang w:val="pt-BR"/>
        </w:rPr>
        <w:t xml:space="preserve">resolutivo 21 </w:t>
      </w:r>
      <w:r w:rsidR="00F633DD" w:rsidRPr="008F2740">
        <w:rPr>
          <w:rFonts w:ascii="Verdana" w:hAnsi="Verdana"/>
          <w:sz w:val="20"/>
          <w:szCs w:val="20"/>
          <w:lang w:val="pt-BR"/>
        </w:rPr>
        <w:t>da Sentença</w:t>
      </w:r>
      <w:r w:rsidR="0074017B" w:rsidRPr="008F2740">
        <w:rPr>
          <w:rFonts w:ascii="Verdana" w:hAnsi="Verdana"/>
          <w:sz w:val="20"/>
          <w:szCs w:val="20"/>
          <w:lang w:val="pt-BR"/>
        </w:rPr>
        <w:t>, considerando as peculiaridades que incid</w:t>
      </w:r>
      <w:r>
        <w:rPr>
          <w:rFonts w:ascii="Verdana" w:hAnsi="Verdana"/>
          <w:sz w:val="20"/>
          <w:szCs w:val="20"/>
          <w:lang w:val="pt-BR"/>
        </w:rPr>
        <w:t xml:space="preserve">irão </w:t>
      </w:r>
      <w:r w:rsidR="0074017B" w:rsidRPr="008F2740">
        <w:rPr>
          <w:rFonts w:ascii="Verdana" w:hAnsi="Verdana"/>
          <w:sz w:val="20"/>
          <w:szCs w:val="20"/>
          <w:lang w:val="pt-BR"/>
        </w:rPr>
        <w:t>caso algu</w:t>
      </w:r>
      <w:r>
        <w:rPr>
          <w:rFonts w:ascii="Verdana" w:hAnsi="Verdana"/>
          <w:sz w:val="20"/>
          <w:szCs w:val="20"/>
          <w:lang w:val="pt-BR"/>
        </w:rPr>
        <w:t>m</w:t>
      </w:r>
      <w:r w:rsidR="0074017B" w:rsidRPr="008F2740">
        <w:rPr>
          <w:rFonts w:ascii="Verdana" w:hAnsi="Verdana"/>
          <w:sz w:val="20"/>
          <w:szCs w:val="20"/>
          <w:lang w:val="pt-BR"/>
        </w:rPr>
        <w:t xml:space="preserve"> </w:t>
      </w:r>
      <w:r w:rsidR="00C06A9B" w:rsidRPr="008F2740">
        <w:rPr>
          <w:rFonts w:ascii="Verdana" w:hAnsi="Verdana"/>
          <w:sz w:val="20"/>
          <w:szCs w:val="20"/>
          <w:lang w:val="pt-BR"/>
        </w:rPr>
        <w:t xml:space="preserve">dos </w:t>
      </w:r>
      <w:r w:rsidR="0074017B" w:rsidRPr="008F2740">
        <w:rPr>
          <w:rFonts w:ascii="Verdana" w:hAnsi="Verdana"/>
          <w:sz w:val="20"/>
          <w:szCs w:val="20"/>
          <w:lang w:val="pt-BR"/>
        </w:rPr>
        <w:t>benefici</w:t>
      </w:r>
      <w:r>
        <w:rPr>
          <w:rFonts w:ascii="Verdana" w:hAnsi="Verdana"/>
          <w:sz w:val="20"/>
          <w:szCs w:val="20"/>
          <w:lang w:val="pt-BR"/>
        </w:rPr>
        <w:t>á</w:t>
      </w:r>
      <w:r w:rsidR="0074017B" w:rsidRPr="008F2740">
        <w:rPr>
          <w:rFonts w:ascii="Verdana" w:hAnsi="Verdana"/>
          <w:sz w:val="20"/>
          <w:szCs w:val="20"/>
          <w:lang w:val="pt-BR"/>
        </w:rPr>
        <w:t xml:space="preserve">rios </w:t>
      </w:r>
      <w:r>
        <w:rPr>
          <w:rFonts w:ascii="Verdana" w:hAnsi="Verdana"/>
          <w:sz w:val="20"/>
          <w:szCs w:val="20"/>
          <w:lang w:val="pt-BR"/>
        </w:rPr>
        <w:t xml:space="preserve">tenha </w:t>
      </w:r>
      <w:r w:rsidR="0074017B" w:rsidRPr="008F2740">
        <w:rPr>
          <w:rFonts w:ascii="Verdana" w:hAnsi="Verdana"/>
          <w:sz w:val="20"/>
          <w:szCs w:val="20"/>
          <w:lang w:val="pt-BR"/>
        </w:rPr>
        <w:t>falecido o</w:t>
      </w:r>
      <w:r>
        <w:rPr>
          <w:rFonts w:ascii="Verdana" w:hAnsi="Verdana"/>
          <w:sz w:val="20"/>
          <w:szCs w:val="20"/>
          <w:lang w:val="pt-BR"/>
        </w:rPr>
        <w:t>u</w:t>
      </w:r>
      <w:r w:rsidR="0074017B" w:rsidRPr="008F2740">
        <w:rPr>
          <w:rFonts w:ascii="Verdana" w:hAnsi="Verdana"/>
          <w:sz w:val="20"/>
          <w:szCs w:val="20"/>
          <w:lang w:val="pt-BR"/>
        </w:rPr>
        <w:t xml:space="preserve"> </w:t>
      </w:r>
      <w:r w:rsidR="00C94D4C">
        <w:rPr>
          <w:rFonts w:ascii="Verdana" w:hAnsi="Verdana"/>
          <w:sz w:val="20"/>
          <w:szCs w:val="20"/>
          <w:lang w:val="pt-BR"/>
        </w:rPr>
        <w:t>venha a falecer</w:t>
      </w:r>
      <w:r w:rsidR="0074017B" w:rsidRPr="008F2740">
        <w:rPr>
          <w:rFonts w:ascii="Verdana" w:hAnsi="Verdana"/>
          <w:sz w:val="20"/>
          <w:szCs w:val="20"/>
          <w:lang w:val="pt-BR"/>
        </w:rPr>
        <w:t xml:space="preserve"> antes que </w:t>
      </w:r>
      <w:r>
        <w:rPr>
          <w:rFonts w:ascii="Verdana" w:hAnsi="Verdana"/>
          <w:sz w:val="20"/>
          <w:szCs w:val="20"/>
          <w:lang w:val="pt-BR"/>
        </w:rPr>
        <w:t xml:space="preserve">lhe seja </w:t>
      </w:r>
      <w:r w:rsidR="0074017B" w:rsidRPr="008F2740">
        <w:rPr>
          <w:rFonts w:ascii="Verdana" w:hAnsi="Verdana"/>
          <w:sz w:val="20"/>
          <w:szCs w:val="20"/>
          <w:lang w:val="pt-BR"/>
        </w:rPr>
        <w:t>entreg</w:t>
      </w:r>
      <w:r>
        <w:rPr>
          <w:rFonts w:ascii="Verdana" w:hAnsi="Verdana"/>
          <w:sz w:val="20"/>
          <w:szCs w:val="20"/>
          <w:lang w:val="pt-BR"/>
        </w:rPr>
        <w:t xml:space="preserve">ue a </w:t>
      </w:r>
      <w:r w:rsidR="0074017B" w:rsidRPr="008F2740">
        <w:rPr>
          <w:rFonts w:ascii="Verdana" w:hAnsi="Verdana"/>
          <w:sz w:val="20"/>
          <w:szCs w:val="20"/>
          <w:lang w:val="pt-BR"/>
        </w:rPr>
        <w:t>indeniza</w:t>
      </w:r>
      <w:r w:rsidR="00F633DD" w:rsidRPr="008F2740">
        <w:rPr>
          <w:rFonts w:ascii="Verdana" w:hAnsi="Verdana"/>
          <w:sz w:val="20"/>
          <w:szCs w:val="20"/>
          <w:lang w:val="pt-BR"/>
        </w:rPr>
        <w:t>ç</w:t>
      </w:r>
      <w:r w:rsidR="00DE3814">
        <w:rPr>
          <w:rFonts w:ascii="Verdana" w:hAnsi="Verdana"/>
          <w:sz w:val="20"/>
          <w:szCs w:val="20"/>
          <w:lang w:val="pt-BR"/>
        </w:rPr>
        <w:t>ão</w:t>
      </w:r>
      <w:r w:rsidR="0074017B" w:rsidRPr="008F2740">
        <w:rPr>
          <w:rFonts w:ascii="Verdana" w:hAnsi="Verdana"/>
          <w:sz w:val="20"/>
          <w:szCs w:val="20"/>
          <w:lang w:val="pt-BR"/>
        </w:rPr>
        <w:t xml:space="preserve"> respectiva. </w:t>
      </w:r>
    </w:p>
    <w:p w:rsidR="0074017B" w:rsidRPr="008F2740" w:rsidRDefault="0074017B" w:rsidP="00A82FB4">
      <w:pPr>
        <w:pStyle w:val="ListParagraph"/>
        <w:spacing w:after="0" w:line="240" w:lineRule="auto"/>
        <w:ind w:left="0"/>
        <w:contextualSpacing w:val="0"/>
        <w:jc w:val="both"/>
        <w:rPr>
          <w:rFonts w:ascii="Verdana" w:hAnsi="Verdana"/>
          <w:sz w:val="20"/>
          <w:szCs w:val="20"/>
          <w:lang w:val="pt-BR"/>
        </w:rPr>
      </w:pPr>
    </w:p>
    <w:p w:rsidR="0074017B" w:rsidRPr="00C40BD9" w:rsidRDefault="008927ED" w:rsidP="00A82FB4">
      <w:pPr>
        <w:pStyle w:val="ListParagraph"/>
        <w:numPr>
          <w:ilvl w:val="0"/>
          <w:numId w:val="2"/>
        </w:numPr>
        <w:tabs>
          <w:tab w:val="clear" w:pos="1247"/>
        </w:tabs>
        <w:spacing w:after="0" w:line="240" w:lineRule="auto"/>
        <w:contextualSpacing w:val="0"/>
        <w:jc w:val="both"/>
        <w:rPr>
          <w:rFonts w:ascii="Verdana" w:hAnsi="Verdana"/>
          <w:sz w:val="20"/>
          <w:szCs w:val="20"/>
          <w:lang w:val="pt-BR"/>
        </w:rPr>
      </w:pPr>
      <w:r w:rsidRPr="008F2740">
        <w:rPr>
          <w:rFonts w:ascii="Verdana" w:hAnsi="Verdana"/>
          <w:sz w:val="20"/>
          <w:szCs w:val="20"/>
          <w:lang w:val="pt-BR"/>
        </w:rPr>
        <w:t xml:space="preserve"> </w:t>
      </w:r>
      <w:r w:rsidR="008F2740">
        <w:rPr>
          <w:rFonts w:ascii="Verdana" w:hAnsi="Verdana"/>
          <w:sz w:val="20"/>
          <w:szCs w:val="20"/>
          <w:lang w:val="pt-BR"/>
        </w:rPr>
        <w:t>Os</w:t>
      </w:r>
      <w:r w:rsidR="0074017B" w:rsidRPr="00C40BD9">
        <w:rPr>
          <w:rFonts w:ascii="Verdana" w:hAnsi="Verdana"/>
          <w:sz w:val="20"/>
          <w:szCs w:val="20"/>
          <w:lang w:val="pt-BR"/>
        </w:rPr>
        <w:t xml:space="preserve"> </w:t>
      </w:r>
      <w:r w:rsidR="0074017B" w:rsidRPr="00C40BD9">
        <w:rPr>
          <w:rFonts w:ascii="Verdana" w:hAnsi="Verdana"/>
          <w:b/>
          <w:i/>
          <w:sz w:val="20"/>
          <w:szCs w:val="20"/>
          <w:lang w:val="pt-BR"/>
        </w:rPr>
        <w:t>representantes</w:t>
      </w:r>
      <w:r w:rsidR="0074017B" w:rsidRPr="00C40BD9">
        <w:rPr>
          <w:rFonts w:ascii="Verdana" w:hAnsi="Verdana"/>
          <w:sz w:val="20"/>
          <w:szCs w:val="20"/>
          <w:lang w:val="pt-BR"/>
        </w:rPr>
        <w:t xml:space="preserve"> res</w:t>
      </w:r>
      <w:r w:rsidR="008F2740">
        <w:rPr>
          <w:rFonts w:ascii="Verdana" w:hAnsi="Verdana"/>
          <w:sz w:val="20"/>
          <w:szCs w:val="20"/>
          <w:lang w:val="pt-BR"/>
        </w:rPr>
        <w:t xml:space="preserve">saltaram que qualquer </w:t>
      </w:r>
      <w:r w:rsidR="0074017B" w:rsidRPr="00C40BD9">
        <w:rPr>
          <w:rFonts w:ascii="Verdana" w:hAnsi="Verdana"/>
          <w:sz w:val="20"/>
          <w:szCs w:val="20"/>
          <w:lang w:val="pt-BR"/>
        </w:rPr>
        <w:t>eventual dificul</w:t>
      </w:r>
      <w:r w:rsidR="008F2740">
        <w:rPr>
          <w:rFonts w:ascii="Verdana" w:hAnsi="Verdana"/>
          <w:sz w:val="20"/>
          <w:szCs w:val="20"/>
          <w:lang w:val="pt-BR"/>
        </w:rPr>
        <w:t>d</w:t>
      </w:r>
      <w:r w:rsidR="0074017B" w:rsidRPr="00C40BD9">
        <w:rPr>
          <w:rFonts w:ascii="Verdana" w:hAnsi="Verdana"/>
          <w:sz w:val="20"/>
          <w:szCs w:val="20"/>
          <w:lang w:val="pt-BR"/>
        </w:rPr>
        <w:t>ad</w:t>
      </w:r>
      <w:r w:rsidR="008F2740">
        <w:rPr>
          <w:rFonts w:ascii="Verdana" w:hAnsi="Verdana"/>
          <w:sz w:val="20"/>
          <w:szCs w:val="20"/>
          <w:lang w:val="pt-BR"/>
        </w:rPr>
        <w:t>e</w:t>
      </w:r>
      <w:r w:rsidR="0074017B" w:rsidRPr="00C40BD9">
        <w:rPr>
          <w:rFonts w:ascii="Verdana" w:hAnsi="Verdana"/>
          <w:sz w:val="20"/>
          <w:szCs w:val="20"/>
          <w:lang w:val="pt-BR"/>
        </w:rPr>
        <w:t xml:space="preserve"> </w:t>
      </w:r>
      <w:r w:rsidR="00970B13" w:rsidRPr="00C40BD9">
        <w:rPr>
          <w:rFonts w:ascii="Verdana" w:hAnsi="Verdana"/>
          <w:sz w:val="20"/>
          <w:szCs w:val="20"/>
          <w:lang w:val="pt-BR"/>
        </w:rPr>
        <w:t xml:space="preserve">do Estado </w:t>
      </w:r>
      <w:r w:rsidR="0074017B" w:rsidRPr="00C40BD9">
        <w:rPr>
          <w:rFonts w:ascii="Verdana" w:hAnsi="Verdana"/>
          <w:sz w:val="20"/>
          <w:szCs w:val="20"/>
          <w:lang w:val="pt-BR"/>
        </w:rPr>
        <w:t>para cump</w:t>
      </w:r>
      <w:r w:rsidR="008F2740">
        <w:rPr>
          <w:rFonts w:ascii="Verdana" w:hAnsi="Verdana"/>
          <w:sz w:val="20"/>
          <w:szCs w:val="20"/>
          <w:lang w:val="pt-BR"/>
        </w:rPr>
        <w:t>r</w:t>
      </w:r>
      <w:r w:rsidR="0074017B" w:rsidRPr="00C40BD9">
        <w:rPr>
          <w:rFonts w:ascii="Verdana" w:hAnsi="Verdana"/>
          <w:sz w:val="20"/>
          <w:szCs w:val="20"/>
          <w:lang w:val="pt-BR"/>
        </w:rPr>
        <w:t>ir os p</w:t>
      </w:r>
      <w:r w:rsidR="008F2740">
        <w:rPr>
          <w:rFonts w:ascii="Verdana" w:hAnsi="Verdana"/>
          <w:sz w:val="20"/>
          <w:szCs w:val="20"/>
          <w:lang w:val="pt-BR"/>
        </w:rPr>
        <w:t>r</w:t>
      </w:r>
      <w:r w:rsidR="0074017B" w:rsidRPr="00C40BD9">
        <w:rPr>
          <w:rFonts w:ascii="Verdana" w:hAnsi="Verdana"/>
          <w:sz w:val="20"/>
          <w:szCs w:val="20"/>
          <w:lang w:val="pt-BR"/>
        </w:rPr>
        <w:t>azos estab</w:t>
      </w:r>
      <w:r w:rsidR="008F2740">
        <w:rPr>
          <w:rFonts w:ascii="Verdana" w:hAnsi="Verdana"/>
          <w:sz w:val="20"/>
          <w:szCs w:val="20"/>
          <w:lang w:val="pt-BR"/>
        </w:rPr>
        <w:t>e</w:t>
      </w:r>
      <w:r w:rsidR="0074017B" w:rsidRPr="00C40BD9">
        <w:rPr>
          <w:rFonts w:ascii="Verdana" w:hAnsi="Verdana"/>
          <w:sz w:val="20"/>
          <w:szCs w:val="20"/>
          <w:lang w:val="pt-BR"/>
        </w:rPr>
        <w:t>lecidos p</w:t>
      </w:r>
      <w:r w:rsidR="008F2740">
        <w:rPr>
          <w:rFonts w:ascii="Verdana" w:hAnsi="Verdana"/>
          <w:sz w:val="20"/>
          <w:szCs w:val="20"/>
          <w:lang w:val="pt-BR"/>
        </w:rPr>
        <w:t xml:space="preserve">ela </w:t>
      </w:r>
      <w:r w:rsidR="00036A1B" w:rsidRPr="00C40BD9">
        <w:rPr>
          <w:rFonts w:ascii="Verdana" w:hAnsi="Verdana"/>
          <w:sz w:val="20"/>
          <w:szCs w:val="20"/>
          <w:lang w:val="pt-BR"/>
        </w:rPr>
        <w:t xml:space="preserve">Corte </w:t>
      </w:r>
      <w:r w:rsidR="006770ED" w:rsidRPr="00C40BD9">
        <w:rPr>
          <w:rFonts w:ascii="Verdana" w:hAnsi="Verdana"/>
          <w:sz w:val="20"/>
          <w:szCs w:val="20"/>
          <w:lang w:val="pt-BR"/>
        </w:rPr>
        <w:t>deve</w:t>
      </w:r>
      <w:r w:rsidR="00DE316A">
        <w:rPr>
          <w:rFonts w:ascii="Verdana" w:hAnsi="Verdana"/>
          <w:sz w:val="20"/>
          <w:szCs w:val="20"/>
          <w:lang w:val="pt-BR"/>
        </w:rPr>
        <w:t xml:space="preserve"> </w:t>
      </w:r>
      <w:r w:rsidR="0074017B" w:rsidRPr="00C40BD9">
        <w:rPr>
          <w:rFonts w:ascii="Verdana" w:hAnsi="Verdana"/>
          <w:sz w:val="20"/>
          <w:szCs w:val="20"/>
          <w:lang w:val="pt-BR"/>
        </w:rPr>
        <w:t xml:space="preserve">ser solucionada durante </w:t>
      </w:r>
      <w:r w:rsidR="008F2740">
        <w:rPr>
          <w:rFonts w:ascii="Verdana" w:hAnsi="Verdana"/>
          <w:sz w:val="20"/>
          <w:szCs w:val="20"/>
          <w:lang w:val="pt-BR"/>
        </w:rPr>
        <w:t>o processo</w:t>
      </w:r>
      <w:r w:rsidR="00DE316A">
        <w:rPr>
          <w:rFonts w:ascii="Verdana" w:hAnsi="Verdana"/>
          <w:sz w:val="20"/>
          <w:szCs w:val="20"/>
          <w:lang w:val="pt-BR"/>
        </w:rPr>
        <w:t xml:space="preserve"> </w:t>
      </w:r>
      <w:r w:rsidR="0074017B" w:rsidRPr="00C40BD9">
        <w:rPr>
          <w:rFonts w:ascii="Verdana" w:hAnsi="Verdana"/>
          <w:sz w:val="20"/>
          <w:szCs w:val="20"/>
          <w:lang w:val="pt-BR"/>
        </w:rPr>
        <w:t>de supervis</w:t>
      </w:r>
      <w:r w:rsidR="008F2740">
        <w:rPr>
          <w:rFonts w:ascii="Verdana" w:hAnsi="Verdana"/>
          <w:sz w:val="20"/>
          <w:szCs w:val="20"/>
          <w:lang w:val="pt-BR"/>
        </w:rPr>
        <w:t xml:space="preserve">ão </w:t>
      </w:r>
      <w:r w:rsidR="0074017B" w:rsidRPr="00C40BD9">
        <w:rPr>
          <w:rFonts w:ascii="Verdana" w:hAnsi="Verdana"/>
          <w:sz w:val="20"/>
          <w:szCs w:val="20"/>
          <w:lang w:val="pt-BR"/>
        </w:rPr>
        <w:t xml:space="preserve">de </w:t>
      </w:r>
      <w:r w:rsidR="00C06A9B" w:rsidRPr="00C40BD9">
        <w:rPr>
          <w:rFonts w:ascii="Verdana" w:hAnsi="Verdana"/>
          <w:sz w:val="20"/>
          <w:szCs w:val="20"/>
          <w:lang w:val="pt-BR"/>
        </w:rPr>
        <w:t>cumprimento</w:t>
      </w:r>
      <w:r w:rsidR="00DE316A">
        <w:rPr>
          <w:rFonts w:ascii="Verdana" w:hAnsi="Verdana"/>
          <w:sz w:val="20"/>
          <w:szCs w:val="20"/>
          <w:lang w:val="pt-BR"/>
        </w:rPr>
        <w:t xml:space="preserve"> </w:t>
      </w:r>
      <w:r w:rsidR="0074017B" w:rsidRPr="00C40BD9">
        <w:rPr>
          <w:rFonts w:ascii="Verdana" w:hAnsi="Verdana"/>
          <w:sz w:val="20"/>
          <w:szCs w:val="20"/>
          <w:lang w:val="pt-BR"/>
        </w:rPr>
        <w:t xml:space="preserve">de </w:t>
      </w:r>
      <w:r w:rsidR="00C06A9B" w:rsidRPr="00C40BD9">
        <w:rPr>
          <w:rFonts w:ascii="Verdana" w:hAnsi="Verdana"/>
          <w:sz w:val="20"/>
          <w:szCs w:val="20"/>
          <w:lang w:val="pt-BR"/>
        </w:rPr>
        <w:t>sentença</w:t>
      </w:r>
      <w:r w:rsidR="008F2740">
        <w:rPr>
          <w:rFonts w:ascii="Verdana" w:hAnsi="Verdana"/>
          <w:sz w:val="20"/>
          <w:szCs w:val="20"/>
          <w:lang w:val="pt-BR"/>
        </w:rPr>
        <w:t>.</w:t>
      </w:r>
      <w:r w:rsidR="00DE316A">
        <w:rPr>
          <w:rFonts w:ascii="Verdana" w:hAnsi="Verdana"/>
          <w:sz w:val="20"/>
          <w:szCs w:val="20"/>
          <w:lang w:val="pt-BR"/>
        </w:rPr>
        <w:t xml:space="preserve"> </w:t>
      </w:r>
    </w:p>
    <w:p w:rsidR="0074017B" w:rsidRPr="00C40BD9" w:rsidRDefault="0074017B" w:rsidP="00A82FB4">
      <w:pPr>
        <w:pStyle w:val="ListParagraph"/>
        <w:spacing w:after="0" w:line="240" w:lineRule="auto"/>
        <w:ind w:left="0"/>
        <w:contextualSpacing w:val="0"/>
        <w:jc w:val="both"/>
        <w:rPr>
          <w:rFonts w:ascii="Verdana" w:hAnsi="Verdana"/>
          <w:sz w:val="20"/>
          <w:szCs w:val="20"/>
          <w:lang w:val="pt-BR"/>
        </w:rPr>
      </w:pPr>
    </w:p>
    <w:p w:rsidR="0074017B" w:rsidRPr="00C40BD9" w:rsidRDefault="0074017B" w:rsidP="00A82FB4">
      <w:pPr>
        <w:pStyle w:val="ListParagraph"/>
        <w:numPr>
          <w:ilvl w:val="0"/>
          <w:numId w:val="2"/>
        </w:numPr>
        <w:tabs>
          <w:tab w:val="clear" w:pos="1247"/>
        </w:tabs>
        <w:spacing w:after="0" w:line="240" w:lineRule="auto"/>
        <w:contextualSpacing w:val="0"/>
        <w:jc w:val="both"/>
        <w:rPr>
          <w:rFonts w:ascii="Verdana" w:hAnsi="Verdana"/>
          <w:color w:val="FF0000"/>
          <w:sz w:val="20"/>
          <w:szCs w:val="20"/>
          <w:lang w:val="pt-BR"/>
        </w:rPr>
      </w:pPr>
      <w:r w:rsidRPr="00C40BD9">
        <w:rPr>
          <w:rFonts w:ascii="Verdana" w:hAnsi="Verdana"/>
          <w:sz w:val="20"/>
          <w:szCs w:val="20"/>
          <w:lang w:val="pt-BR"/>
        </w:rPr>
        <w:t xml:space="preserve">Sobre </w:t>
      </w:r>
      <w:r w:rsidR="008F2740">
        <w:rPr>
          <w:rFonts w:ascii="Verdana" w:hAnsi="Verdana"/>
          <w:sz w:val="20"/>
          <w:szCs w:val="20"/>
          <w:lang w:val="pt-BR"/>
        </w:rPr>
        <w:t xml:space="preserve">o </w:t>
      </w:r>
      <w:r w:rsidRPr="00C40BD9">
        <w:rPr>
          <w:rFonts w:ascii="Verdana" w:hAnsi="Verdana"/>
          <w:sz w:val="20"/>
          <w:szCs w:val="20"/>
          <w:lang w:val="pt-BR"/>
        </w:rPr>
        <w:t xml:space="preserve">argumento </w:t>
      </w:r>
      <w:r w:rsidR="00970B13" w:rsidRPr="00C40BD9">
        <w:rPr>
          <w:rFonts w:ascii="Verdana" w:hAnsi="Verdana"/>
          <w:sz w:val="20"/>
          <w:szCs w:val="20"/>
          <w:lang w:val="pt-BR"/>
        </w:rPr>
        <w:t>do Estado</w:t>
      </w:r>
      <w:r w:rsidR="00C94D4C">
        <w:rPr>
          <w:rFonts w:ascii="Verdana" w:hAnsi="Verdana"/>
          <w:sz w:val="20"/>
          <w:szCs w:val="20"/>
          <w:lang w:val="pt-BR"/>
        </w:rPr>
        <w:t>,</w:t>
      </w:r>
      <w:r w:rsidR="00970B13" w:rsidRPr="00C40BD9">
        <w:rPr>
          <w:rFonts w:ascii="Verdana" w:hAnsi="Verdana"/>
          <w:sz w:val="20"/>
          <w:szCs w:val="20"/>
          <w:lang w:val="pt-BR"/>
        </w:rPr>
        <w:t xml:space="preserve"> </w:t>
      </w:r>
      <w:r w:rsidRPr="00C40BD9">
        <w:rPr>
          <w:rFonts w:ascii="Verdana" w:hAnsi="Verdana"/>
          <w:sz w:val="20"/>
          <w:szCs w:val="20"/>
          <w:lang w:val="pt-BR"/>
        </w:rPr>
        <w:t>de</w:t>
      </w:r>
      <w:r w:rsidR="00C94D4C">
        <w:rPr>
          <w:rFonts w:ascii="Verdana" w:hAnsi="Verdana"/>
          <w:sz w:val="20"/>
          <w:szCs w:val="20"/>
          <w:lang w:val="pt-BR"/>
        </w:rPr>
        <w:t xml:space="preserve"> que</w:t>
      </w:r>
      <w:r w:rsidR="008F2740">
        <w:rPr>
          <w:rFonts w:ascii="Verdana" w:hAnsi="Verdana"/>
          <w:sz w:val="20"/>
          <w:szCs w:val="20"/>
          <w:lang w:val="pt-BR"/>
        </w:rPr>
        <w:t xml:space="preserve">, no caso de beneficiários já falecidos, o pagamento </w:t>
      </w:r>
      <w:r w:rsidR="00C06A9B" w:rsidRPr="00C40BD9">
        <w:rPr>
          <w:rFonts w:ascii="Verdana" w:hAnsi="Verdana"/>
          <w:sz w:val="20"/>
          <w:szCs w:val="20"/>
          <w:lang w:val="pt-BR"/>
        </w:rPr>
        <w:t xml:space="preserve">das </w:t>
      </w:r>
      <w:r w:rsidRPr="00C40BD9">
        <w:rPr>
          <w:rFonts w:ascii="Verdana" w:hAnsi="Verdana"/>
          <w:sz w:val="20"/>
          <w:szCs w:val="20"/>
          <w:lang w:val="pt-BR"/>
        </w:rPr>
        <w:t>indeniza</w:t>
      </w:r>
      <w:r w:rsidR="00F633DD" w:rsidRPr="00C40BD9">
        <w:rPr>
          <w:rFonts w:ascii="Verdana" w:hAnsi="Verdana"/>
          <w:sz w:val="20"/>
          <w:szCs w:val="20"/>
          <w:lang w:val="pt-BR"/>
        </w:rPr>
        <w:t>ções</w:t>
      </w:r>
      <w:r w:rsidRPr="00C40BD9">
        <w:rPr>
          <w:rFonts w:ascii="Verdana" w:hAnsi="Verdana"/>
          <w:sz w:val="20"/>
          <w:szCs w:val="20"/>
          <w:lang w:val="pt-BR"/>
        </w:rPr>
        <w:t xml:space="preserve"> depender</w:t>
      </w:r>
      <w:r w:rsidR="008F2740">
        <w:rPr>
          <w:rFonts w:ascii="Verdana" w:hAnsi="Verdana"/>
          <w:sz w:val="20"/>
          <w:szCs w:val="20"/>
          <w:lang w:val="pt-BR"/>
        </w:rPr>
        <w:t>i</w:t>
      </w:r>
      <w:r w:rsidRPr="00C40BD9">
        <w:rPr>
          <w:rFonts w:ascii="Verdana" w:hAnsi="Verdana"/>
          <w:sz w:val="20"/>
          <w:szCs w:val="20"/>
          <w:lang w:val="pt-BR"/>
        </w:rPr>
        <w:t xml:space="preserve">a </w:t>
      </w:r>
      <w:r w:rsidR="00F633DD" w:rsidRPr="00C40BD9">
        <w:rPr>
          <w:rFonts w:ascii="Verdana" w:hAnsi="Verdana"/>
          <w:sz w:val="20"/>
          <w:szCs w:val="20"/>
          <w:lang w:val="pt-BR"/>
        </w:rPr>
        <w:t xml:space="preserve">da </w:t>
      </w:r>
      <w:r w:rsidR="008F2740">
        <w:rPr>
          <w:rFonts w:ascii="Verdana" w:hAnsi="Verdana"/>
          <w:sz w:val="20"/>
          <w:szCs w:val="20"/>
          <w:lang w:val="pt-BR"/>
        </w:rPr>
        <w:t xml:space="preserve">conclusão </w:t>
      </w:r>
      <w:r w:rsidRPr="00C40BD9">
        <w:rPr>
          <w:rFonts w:ascii="Verdana" w:hAnsi="Verdana"/>
          <w:sz w:val="20"/>
          <w:szCs w:val="20"/>
          <w:lang w:val="pt-BR"/>
        </w:rPr>
        <w:t xml:space="preserve">de </w:t>
      </w:r>
      <w:r w:rsidR="00C94D4C">
        <w:rPr>
          <w:rFonts w:ascii="Verdana" w:hAnsi="Verdana"/>
          <w:sz w:val="20"/>
          <w:szCs w:val="20"/>
          <w:lang w:val="pt-BR"/>
        </w:rPr>
        <w:t>processos</w:t>
      </w:r>
      <w:r w:rsidRPr="00C40BD9">
        <w:rPr>
          <w:rFonts w:ascii="Verdana" w:hAnsi="Verdana"/>
          <w:sz w:val="20"/>
          <w:szCs w:val="20"/>
          <w:lang w:val="pt-BR"/>
        </w:rPr>
        <w:t xml:space="preserve"> suces</w:t>
      </w:r>
      <w:r w:rsidR="008F2740">
        <w:rPr>
          <w:rFonts w:ascii="Verdana" w:hAnsi="Verdana"/>
          <w:sz w:val="20"/>
          <w:szCs w:val="20"/>
          <w:lang w:val="pt-BR"/>
        </w:rPr>
        <w:t>só</w:t>
      </w:r>
      <w:r w:rsidRPr="00C40BD9">
        <w:rPr>
          <w:rFonts w:ascii="Verdana" w:hAnsi="Verdana"/>
          <w:sz w:val="20"/>
          <w:szCs w:val="20"/>
          <w:lang w:val="pt-BR"/>
        </w:rPr>
        <w:t xml:space="preserve">rios, </w:t>
      </w:r>
      <w:r w:rsidR="00C06A9B" w:rsidRPr="00C40BD9">
        <w:rPr>
          <w:rFonts w:ascii="Verdana" w:hAnsi="Verdana"/>
          <w:sz w:val="20"/>
          <w:szCs w:val="20"/>
          <w:lang w:val="pt-BR"/>
        </w:rPr>
        <w:t xml:space="preserve">os representantes </w:t>
      </w:r>
      <w:r w:rsidR="008F2740">
        <w:rPr>
          <w:rFonts w:ascii="Verdana" w:hAnsi="Verdana"/>
          <w:sz w:val="20"/>
          <w:szCs w:val="20"/>
          <w:lang w:val="pt-BR"/>
        </w:rPr>
        <w:t xml:space="preserve">salientaram que um </w:t>
      </w:r>
      <w:r w:rsidRPr="00C40BD9">
        <w:rPr>
          <w:rFonts w:ascii="Verdana" w:hAnsi="Verdana"/>
          <w:sz w:val="20"/>
          <w:szCs w:val="20"/>
          <w:lang w:val="pt-BR"/>
        </w:rPr>
        <w:t>Estado n</w:t>
      </w:r>
      <w:r w:rsidR="008F2740">
        <w:rPr>
          <w:rFonts w:ascii="Verdana" w:hAnsi="Verdana"/>
          <w:sz w:val="20"/>
          <w:szCs w:val="20"/>
          <w:lang w:val="pt-BR"/>
        </w:rPr>
        <w:t>ã</w:t>
      </w:r>
      <w:r w:rsidRPr="00C40BD9">
        <w:rPr>
          <w:rFonts w:ascii="Verdana" w:hAnsi="Verdana"/>
          <w:sz w:val="20"/>
          <w:szCs w:val="20"/>
          <w:lang w:val="pt-BR"/>
        </w:rPr>
        <w:t xml:space="preserve">o </w:t>
      </w:r>
      <w:r w:rsidR="006770ED" w:rsidRPr="00C40BD9">
        <w:rPr>
          <w:rFonts w:ascii="Verdana" w:hAnsi="Verdana"/>
          <w:sz w:val="20"/>
          <w:szCs w:val="20"/>
          <w:lang w:val="pt-BR"/>
        </w:rPr>
        <w:t>pode</w:t>
      </w:r>
      <w:r w:rsidR="00DE316A">
        <w:rPr>
          <w:rFonts w:ascii="Verdana" w:hAnsi="Verdana"/>
          <w:sz w:val="20"/>
          <w:szCs w:val="20"/>
          <w:lang w:val="pt-BR"/>
        </w:rPr>
        <w:t xml:space="preserve"> </w:t>
      </w:r>
      <w:r w:rsidRPr="00C40BD9">
        <w:rPr>
          <w:rFonts w:ascii="Verdana" w:hAnsi="Verdana"/>
          <w:sz w:val="20"/>
          <w:szCs w:val="20"/>
          <w:lang w:val="pt-BR"/>
        </w:rPr>
        <w:t xml:space="preserve">alegar </w:t>
      </w:r>
      <w:r w:rsidR="004A13CC" w:rsidRPr="00C40BD9">
        <w:rPr>
          <w:rFonts w:ascii="Verdana" w:hAnsi="Verdana"/>
          <w:sz w:val="20"/>
          <w:szCs w:val="20"/>
          <w:lang w:val="pt-BR"/>
        </w:rPr>
        <w:t>razões</w:t>
      </w:r>
      <w:r w:rsidR="00DE316A">
        <w:rPr>
          <w:rFonts w:ascii="Verdana" w:hAnsi="Verdana"/>
          <w:sz w:val="20"/>
          <w:szCs w:val="20"/>
          <w:lang w:val="pt-BR"/>
        </w:rPr>
        <w:t xml:space="preserve"> </w:t>
      </w:r>
      <w:r w:rsidRPr="00C40BD9">
        <w:rPr>
          <w:rFonts w:ascii="Verdana" w:hAnsi="Verdana"/>
          <w:sz w:val="20"/>
          <w:szCs w:val="20"/>
          <w:lang w:val="pt-BR"/>
        </w:rPr>
        <w:t xml:space="preserve">de </w:t>
      </w:r>
      <w:r w:rsidR="000814BE" w:rsidRPr="00C40BD9">
        <w:rPr>
          <w:rFonts w:ascii="Verdana" w:hAnsi="Verdana"/>
          <w:sz w:val="20"/>
          <w:szCs w:val="20"/>
          <w:lang w:val="pt-BR"/>
        </w:rPr>
        <w:t>ordem</w:t>
      </w:r>
      <w:r w:rsidR="00DE316A">
        <w:rPr>
          <w:rFonts w:ascii="Verdana" w:hAnsi="Verdana"/>
          <w:sz w:val="20"/>
          <w:szCs w:val="20"/>
          <w:lang w:val="pt-BR"/>
        </w:rPr>
        <w:t xml:space="preserve"> </w:t>
      </w:r>
      <w:r w:rsidRPr="00C40BD9">
        <w:rPr>
          <w:rFonts w:ascii="Verdana" w:hAnsi="Verdana"/>
          <w:sz w:val="20"/>
          <w:szCs w:val="20"/>
          <w:lang w:val="pt-BR"/>
        </w:rPr>
        <w:t>intern</w:t>
      </w:r>
      <w:r w:rsidR="008F2740">
        <w:rPr>
          <w:rFonts w:ascii="Verdana" w:hAnsi="Verdana"/>
          <w:sz w:val="20"/>
          <w:szCs w:val="20"/>
          <w:lang w:val="pt-BR"/>
        </w:rPr>
        <w:t>a</w:t>
      </w:r>
      <w:r w:rsidRPr="00C40BD9">
        <w:rPr>
          <w:rFonts w:ascii="Verdana" w:hAnsi="Verdana"/>
          <w:sz w:val="20"/>
          <w:szCs w:val="20"/>
          <w:lang w:val="pt-BR"/>
        </w:rPr>
        <w:t xml:space="preserve"> para de</w:t>
      </w:r>
      <w:r w:rsidR="008F2740">
        <w:rPr>
          <w:rFonts w:ascii="Verdana" w:hAnsi="Verdana"/>
          <w:sz w:val="20"/>
          <w:szCs w:val="20"/>
          <w:lang w:val="pt-BR"/>
        </w:rPr>
        <w:t>ix</w:t>
      </w:r>
      <w:r w:rsidRPr="00C40BD9">
        <w:rPr>
          <w:rFonts w:ascii="Verdana" w:hAnsi="Verdana"/>
          <w:sz w:val="20"/>
          <w:szCs w:val="20"/>
          <w:lang w:val="pt-BR"/>
        </w:rPr>
        <w:t>ar de a</w:t>
      </w:r>
      <w:r w:rsidR="008F2740">
        <w:rPr>
          <w:rFonts w:ascii="Verdana" w:hAnsi="Verdana"/>
          <w:sz w:val="20"/>
          <w:szCs w:val="20"/>
          <w:lang w:val="pt-BR"/>
        </w:rPr>
        <w:t>s</w:t>
      </w:r>
      <w:r w:rsidRPr="00C40BD9">
        <w:rPr>
          <w:rFonts w:ascii="Verdana" w:hAnsi="Verdana"/>
          <w:sz w:val="20"/>
          <w:szCs w:val="20"/>
          <w:lang w:val="pt-BR"/>
        </w:rPr>
        <w:t xml:space="preserve">sumir </w:t>
      </w:r>
      <w:r w:rsidR="006770ED" w:rsidRPr="00C40BD9">
        <w:rPr>
          <w:rFonts w:ascii="Verdana" w:hAnsi="Verdana"/>
          <w:sz w:val="20"/>
          <w:szCs w:val="20"/>
          <w:lang w:val="pt-BR"/>
        </w:rPr>
        <w:t>uma</w:t>
      </w:r>
      <w:r w:rsidR="00DE316A">
        <w:rPr>
          <w:rFonts w:ascii="Verdana" w:hAnsi="Verdana"/>
          <w:sz w:val="20"/>
          <w:szCs w:val="20"/>
          <w:lang w:val="pt-BR"/>
        </w:rPr>
        <w:t xml:space="preserve"> </w:t>
      </w:r>
      <w:r w:rsidRPr="00C40BD9">
        <w:rPr>
          <w:rFonts w:ascii="Verdana" w:hAnsi="Verdana"/>
          <w:sz w:val="20"/>
          <w:szCs w:val="20"/>
          <w:lang w:val="pt-BR"/>
        </w:rPr>
        <w:t>responsabilidad</w:t>
      </w:r>
      <w:r w:rsidR="008F2740">
        <w:rPr>
          <w:rFonts w:ascii="Verdana" w:hAnsi="Verdana"/>
          <w:sz w:val="20"/>
          <w:szCs w:val="20"/>
          <w:lang w:val="pt-BR"/>
        </w:rPr>
        <w:t>e</w:t>
      </w:r>
      <w:r w:rsidRPr="00C40BD9">
        <w:rPr>
          <w:rFonts w:ascii="Verdana" w:hAnsi="Verdana"/>
          <w:sz w:val="20"/>
          <w:szCs w:val="20"/>
          <w:lang w:val="pt-BR"/>
        </w:rPr>
        <w:t xml:space="preserve"> internacional estab</w:t>
      </w:r>
      <w:r w:rsidR="008F2740">
        <w:rPr>
          <w:rFonts w:ascii="Verdana" w:hAnsi="Verdana"/>
          <w:sz w:val="20"/>
          <w:szCs w:val="20"/>
          <w:lang w:val="pt-BR"/>
        </w:rPr>
        <w:t>e</w:t>
      </w:r>
      <w:r w:rsidRPr="00C40BD9">
        <w:rPr>
          <w:rFonts w:ascii="Verdana" w:hAnsi="Verdana"/>
          <w:sz w:val="20"/>
          <w:szCs w:val="20"/>
          <w:lang w:val="pt-BR"/>
        </w:rPr>
        <w:t>lecida p</w:t>
      </w:r>
      <w:r w:rsidR="008F2740">
        <w:rPr>
          <w:rFonts w:ascii="Verdana" w:hAnsi="Verdana"/>
          <w:sz w:val="20"/>
          <w:szCs w:val="20"/>
          <w:lang w:val="pt-BR"/>
        </w:rPr>
        <w:t xml:space="preserve">ela </w:t>
      </w:r>
      <w:r w:rsidRPr="00C40BD9">
        <w:rPr>
          <w:rFonts w:ascii="Verdana" w:hAnsi="Verdana"/>
          <w:sz w:val="20"/>
          <w:szCs w:val="20"/>
          <w:lang w:val="pt-BR"/>
        </w:rPr>
        <w:t xml:space="preserve">Corte. </w:t>
      </w:r>
      <w:r w:rsidR="008F2740">
        <w:rPr>
          <w:rFonts w:ascii="Verdana" w:hAnsi="Verdana"/>
          <w:sz w:val="20"/>
          <w:szCs w:val="20"/>
          <w:lang w:val="pt-BR"/>
        </w:rPr>
        <w:t>Do mesmo modo</w:t>
      </w:r>
      <w:r w:rsidRPr="00C40BD9">
        <w:rPr>
          <w:rFonts w:ascii="Verdana" w:hAnsi="Verdana"/>
          <w:sz w:val="20"/>
          <w:szCs w:val="20"/>
          <w:lang w:val="pt-BR"/>
        </w:rPr>
        <w:t xml:space="preserve">, </w:t>
      </w:r>
      <w:r w:rsidR="00D443ED" w:rsidRPr="00C40BD9">
        <w:rPr>
          <w:rFonts w:ascii="Verdana" w:hAnsi="Verdana"/>
          <w:sz w:val="20"/>
          <w:szCs w:val="20"/>
          <w:lang w:val="pt-BR"/>
        </w:rPr>
        <w:t>afirmar</w:t>
      </w:r>
      <w:r w:rsidR="008F2740">
        <w:rPr>
          <w:rFonts w:ascii="Verdana" w:hAnsi="Verdana"/>
          <w:sz w:val="20"/>
          <w:szCs w:val="20"/>
          <w:lang w:val="pt-BR"/>
        </w:rPr>
        <w:t xml:space="preserve">am que não </w:t>
      </w:r>
      <w:r w:rsidR="009070A7">
        <w:rPr>
          <w:rFonts w:ascii="Verdana" w:hAnsi="Verdana"/>
          <w:sz w:val="20"/>
          <w:szCs w:val="20"/>
          <w:lang w:val="pt-BR"/>
        </w:rPr>
        <w:t>há</w:t>
      </w:r>
      <w:r w:rsidRPr="00C40BD9">
        <w:rPr>
          <w:rFonts w:ascii="Verdana" w:hAnsi="Verdana"/>
          <w:sz w:val="20"/>
          <w:szCs w:val="20"/>
          <w:lang w:val="pt-BR"/>
        </w:rPr>
        <w:t xml:space="preserve"> </w:t>
      </w:r>
      <w:r w:rsidR="008F2740">
        <w:rPr>
          <w:rFonts w:ascii="Verdana" w:hAnsi="Verdana"/>
          <w:sz w:val="20"/>
          <w:szCs w:val="20"/>
          <w:lang w:val="pt-BR"/>
        </w:rPr>
        <w:t xml:space="preserve">exigência </w:t>
      </w:r>
      <w:r w:rsidRPr="00C40BD9">
        <w:rPr>
          <w:rFonts w:ascii="Verdana" w:hAnsi="Verdana"/>
          <w:sz w:val="20"/>
          <w:szCs w:val="20"/>
          <w:lang w:val="pt-BR"/>
        </w:rPr>
        <w:t xml:space="preserve">de que se </w:t>
      </w:r>
      <w:r w:rsidR="008F2740">
        <w:rPr>
          <w:rFonts w:ascii="Verdana" w:hAnsi="Verdana"/>
          <w:sz w:val="20"/>
          <w:szCs w:val="20"/>
          <w:lang w:val="pt-BR"/>
        </w:rPr>
        <w:t xml:space="preserve">concluam os </w:t>
      </w:r>
      <w:r w:rsidRPr="00C40BD9">
        <w:rPr>
          <w:rFonts w:ascii="Verdana" w:hAnsi="Verdana"/>
          <w:sz w:val="20"/>
          <w:szCs w:val="20"/>
          <w:lang w:val="pt-BR"/>
        </w:rPr>
        <w:t>respectivos proces</w:t>
      </w:r>
      <w:r w:rsidR="008F2740">
        <w:rPr>
          <w:rFonts w:ascii="Verdana" w:hAnsi="Verdana"/>
          <w:sz w:val="20"/>
          <w:szCs w:val="20"/>
          <w:lang w:val="pt-BR"/>
        </w:rPr>
        <w:t>s</w:t>
      </w:r>
      <w:r w:rsidRPr="00C40BD9">
        <w:rPr>
          <w:rFonts w:ascii="Verdana" w:hAnsi="Verdana"/>
          <w:sz w:val="20"/>
          <w:szCs w:val="20"/>
          <w:lang w:val="pt-BR"/>
        </w:rPr>
        <w:t>os para a realiza</w:t>
      </w:r>
      <w:r w:rsidR="00F633DD" w:rsidRPr="00C40BD9">
        <w:rPr>
          <w:rFonts w:ascii="Verdana" w:hAnsi="Verdana"/>
          <w:sz w:val="20"/>
          <w:szCs w:val="20"/>
          <w:lang w:val="pt-BR"/>
        </w:rPr>
        <w:t>ção</w:t>
      </w:r>
      <w:r w:rsidRPr="00C40BD9">
        <w:rPr>
          <w:rFonts w:ascii="Verdana" w:hAnsi="Verdana"/>
          <w:sz w:val="20"/>
          <w:szCs w:val="20"/>
          <w:lang w:val="pt-BR"/>
        </w:rPr>
        <w:t xml:space="preserve"> d</w:t>
      </w:r>
      <w:r w:rsidR="008F2740">
        <w:rPr>
          <w:rFonts w:ascii="Verdana" w:hAnsi="Verdana"/>
          <w:sz w:val="20"/>
          <w:szCs w:val="20"/>
          <w:lang w:val="pt-BR"/>
        </w:rPr>
        <w:t>o</w:t>
      </w:r>
      <w:r w:rsidRPr="00C40BD9">
        <w:rPr>
          <w:rFonts w:ascii="Verdana" w:hAnsi="Verdana"/>
          <w:sz w:val="20"/>
          <w:szCs w:val="20"/>
          <w:lang w:val="pt-BR"/>
        </w:rPr>
        <w:t xml:space="preserve"> depósito. </w:t>
      </w:r>
      <w:r w:rsidR="008F2740" w:rsidRPr="008F2740">
        <w:rPr>
          <w:rFonts w:ascii="Verdana" w:hAnsi="Verdana"/>
          <w:sz w:val="20"/>
          <w:szCs w:val="20"/>
          <w:lang w:val="pt-BR"/>
        </w:rPr>
        <w:t xml:space="preserve">Ressaltaram que é </w:t>
      </w:r>
      <w:r w:rsidRPr="008F2740">
        <w:rPr>
          <w:rFonts w:ascii="Verdana" w:hAnsi="Verdana"/>
          <w:sz w:val="20"/>
          <w:szCs w:val="20"/>
          <w:lang w:val="pt-BR"/>
        </w:rPr>
        <w:t>importante que, caso as indeniza</w:t>
      </w:r>
      <w:r w:rsidR="00F633DD" w:rsidRPr="008F2740">
        <w:rPr>
          <w:rFonts w:ascii="Verdana" w:hAnsi="Verdana"/>
          <w:sz w:val="20"/>
          <w:szCs w:val="20"/>
          <w:lang w:val="pt-BR"/>
        </w:rPr>
        <w:t>ções</w:t>
      </w:r>
      <w:r w:rsidRPr="008F2740">
        <w:rPr>
          <w:rFonts w:ascii="Verdana" w:hAnsi="Verdana"/>
          <w:sz w:val="20"/>
          <w:szCs w:val="20"/>
          <w:lang w:val="pt-BR"/>
        </w:rPr>
        <w:t xml:space="preserve"> </w:t>
      </w:r>
      <w:r w:rsidR="008F2740">
        <w:rPr>
          <w:rFonts w:ascii="Verdana" w:hAnsi="Verdana"/>
          <w:sz w:val="20"/>
          <w:szCs w:val="20"/>
          <w:lang w:val="pt-BR"/>
        </w:rPr>
        <w:t xml:space="preserve">sejam </w:t>
      </w:r>
      <w:r w:rsidRPr="008F2740">
        <w:rPr>
          <w:rFonts w:ascii="Verdana" w:hAnsi="Verdana"/>
          <w:sz w:val="20"/>
          <w:szCs w:val="20"/>
          <w:lang w:val="pt-BR"/>
        </w:rPr>
        <w:t>depositadas judicialmente, a atualiza</w:t>
      </w:r>
      <w:r w:rsidR="00F633DD" w:rsidRPr="008F2740">
        <w:rPr>
          <w:rFonts w:ascii="Verdana" w:hAnsi="Verdana"/>
          <w:sz w:val="20"/>
          <w:szCs w:val="20"/>
          <w:lang w:val="pt-BR"/>
        </w:rPr>
        <w:t>ção</w:t>
      </w:r>
      <w:r w:rsidRPr="008F2740">
        <w:rPr>
          <w:rFonts w:ascii="Verdana" w:hAnsi="Verdana"/>
          <w:sz w:val="20"/>
          <w:szCs w:val="20"/>
          <w:lang w:val="pt-BR"/>
        </w:rPr>
        <w:t xml:space="preserve"> d</w:t>
      </w:r>
      <w:r w:rsidR="008F2740">
        <w:rPr>
          <w:rFonts w:ascii="Verdana" w:hAnsi="Verdana"/>
          <w:sz w:val="20"/>
          <w:szCs w:val="20"/>
          <w:lang w:val="pt-BR"/>
        </w:rPr>
        <w:t xml:space="preserve">o </w:t>
      </w:r>
      <w:r w:rsidRPr="008F2740">
        <w:rPr>
          <w:rFonts w:ascii="Verdana" w:hAnsi="Verdana"/>
          <w:sz w:val="20"/>
          <w:szCs w:val="20"/>
          <w:lang w:val="pt-BR"/>
        </w:rPr>
        <w:t xml:space="preserve">valor e </w:t>
      </w:r>
      <w:r w:rsidR="008F2740">
        <w:rPr>
          <w:rFonts w:ascii="Verdana" w:hAnsi="Verdana"/>
          <w:sz w:val="20"/>
          <w:szCs w:val="20"/>
          <w:lang w:val="pt-BR"/>
        </w:rPr>
        <w:t xml:space="preserve">dos juros de mora </w:t>
      </w:r>
      <w:r w:rsidRPr="008F2740">
        <w:rPr>
          <w:rFonts w:ascii="Verdana" w:hAnsi="Verdana"/>
          <w:sz w:val="20"/>
          <w:szCs w:val="20"/>
          <w:lang w:val="pt-BR"/>
        </w:rPr>
        <w:t>incid</w:t>
      </w:r>
      <w:r w:rsidR="00183FB7">
        <w:rPr>
          <w:rFonts w:ascii="Verdana" w:hAnsi="Verdana"/>
          <w:sz w:val="20"/>
          <w:szCs w:val="20"/>
          <w:lang w:val="pt-BR"/>
        </w:rPr>
        <w:t>a</w:t>
      </w:r>
      <w:r w:rsidRPr="008F2740">
        <w:rPr>
          <w:rFonts w:ascii="Verdana" w:hAnsi="Verdana"/>
          <w:sz w:val="20"/>
          <w:szCs w:val="20"/>
          <w:lang w:val="pt-BR"/>
        </w:rPr>
        <w:t xml:space="preserve"> </w:t>
      </w:r>
      <w:r w:rsidR="008F2740">
        <w:rPr>
          <w:rFonts w:ascii="Verdana" w:hAnsi="Verdana"/>
          <w:sz w:val="20"/>
          <w:szCs w:val="20"/>
          <w:lang w:val="pt-BR"/>
        </w:rPr>
        <w:t xml:space="preserve">até o efetivo recebimento, </w:t>
      </w:r>
      <w:r w:rsidRPr="008F2740">
        <w:rPr>
          <w:rFonts w:ascii="Verdana" w:hAnsi="Verdana"/>
          <w:sz w:val="20"/>
          <w:szCs w:val="20"/>
          <w:lang w:val="pt-BR"/>
        </w:rPr>
        <w:t xml:space="preserve">dado que </w:t>
      </w:r>
      <w:r w:rsidR="008F2740">
        <w:rPr>
          <w:rFonts w:ascii="Verdana" w:hAnsi="Verdana"/>
          <w:sz w:val="20"/>
          <w:szCs w:val="20"/>
          <w:lang w:val="pt-BR"/>
        </w:rPr>
        <w:t>o</w:t>
      </w:r>
      <w:r w:rsidRPr="008F2740">
        <w:rPr>
          <w:rFonts w:ascii="Verdana" w:hAnsi="Verdana"/>
          <w:sz w:val="20"/>
          <w:szCs w:val="20"/>
          <w:lang w:val="pt-BR"/>
        </w:rPr>
        <w:t xml:space="preserve"> valor depositado </w:t>
      </w:r>
      <w:r w:rsidR="008F2740">
        <w:rPr>
          <w:rFonts w:ascii="Verdana" w:hAnsi="Verdana"/>
          <w:sz w:val="20"/>
          <w:szCs w:val="20"/>
          <w:lang w:val="pt-BR"/>
        </w:rPr>
        <w:t xml:space="preserve">ainda não estaria disponível </w:t>
      </w:r>
      <w:r w:rsidRPr="008F2740">
        <w:rPr>
          <w:rFonts w:ascii="Verdana" w:hAnsi="Verdana"/>
          <w:sz w:val="20"/>
          <w:szCs w:val="20"/>
          <w:lang w:val="pt-BR"/>
        </w:rPr>
        <w:t xml:space="preserve">para as </w:t>
      </w:r>
      <w:r w:rsidR="00C06A9B" w:rsidRPr="008F2740">
        <w:rPr>
          <w:rFonts w:ascii="Verdana" w:hAnsi="Verdana"/>
          <w:sz w:val="20"/>
          <w:szCs w:val="20"/>
          <w:lang w:val="pt-BR"/>
        </w:rPr>
        <w:t>vítimas</w:t>
      </w:r>
      <w:r w:rsidRPr="008F2740">
        <w:rPr>
          <w:rFonts w:ascii="Verdana" w:hAnsi="Verdana"/>
          <w:sz w:val="20"/>
          <w:szCs w:val="20"/>
          <w:lang w:val="pt-BR"/>
        </w:rPr>
        <w:t>.</w:t>
      </w:r>
      <w:r w:rsidR="00D443ED" w:rsidRPr="008F2740">
        <w:rPr>
          <w:rFonts w:ascii="Verdana" w:hAnsi="Verdana"/>
          <w:sz w:val="20"/>
          <w:szCs w:val="20"/>
          <w:lang w:val="pt-BR"/>
        </w:rPr>
        <w:t xml:space="preserve"> </w:t>
      </w:r>
    </w:p>
    <w:p w:rsidR="0074017B" w:rsidRPr="00C40BD9" w:rsidRDefault="0074017B" w:rsidP="00A82FB4">
      <w:pPr>
        <w:pStyle w:val="ListParagraph"/>
        <w:rPr>
          <w:rFonts w:ascii="Verdana" w:hAnsi="Verdana"/>
          <w:sz w:val="20"/>
          <w:szCs w:val="20"/>
          <w:lang w:val="pt-BR"/>
        </w:rPr>
      </w:pPr>
    </w:p>
    <w:p w:rsidR="0074017B" w:rsidRPr="00C40BD9" w:rsidRDefault="00BF48F6" w:rsidP="00A82FB4">
      <w:pPr>
        <w:pStyle w:val="ListParagraph"/>
        <w:numPr>
          <w:ilvl w:val="0"/>
          <w:numId w:val="2"/>
        </w:numPr>
        <w:tabs>
          <w:tab w:val="clear" w:pos="1247"/>
        </w:tabs>
        <w:spacing w:after="0" w:line="240" w:lineRule="auto"/>
        <w:contextualSpacing w:val="0"/>
        <w:jc w:val="both"/>
        <w:rPr>
          <w:rFonts w:ascii="Verdana" w:hAnsi="Verdana"/>
          <w:sz w:val="20"/>
          <w:szCs w:val="20"/>
          <w:lang w:val="pt-BR"/>
        </w:rPr>
      </w:pPr>
      <w:r>
        <w:rPr>
          <w:rFonts w:ascii="Verdana" w:hAnsi="Verdana"/>
          <w:sz w:val="20"/>
          <w:szCs w:val="20"/>
          <w:lang w:val="pt-BR"/>
        </w:rPr>
        <w:t>A</w:t>
      </w:r>
      <w:r w:rsidR="00DE316A">
        <w:rPr>
          <w:rFonts w:ascii="Verdana" w:hAnsi="Verdana"/>
          <w:sz w:val="20"/>
          <w:szCs w:val="20"/>
          <w:lang w:val="pt-BR"/>
        </w:rPr>
        <w:t xml:space="preserve"> </w:t>
      </w:r>
      <w:r w:rsidR="00C06A9B" w:rsidRPr="00C40BD9">
        <w:rPr>
          <w:rFonts w:ascii="Verdana" w:hAnsi="Verdana"/>
          <w:b/>
          <w:i/>
          <w:sz w:val="20"/>
          <w:szCs w:val="20"/>
          <w:lang w:val="pt-BR"/>
        </w:rPr>
        <w:t>Comissão</w:t>
      </w:r>
      <w:r w:rsidR="00DE316A">
        <w:rPr>
          <w:rFonts w:ascii="Verdana" w:hAnsi="Verdana"/>
          <w:b/>
          <w:i/>
          <w:sz w:val="20"/>
          <w:szCs w:val="20"/>
          <w:lang w:val="pt-BR"/>
        </w:rPr>
        <w:t xml:space="preserve"> </w:t>
      </w:r>
      <w:r w:rsidR="0074017B" w:rsidRPr="00C40BD9">
        <w:rPr>
          <w:rFonts w:ascii="Verdana" w:hAnsi="Verdana"/>
          <w:sz w:val="20"/>
          <w:szCs w:val="20"/>
          <w:lang w:val="pt-BR"/>
        </w:rPr>
        <w:t>afirm</w:t>
      </w:r>
      <w:r w:rsidR="008F2740">
        <w:rPr>
          <w:rFonts w:ascii="Verdana" w:hAnsi="Verdana"/>
          <w:sz w:val="20"/>
          <w:szCs w:val="20"/>
          <w:lang w:val="pt-BR"/>
        </w:rPr>
        <w:t xml:space="preserve">ou que esses pontos </w:t>
      </w:r>
      <w:r w:rsidR="0074017B" w:rsidRPr="00C40BD9">
        <w:rPr>
          <w:rFonts w:ascii="Verdana" w:hAnsi="Verdana"/>
          <w:sz w:val="20"/>
          <w:szCs w:val="20"/>
          <w:lang w:val="pt-BR"/>
        </w:rPr>
        <w:t xml:space="preserve">específicos </w:t>
      </w:r>
      <w:r w:rsidR="008F2740">
        <w:rPr>
          <w:rFonts w:ascii="Verdana" w:hAnsi="Verdana"/>
          <w:sz w:val="20"/>
          <w:szCs w:val="20"/>
          <w:lang w:val="pt-BR"/>
        </w:rPr>
        <w:t xml:space="preserve">já foram resolvidos pela </w:t>
      </w:r>
      <w:r w:rsidR="00036A1B" w:rsidRPr="00C40BD9">
        <w:rPr>
          <w:rFonts w:ascii="Verdana" w:hAnsi="Verdana"/>
          <w:sz w:val="20"/>
          <w:szCs w:val="20"/>
          <w:lang w:val="pt-BR"/>
        </w:rPr>
        <w:t xml:space="preserve">Corte </w:t>
      </w:r>
      <w:r w:rsidR="00153641">
        <w:rPr>
          <w:rFonts w:ascii="Verdana" w:hAnsi="Verdana"/>
          <w:sz w:val="20"/>
          <w:szCs w:val="20"/>
          <w:lang w:val="pt-BR"/>
        </w:rPr>
        <w:t xml:space="preserve">na </w:t>
      </w:r>
      <w:r w:rsidR="00F633DD" w:rsidRPr="00C40BD9">
        <w:rPr>
          <w:rFonts w:ascii="Verdana" w:hAnsi="Verdana"/>
          <w:sz w:val="20"/>
          <w:szCs w:val="20"/>
          <w:lang w:val="pt-BR"/>
        </w:rPr>
        <w:t>Sentença</w:t>
      </w:r>
      <w:r w:rsidR="00DE316A">
        <w:rPr>
          <w:rFonts w:ascii="Verdana" w:hAnsi="Verdana"/>
          <w:sz w:val="20"/>
          <w:szCs w:val="20"/>
          <w:lang w:val="pt-BR"/>
        </w:rPr>
        <w:t xml:space="preserve"> </w:t>
      </w:r>
      <w:r w:rsidR="0074017B" w:rsidRPr="00C40BD9">
        <w:rPr>
          <w:rFonts w:ascii="Verdana" w:hAnsi="Verdana"/>
          <w:sz w:val="20"/>
          <w:szCs w:val="20"/>
          <w:lang w:val="pt-BR"/>
        </w:rPr>
        <w:t xml:space="preserve">de </w:t>
      </w:r>
      <w:r w:rsidR="00153641">
        <w:rPr>
          <w:rFonts w:ascii="Verdana" w:hAnsi="Verdana"/>
          <w:sz w:val="20"/>
          <w:szCs w:val="20"/>
          <w:lang w:val="pt-BR"/>
        </w:rPr>
        <w:t>I</w:t>
      </w:r>
      <w:r w:rsidR="0074017B" w:rsidRPr="00C40BD9">
        <w:rPr>
          <w:rFonts w:ascii="Verdana" w:hAnsi="Verdana"/>
          <w:sz w:val="20"/>
          <w:szCs w:val="20"/>
          <w:lang w:val="pt-BR"/>
        </w:rPr>
        <w:t>nterpreta</w:t>
      </w:r>
      <w:r w:rsidR="00F633DD" w:rsidRPr="00C40BD9">
        <w:rPr>
          <w:rFonts w:ascii="Verdana" w:hAnsi="Verdana"/>
          <w:sz w:val="20"/>
          <w:szCs w:val="20"/>
          <w:lang w:val="pt-BR"/>
        </w:rPr>
        <w:t>ção</w:t>
      </w:r>
      <w:r w:rsidR="0074017B" w:rsidRPr="00C40BD9">
        <w:rPr>
          <w:rFonts w:ascii="Verdana" w:hAnsi="Verdana"/>
          <w:sz w:val="20"/>
          <w:szCs w:val="20"/>
          <w:lang w:val="pt-BR"/>
        </w:rPr>
        <w:t xml:space="preserve"> </w:t>
      </w:r>
      <w:r w:rsidR="00153641">
        <w:rPr>
          <w:rFonts w:ascii="Verdana" w:hAnsi="Verdana"/>
          <w:sz w:val="20"/>
          <w:szCs w:val="20"/>
          <w:lang w:val="pt-BR"/>
        </w:rPr>
        <w:t>no C</w:t>
      </w:r>
      <w:r w:rsidR="0074017B" w:rsidRPr="00C40BD9">
        <w:rPr>
          <w:rFonts w:ascii="Verdana" w:hAnsi="Verdana"/>
          <w:sz w:val="20"/>
          <w:szCs w:val="20"/>
          <w:lang w:val="pt-BR"/>
        </w:rPr>
        <w:t xml:space="preserve">aso </w:t>
      </w:r>
      <w:r w:rsidR="00153641">
        <w:rPr>
          <w:rFonts w:ascii="Verdana" w:hAnsi="Verdana"/>
          <w:sz w:val="20"/>
          <w:szCs w:val="20"/>
          <w:lang w:val="pt-BR"/>
        </w:rPr>
        <w:t xml:space="preserve">Trabalhadores </w:t>
      </w:r>
      <w:r w:rsidR="00F633DD" w:rsidRPr="00C40BD9">
        <w:rPr>
          <w:rFonts w:ascii="Verdana" w:hAnsi="Verdana"/>
          <w:sz w:val="20"/>
          <w:szCs w:val="20"/>
          <w:lang w:val="pt-BR"/>
        </w:rPr>
        <w:t xml:space="preserve">da </w:t>
      </w:r>
      <w:r w:rsidR="00153641">
        <w:rPr>
          <w:rFonts w:ascii="Verdana" w:hAnsi="Verdana"/>
          <w:sz w:val="20"/>
          <w:szCs w:val="20"/>
          <w:lang w:val="pt-BR"/>
        </w:rPr>
        <w:t>Faz</w:t>
      </w:r>
      <w:r w:rsidR="0074017B" w:rsidRPr="00C40BD9">
        <w:rPr>
          <w:rFonts w:ascii="Verdana" w:hAnsi="Verdana"/>
          <w:sz w:val="20"/>
          <w:szCs w:val="20"/>
          <w:lang w:val="pt-BR"/>
        </w:rPr>
        <w:t xml:space="preserve">enda Brasil Verde, </w:t>
      </w:r>
      <w:r w:rsidR="00153641">
        <w:rPr>
          <w:rFonts w:ascii="Verdana" w:hAnsi="Verdana"/>
          <w:sz w:val="20"/>
          <w:szCs w:val="20"/>
          <w:lang w:val="pt-BR"/>
        </w:rPr>
        <w:t xml:space="preserve">razão pela qual considera </w:t>
      </w:r>
      <w:r w:rsidR="0074017B" w:rsidRPr="00C40BD9">
        <w:rPr>
          <w:rFonts w:ascii="Verdana" w:hAnsi="Verdana"/>
          <w:sz w:val="20"/>
          <w:szCs w:val="20"/>
          <w:lang w:val="pt-BR"/>
        </w:rPr>
        <w:t>que</w:t>
      </w:r>
      <w:r w:rsidR="00153641">
        <w:rPr>
          <w:rFonts w:ascii="Verdana" w:hAnsi="Verdana"/>
          <w:sz w:val="20"/>
          <w:szCs w:val="20"/>
          <w:lang w:val="pt-BR"/>
        </w:rPr>
        <w:t xml:space="preserve">, caso a </w:t>
      </w:r>
      <w:r w:rsidR="00036A1B" w:rsidRPr="00C40BD9">
        <w:rPr>
          <w:rFonts w:ascii="Verdana" w:hAnsi="Verdana"/>
          <w:sz w:val="20"/>
          <w:szCs w:val="20"/>
          <w:lang w:val="pt-BR"/>
        </w:rPr>
        <w:t xml:space="preserve">Corte </w:t>
      </w:r>
      <w:r w:rsidR="00153641">
        <w:rPr>
          <w:rFonts w:ascii="Verdana" w:hAnsi="Verdana"/>
          <w:sz w:val="20"/>
          <w:szCs w:val="20"/>
          <w:lang w:val="pt-BR"/>
        </w:rPr>
        <w:t xml:space="preserve">julgue pertinente, poderia </w:t>
      </w:r>
      <w:r w:rsidR="0074017B" w:rsidRPr="00C40BD9">
        <w:rPr>
          <w:rFonts w:ascii="Verdana" w:hAnsi="Verdana"/>
          <w:sz w:val="20"/>
          <w:szCs w:val="20"/>
          <w:lang w:val="pt-BR"/>
        </w:rPr>
        <w:t>reiterar su</w:t>
      </w:r>
      <w:r w:rsidR="00153641">
        <w:rPr>
          <w:rFonts w:ascii="Verdana" w:hAnsi="Verdana"/>
          <w:sz w:val="20"/>
          <w:szCs w:val="20"/>
          <w:lang w:val="pt-BR"/>
        </w:rPr>
        <w:t>a</w:t>
      </w:r>
      <w:r w:rsidR="0074017B" w:rsidRPr="00C40BD9">
        <w:rPr>
          <w:rFonts w:ascii="Verdana" w:hAnsi="Verdana"/>
          <w:sz w:val="20"/>
          <w:szCs w:val="20"/>
          <w:lang w:val="pt-BR"/>
        </w:rPr>
        <w:t>s considera</w:t>
      </w:r>
      <w:r w:rsidR="00F633DD" w:rsidRPr="00C40BD9">
        <w:rPr>
          <w:rFonts w:ascii="Verdana" w:hAnsi="Verdana"/>
          <w:sz w:val="20"/>
          <w:szCs w:val="20"/>
          <w:lang w:val="pt-BR"/>
        </w:rPr>
        <w:t>ções</w:t>
      </w:r>
      <w:r w:rsidR="00153641">
        <w:rPr>
          <w:rFonts w:ascii="Verdana" w:hAnsi="Verdana"/>
          <w:sz w:val="20"/>
          <w:szCs w:val="20"/>
          <w:lang w:val="pt-BR"/>
        </w:rPr>
        <w:t>.</w:t>
      </w:r>
    </w:p>
    <w:p w:rsidR="0074017B" w:rsidRPr="00C40BD9" w:rsidRDefault="0074017B" w:rsidP="00A82FB4">
      <w:pPr>
        <w:pStyle w:val="ListParagraph"/>
        <w:spacing w:after="0" w:line="240" w:lineRule="auto"/>
        <w:ind w:left="0"/>
        <w:contextualSpacing w:val="0"/>
        <w:jc w:val="both"/>
        <w:rPr>
          <w:rFonts w:ascii="Verdana" w:hAnsi="Verdana"/>
          <w:sz w:val="20"/>
          <w:szCs w:val="20"/>
          <w:lang w:val="pt-BR"/>
        </w:rPr>
      </w:pPr>
    </w:p>
    <w:p w:rsidR="0074017B" w:rsidRPr="00C40BD9" w:rsidRDefault="00FC2D19" w:rsidP="00A82FB4">
      <w:pPr>
        <w:spacing w:after="0" w:line="240" w:lineRule="auto"/>
        <w:ind w:firstLine="708"/>
        <w:jc w:val="both"/>
        <w:rPr>
          <w:rFonts w:ascii="Verdana" w:hAnsi="Verdana"/>
          <w:i/>
          <w:sz w:val="20"/>
          <w:szCs w:val="20"/>
          <w:lang w:val="pt-BR"/>
        </w:rPr>
      </w:pPr>
      <w:r w:rsidRPr="00C40BD9">
        <w:rPr>
          <w:rFonts w:ascii="Verdana" w:hAnsi="Verdana"/>
          <w:i/>
          <w:sz w:val="20"/>
          <w:szCs w:val="20"/>
          <w:lang w:val="pt-BR"/>
        </w:rPr>
        <w:t xml:space="preserve">D.1.2. </w:t>
      </w:r>
      <w:r w:rsidR="0074017B" w:rsidRPr="00C40BD9">
        <w:rPr>
          <w:rFonts w:ascii="Verdana" w:hAnsi="Verdana"/>
          <w:i/>
          <w:sz w:val="20"/>
          <w:szCs w:val="20"/>
          <w:lang w:val="pt-BR"/>
        </w:rPr>
        <w:t>Considera</w:t>
      </w:r>
      <w:r w:rsidR="00F633DD" w:rsidRPr="00C40BD9">
        <w:rPr>
          <w:rFonts w:ascii="Verdana" w:hAnsi="Verdana"/>
          <w:i/>
          <w:sz w:val="20"/>
          <w:szCs w:val="20"/>
          <w:lang w:val="pt-BR"/>
        </w:rPr>
        <w:t>ções</w:t>
      </w:r>
      <w:r w:rsidR="0074017B" w:rsidRPr="00C40BD9">
        <w:rPr>
          <w:rFonts w:ascii="Verdana" w:hAnsi="Verdana"/>
          <w:i/>
          <w:sz w:val="20"/>
          <w:szCs w:val="20"/>
          <w:lang w:val="pt-BR"/>
        </w:rPr>
        <w:t xml:space="preserve"> </w:t>
      </w:r>
      <w:r w:rsidR="00F633DD" w:rsidRPr="00C40BD9">
        <w:rPr>
          <w:rFonts w:ascii="Verdana" w:hAnsi="Verdana"/>
          <w:i/>
          <w:sz w:val="20"/>
          <w:szCs w:val="20"/>
          <w:lang w:val="pt-BR"/>
        </w:rPr>
        <w:t xml:space="preserve">da </w:t>
      </w:r>
      <w:r w:rsidR="0074017B" w:rsidRPr="00C40BD9">
        <w:rPr>
          <w:rFonts w:ascii="Verdana" w:hAnsi="Verdana"/>
          <w:i/>
          <w:sz w:val="20"/>
          <w:szCs w:val="20"/>
          <w:lang w:val="pt-BR"/>
        </w:rPr>
        <w:t>Corte</w:t>
      </w:r>
    </w:p>
    <w:p w:rsidR="0074017B" w:rsidRPr="00C40BD9" w:rsidRDefault="0074017B" w:rsidP="00A82FB4">
      <w:pPr>
        <w:pStyle w:val="ListParagraph"/>
        <w:spacing w:after="0" w:line="240" w:lineRule="auto"/>
        <w:ind w:left="0"/>
        <w:contextualSpacing w:val="0"/>
        <w:jc w:val="both"/>
        <w:rPr>
          <w:rFonts w:ascii="Verdana" w:hAnsi="Verdana"/>
          <w:sz w:val="20"/>
          <w:szCs w:val="20"/>
          <w:lang w:val="pt-BR"/>
        </w:rPr>
      </w:pPr>
    </w:p>
    <w:p w:rsidR="0074017B" w:rsidRPr="00C40BD9" w:rsidRDefault="0074017B" w:rsidP="00A82FB4">
      <w:pPr>
        <w:pStyle w:val="ListParagraph"/>
        <w:numPr>
          <w:ilvl w:val="0"/>
          <w:numId w:val="2"/>
        </w:numPr>
        <w:tabs>
          <w:tab w:val="clear" w:pos="1247"/>
        </w:tabs>
        <w:spacing w:after="0" w:line="240" w:lineRule="auto"/>
        <w:contextualSpacing w:val="0"/>
        <w:jc w:val="both"/>
        <w:rPr>
          <w:rFonts w:ascii="Verdana" w:hAnsi="Verdana"/>
          <w:sz w:val="20"/>
          <w:szCs w:val="20"/>
          <w:lang w:val="pt-BR"/>
        </w:rPr>
      </w:pPr>
      <w:r w:rsidRPr="00C40BD9">
        <w:rPr>
          <w:rFonts w:ascii="Verdana" w:hAnsi="Verdana"/>
          <w:sz w:val="20"/>
          <w:szCs w:val="20"/>
          <w:lang w:val="pt-BR"/>
        </w:rPr>
        <w:t>E</w:t>
      </w:r>
      <w:r w:rsidR="00153641">
        <w:rPr>
          <w:rFonts w:ascii="Verdana" w:hAnsi="Verdana"/>
          <w:sz w:val="20"/>
          <w:szCs w:val="20"/>
          <w:lang w:val="pt-BR"/>
        </w:rPr>
        <w:t xml:space="preserve">m sua </w:t>
      </w:r>
      <w:r w:rsidR="00F633DD" w:rsidRPr="00C40BD9">
        <w:rPr>
          <w:rFonts w:ascii="Verdana" w:hAnsi="Verdana"/>
          <w:sz w:val="20"/>
          <w:szCs w:val="20"/>
          <w:lang w:val="pt-BR"/>
        </w:rPr>
        <w:t>Sentença</w:t>
      </w:r>
      <w:r w:rsidR="00DE316A">
        <w:rPr>
          <w:rFonts w:ascii="Verdana" w:hAnsi="Verdana"/>
          <w:sz w:val="20"/>
          <w:szCs w:val="20"/>
          <w:lang w:val="pt-BR"/>
        </w:rPr>
        <w:t xml:space="preserve"> </w:t>
      </w:r>
      <w:r w:rsidR="00036A1B" w:rsidRPr="00C40BD9">
        <w:rPr>
          <w:rFonts w:ascii="Verdana" w:hAnsi="Verdana"/>
          <w:sz w:val="20"/>
          <w:szCs w:val="20"/>
          <w:lang w:val="pt-BR"/>
        </w:rPr>
        <w:t xml:space="preserve">a Corte </w:t>
      </w:r>
      <w:r w:rsidR="00153641">
        <w:rPr>
          <w:rFonts w:ascii="Verdana" w:hAnsi="Verdana"/>
          <w:sz w:val="20"/>
          <w:szCs w:val="20"/>
          <w:lang w:val="pt-BR"/>
        </w:rPr>
        <w:t xml:space="preserve">dispôs </w:t>
      </w:r>
      <w:r w:rsidRPr="00C40BD9">
        <w:rPr>
          <w:rFonts w:ascii="Verdana" w:hAnsi="Verdana"/>
          <w:sz w:val="20"/>
          <w:szCs w:val="20"/>
          <w:lang w:val="pt-BR"/>
        </w:rPr>
        <w:t xml:space="preserve">que: </w:t>
      </w:r>
    </w:p>
    <w:p w:rsidR="0074017B" w:rsidRPr="00C40BD9" w:rsidRDefault="0074017B" w:rsidP="00A82FB4">
      <w:pPr>
        <w:pStyle w:val="ListParagraph"/>
        <w:spacing w:after="0" w:line="240" w:lineRule="auto"/>
        <w:ind w:left="576"/>
        <w:contextualSpacing w:val="0"/>
        <w:jc w:val="both"/>
        <w:rPr>
          <w:rFonts w:ascii="Verdana" w:hAnsi="Verdana"/>
          <w:sz w:val="18"/>
          <w:szCs w:val="18"/>
          <w:lang w:val="pt-BR"/>
        </w:rPr>
      </w:pPr>
    </w:p>
    <w:p w:rsidR="0074017B" w:rsidRPr="00153641" w:rsidRDefault="0074017B" w:rsidP="00E048DB">
      <w:pPr>
        <w:pStyle w:val="ListParagraph"/>
        <w:tabs>
          <w:tab w:val="left" w:pos="9356"/>
        </w:tabs>
        <w:spacing w:after="0" w:line="240" w:lineRule="auto"/>
        <w:ind w:right="1138"/>
        <w:contextualSpacing w:val="0"/>
        <w:jc w:val="both"/>
        <w:rPr>
          <w:rFonts w:ascii="Verdana" w:hAnsi="Verdana"/>
          <w:sz w:val="18"/>
          <w:szCs w:val="18"/>
          <w:lang w:val="pt-BR"/>
        </w:rPr>
      </w:pPr>
      <w:r w:rsidRPr="00C40BD9">
        <w:rPr>
          <w:rFonts w:ascii="Verdana" w:hAnsi="Verdana"/>
          <w:sz w:val="18"/>
          <w:szCs w:val="18"/>
          <w:lang w:val="pt-BR"/>
        </w:rPr>
        <w:t>363.</w:t>
      </w:r>
      <w:r w:rsidR="00DE316A">
        <w:rPr>
          <w:rFonts w:ascii="Verdana" w:hAnsi="Verdana"/>
          <w:sz w:val="18"/>
          <w:szCs w:val="18"/>
          <w:lang w:val="pt-BR"/>
        </w:rPr>
        <w:t xml:space="preserve"> </w:t>
      </w:r>
      <w:r w:rsidR="00153641" w:rsidRPr="00153641">
        <w:rPr>
          <w:rFonts w:ascii="Verdana" w:hAnsi="Verdana"/>
          <w:sz w:val="18"/>
          <w:szCs w:val="18"/>
          <w:lang w:val="pt-BR"/>
        </w:rPr>
        <w:t>O Estado deverá efetuar o pagamento das indenizações a título de dano imaterial, bem como o reembolso das custas e gastos estabelecidos na presente Sentença, diretamente às pessoas e organizações nela indicadas, no prazo de um ano</w:t>
      </w:r>
      <w:r w:rsidR="00183FB7">
        <w:rPr>
          <w:rFonts w:ascii="Verdana" w:hAnsi="Verdana"/>
          <w:sz w:val="18"/>
          <w:szCs w:val="18"/>
          <w:lang w:val="pt-BR"/>
        </w:rPr>
        <w:t>,</w:t>
      </w:r>
      <w:r w:rsidR="00153641" w:rsidRPr="00153641">
        <w:rPr>
          <w:rFonts w:ascii="Verdana" w:hAnsi="Verdana"/>
          <w:sz w:val="18"/>
          <w:szCs w:val="18"/>
          <w:lang w:val="pt-BR"/>
        </w:rPr>
        <w:t xml:space="preserve"> contado a partir da notificação da presente Sentença, nos termos dos parágrafos que se seguem</w:t>
      </w:r>
      <w:r w:rsidRPr="00153641">
        <w:rPr>
          <w:rFonts w:ascii="Verdana" w:hAnsi="Verdana"/>
          <w:sz w:val="18"/>
          <w:szCs w:val="18"/>
          <w:lang w:val="pt-BR"/>
        </w:rPr>
        <w:t>.</w:t>
      </w:r>
    </w:p>
    <w:p w:rsidR="0074017B" w:rsidRPr="00153641" w:rsidRDefault="0074017B" w:rsidP="00E048DB">
      <w:pPr>
        <w:pStyle w:val="ListParagraph"/>
        <w:tabs>
          <w:tab w:val="left" w:pos="9356"/>
        </w:tabs>
        <w:spacing w:after="0" w:line="240" w:lineRule="auto"/>
        <w:ind w:right="1138"/>
        <w:contextualSpacing w:val="0"/>
        <w:jc w:val="both"/>
        <w:rPr>
          <w:rFonts w:ascii="Verdana" w:hAnsi="Verdana"/>
          <w:sz w:val="18"/>
          <w:szCs w:val="18"/>
          <w:lang w:val="pt-BR"/>
        </w:rPr>
      </w:pPr>
    </w:p>
    <w:p w:rsidR="0074017B" w:rsidRPr="00153641" w:rsidRDefault="0074017B" w:rsidP="00E048DB">
      <w:pPr>
        <w:pStyle w:val="ListParagraph"/>
        <w:tabs>
          <w:tab w:val="left" w:pos="9356"/>
        </w:tabs>
        <w:spacing w:after="0" w:line="240" w:lineRule="auto"/>
        <w:ind w:right="1138"/>
        <w:contextualSpacing w:val="0"/>
        <w:jc w:val="both"/>
        <w:rPr>
          <w:rFonts w:ascii="Verdana" w:hAnsi="Verdana"/>
          <w:sz w:val="18"/>
          <w:szCs w:val="18"/>
          <w:lang w:val="pt-BR"/>
        </w:rPr>
      </w:pPr>
      <w:r w:rsidRPr="00153641">
        <w:rPr>
          <w:rFonts w:ascii="Verdana" w:hAnsi="Verdana"/>
          <w:sz w:val="18"/>
          <w:szCs w:val="18"/>
          <w:lang w:val="pt-BR"/>
        </w:rPr>
        <w:t xml:space="preserve">364. </w:t>
      </w:r>
      <w:r w:rsidR="00153641" w:rsidRPr="00153641">
        <w:rPr>
          <w:rFonts w:ascii="Verdana" w:hAnsi="Verdana"/>
          <w:sz w:val="18"/>
          <w:szCs w:val="18"/>
          <w:lang w:val="pt-BR"/>
        </w:rPr>
        <w:t>Caso algum dos beneficiários tenha falecido ou venha a falecer antes que lhe sejam entregues as indenizações respectivas, estas serão pagas diretamente a seus sucessores, conforme o direito interno aplicável</w:t>
      </w:r>
      <w:r w:rsidRPr="00153641">
        <w:rPr>
          <w:rFonts w:ascii="Verdana" w:hAnsi="Verdana"/>
          <w:sz w:val="18"/>
          <w:szCs w:val="18"/>
          <w:lang w:val="pt-BR"/>
        </w:rPr>
        <w:t xml:space="preserve">. </w:t>
      </w:r>
    </w:p>
    <w:p w:rsidR="0074017B" w:rsidRPr="00C40BD9" w:rsidRDefault="0074017B" w:rsidP="00E048DB">
      <w:pPr>
        <w:pStyle w:val="ListParagraph"/>
        <w:tabs>
          <w:tab w:val="left" w:pos="9356"/>
        </w:tabs>
        <w:spacing w:after="0" w:line="240" w:lineRule="auto"/>
        <w:ind w:right="1138"/>
        <w:contextualSpacing w:val="0"/>
        <w:jc w:val="both"/>
        <w:rPr>
          <w:rFonts w:ascii="Verdana" w:hAnsi="Verdana"/>
          <w:sz w:val="18"/>
          <w:szCs w:val="18"/>
          <w:lang w:val="pt-BR"/>
        </w:rPr>
      </w:pPr>
    </w:p>
    <w:p w:rsidR="0074017B" w:rsidRPr="00C40BD9" w:rsidRDefault="0074017B" w:rsidP="00E048DB">
      <w:pPr>
        <w:pStyle w:val="Default"/>
        <w:tabs>
          <w:tab w:val="left" w:pos="9356"/>
        </w:tabs>
        <w:ind w:left="709" w:right="1138"/>
        <w:jc w:val="both"/>
        <w:rPr>
          <w:rFonts w:eastAsia="Calibri" w:cs="Times New Roman"/>
          <w:color w:val="auto"/>
          <w:sz w:val="18"/>
          <w:szCs w:val="18"/>
        </w:rPr>
      </w:pPr>
      <w:r w:rsidRPr="00C40BD9">
        <w:rPr>
          <w:rFonts w:eastAsia="Calibri" w:cs="Times New Roman"/>
          <w:color w:val="auto"/>
          <w:sz w:val="18"/>
          <w:szCs w:val="18"/>
        </w:rPr>
        <w:t xml:space="preserve">365. </w:t>
      </w:r>
      <w:r w:rsidR="00153641" w:rsidRPr="00153641">
        <w:rPr>
          <w:rFonts w:eastAsia="Calibri" w:cs="Times New Roman"/>
          <w:color w:val="auto"/>
          <w:sz w:val="18"/>
          <w:szCs w:val="18"/>
        </w:rPr>
        <w:t xml:space="preserve">O Estado deve cumprir suas obrigações monetárias mediante o pagamento em dólares dos Estados Unidos da América, ou seu equivalente em moeda brasileira, </w:t>
      </w:r>
      <w:r w:rsidR="00153641" w:rsidRPr="00153641">
        <w:rPr>
          <w:rFonts w:eastAsia="Calibri" w:cs="Times New Roman"/>
          <w:color w:val="auto"/>
          <w:sz w:val="18"/>
          <w:szCs w:val="18"/>
        </w:rPr>
        <w:lastRenderedPageBreak/>
        <w:t>utilizando para o cálculo respectivo o tipo de câmbio que se encontre vigente na bolsa de Nova York, Estados Unidos da América, no dia anterior ao pag</w:t>
      </w:r>
      <w:r w:rsidR="00153641">
        <w:rPr>
          <w:rFonts w:eastAsia="Calibri" w:cs="Times New Roman"/>
          <w:color w:val="auto"/>
          <w:sz w:val="18"/>
          <w:szCs w:val="18"/>
        </w:rPr>
        <w:t>ament</w:t>
      </w:r>
      <w:r w:rsidR="00153641" w:rsidRPr="00153641">
        <w:rPr>
          <w:rFonts w:eastAsia="Calibri" w:cs="Times New Roman"/>
          <w:color w:val="auto"/>
          <w:sz w:val="18"/>
          <w:szCs w:val="18"/>
        </w:rPr>
        <w:t>o</w:t>
      </w:r>
      <w:r w:rsidR="00153641">
        <w:rPr>
          <w:rFonts w:eastAsia="Calibri" w:cs="Times New Roman"/>
          <w:color w:val="auto"/>
          <w:sz w:val="18"/>
          <w:szCs w:val="18"/>
        </w:rPr>
        <w:t>.</w:t>
      </w:r>
      <w:r w:rsidRPr="00C40BD9">
        <w:rPr>
          <w:rFonts w:eastAsia="Calibri" w:cs="Times New Roman"/>
          <w:color w:val="auto"/>
          <w:sz w:val="18"/>
          <w:szCs w:val="18"/>
        </w:rPr>
        <w:t xml:space="preserve"> </w:t>
      </w:r>
    </w:p>
    <w:p w:rsidR="0074017B" w:rsidRPr="00C40BD9" w:rsidRDefault="0074017B" w:rsidP="00A82FB4">
      <w:pPr>
        <w:spacing w:after="0" w:line="240" w:lineRule="auto"/>
        <w:jc w:val="both"/>
        <w:rPr>
          <w:rFonts w:ascii="Verdana" w:hAnsi="Verdana"/>
          <w:sz w:val="18"/>
          <w:szCs w:val="18"/>
          <w:lang w:val="pt-BR"/>
        </w:rPr>
      </w:pPr>
    </w:p>
    <w:p w:rsidR="0074017B" w:rsidRPr="00C40BD9" w:rsidRDefault="00BF48F6" w:rsidP="00A82FB4">
      <w:pPr>
        <w:pStyle w:val="ListParagraph"/>
        <w:numPr>
          <w:ilvl w:val="0"/>
          <w:numId w:val="2"/>
        </w:numPr>
        <w:tabs>
          <w:tab w:val="clear" w:pos="1247"/>
        </w:tabs>
        <w:spacing w:after="0" w:line="240" w:lineRule="auto"/>
        <w:contextualSpacing w:val="0"/>
        <w:jc w:val="both"/>
        <w:rPr>
          <w:rFonts w:ascii="Verdana" w:hAnsi="Verdana"/>
          <w:sz w:val="20"/>
          <w:szCs w:val="20"/>
          <w:lang w:val="pt-BR"/>
        </w:rPr>
      </w:pPr>
      <w:r>
        <w:rPr>
          <w:rFonts w:ascii="Verdana" w:hAnsi="Verdana"/>
          <w:sz w:val="20"/>
          <w:szCs w:val="20"/>
          <w:lang w:val="pt-BR"/>
        </w:rPr>
        <w:t>A</w:t>
      </w:r>
      <w:r w:rsidR="00DE316A">
        <w:rPr>
          <w:rFonts w:ascii="Verdana" w:hAnsi="Verdana"/>
          <w:sz w:val="20"/>
          <w:szCs w:val="20"/>
          <w:lang w:val="pt-BR"/>
        </w:rPr>
        <w:t xml:space="preserve"> </w:t>
      </w:r>
      <w:r w:rsidR="0074017B" w:rsidRPr="00C40BD9">
        <w:rPr>
          <w:rFonts w:ascii="Verdana" w:hAnsi="Verdana"/>
          <w:i/>
          <w:sz w:val="20"/>
          <w:szCs w:val="20"/>
          <w:lang w:val="pt-BR"/>
        </w:rPr>
        <w:t>Corte</w:t>
      </w:r>
      <w:r w:rsidR="00153641">
        <w:rPr>
          <w:rFonts w:ascii="Verdana" w:hAnsi="Verdana"/>
          <w:sz w:val="20"/>
          <w:szCs w:val="20"/>
          <w:lang w:val="pt-BR"/>
        </w:rPr>
        <w:t xml:space="preserve"> considera que </w:t>
      </w:r>
      <w:r w:rsidR="0074017B" w:rsidRPr="00C40BD9">
        <w:rPr>
          <w:rFonts w:ascii="Verdana" w:hAnsi="Verdana"/>
          <w:sz w:val="20"/>
          <w:szCs w:val="20"/>
          <w:lang w:val="pt-BR"/>
        </w:rPr>
        <w:t xml:space="preserve">os </w:t>
      </w:r>
      <w:r w:rsidR="00635878" w:rsidRPr="00C40BD9">
        <w:rPr>
          <w:rFonts w:ascii="Verdana" w:hAnsi="Verdana"/>
          <w:sz w:val="20"/>
          <w:szCs w:val="20"/>
          <w:lang w:val="pt-BR"/>
        </w:rPr>
        <w:t>parágrafos</w:t>
      </w:r>
      <w:r w:rsidR="00DE316A">
        <w:rPr>
          <w:rFonts w:ascii="Verdana" w:hAnsi="Verdana"/>
          <w:sz w:val="20"/>
          <w:szCs w:val="20"/>
          <w:lang w:val="pt-BR"/>
        </w:rPr>
        <w:t xml:space="preserve"> </w:t>
      </w:r>
      <w:r w:rsidR="0074017B" w:rsidRPr="00C40BD9">
        <w:rPr>
          <w:rFonts w:ascii="Verdana" w:hAnsi="Verdana"/>
          <w:sz w:val="20"/>
          <w:szCs w:val="20"/>
          <w:lang w:val="pt-BR"/>
        </w:rPr>
        <w:t xml:space="preserve">363, 364 </w:t>
      </w:r>
      <w:r w:rsidR="00F633DD" w:rsidRPr="00C40BD9">
        <w:rPr>
          <w:rFonts w:ascii="Verdana" w:hAnsi="Verdana"/>
          <w:sz w:val="20"/>
          <w:szCs w:val="20"/>
          <w:lang w:val="pt-BR"/>
        </w:rPr>
        <w:t>e</w:t>
      </w:r>
      <w:r w:rsidR="00DE316A">
        <w:rPr>
          <w:rFonts w:ascii="Verdana" w:hAnsi="Verdana"/>
          <w:sz w:val="20"/>
          <w:szCs w:val="20"/>
          <w:lang w:val="pt-BR"/>
        </w:rPr>
        <w:t xml:space="preserve"> </w:t>
      </w:r>
      <w:r w:rsidR="0074017B" w:rsidRPr="00C40BD9">
        <w:rPr>
          <w:rFonts w:ascii="Verdana" w:hAnsi="Verdana"/>
          <w:sz w:val="20"/>
          <w:szCs w:val="20"/>
          <w:lang w:val="pt-BR"/>
        </w:rPr>
        <w:t xml:space="preserve">365 </w:t>
      </w:r>
      <w:r w:rsidR="00F633DD" w:rsidRPr="00C40BD9">
        <w:rPr>
          <w:rFonts w:ascii="Verdana" w:hAnsi="Verdana"/>
          <w:sz w:val="20"/>
          <w:szCs w:val="20"/>
          <w:lang w:val="pt-BR"/>
        </w:rPr>
        <w:t>da Sentença</w:t>
      </w:r>
      <w:r w:rsidR="00DE316A">
        <w:rPr>
          <w:rFonts w:ascii="Verdana" w:hAnsi="Verdana"/>
          <w:sz w:val="20"/>
          <w:szCs w:val="20"/>
          <w:lang w:val="pt-BR"/>
        </w:rPr>
        <w:t xml:space="preserve"> </w:t>
      </w:r>
      <w:r w:rsidR="00153641">
        <w:rPr>
          <w:rFonts w:ascii="Verdana" w:hAnsi="Verdana"/>
          <w:sz w:val="20"/>
          <w:szCs w:val="20"/>
          <w:lang w:val="pt-BR"/>
        </w:rPr>
        <w:t xml:space="preserve">deixam </w:t>
      </w:r>
      <w:r w:rsidR="0074017B" w:rsidRPr="00C40BD9">
        <w:rPr>
          <w:rFonts w:ascii="Verdana" w:hAnsi="Verdana"/>
          <w:sz w:val="20"/>
          <w:szCs w:val="20"/>
          <w:lang w:val="pt-BR"/>
        </w:rPr>
        <w:t xml:space="preserve">claras as modalidades </w:t>
      </w:r>
      <w:r w:rsidR="00153641">
        <w:rPr>
          <w:rFonts w:ascii="Verdana" w:hAnsi="Verdana"/>
          <w:sz w:val="20"/>
          <w:szCs w:val="20"/>
          <w:lang w:val="pt-BR"/>
        </w:rPr>
        <w:t xml:space="preserve">mediante as quais o </w:t>
      </w:r>
      <w:r w:rsidR="0074017B" w:rsidRPr="00C40BD9">
        <w:rPr>
          <w:rFonts w:ascii="Verdana" w:hAnsi="Verdana"/>
          <w:sz w:val="20"/>
          <w:szCs w:val="20"/>
          <w:lang w:val="pt-BR"/>
        </w:rPr>
        <w:t xml:space="preserve">Estado </w:t>
      </w:r>
      <w:r w:rsidR="006770ED" w:rsidRPr="00C40BD9">
        <w:rPr>
          <w:rFonts w:ascii="Verdana" w:hAnsi="Verdana"/>
          <w:sz w:val="20"/>
          <w:szCs w:val="20"/>
          <w:lang w:val="pt-BR"/>
        </w:rPr>
        <w:t>deve</w:t>
      </w:r>
      <w:r w:rsidR="00DE316A">
        <w:rPr>
          <w:rFonts w:ascii="Verdana" w:hAnsi="Verdana"/>
          <w:sz w:val="20"/>
          <w:szCs w:val="20"/>
          <w:lang w:val="pt-BR"/>
        </w:rPr>
        <w:t xml:space="preserve"> </w:t>
      </w:r>
      <w:r w:rsidR="0074017B" w:rsidRPr="00C40BD9">
        <w:rPr>
          <w:rFonts w:ascii="Verdana" w:hAnsi="Verdana"/>
          <w:sz w:val="20"/>
          <w:szCs w:val="20"/>
          <w:lang w:val="pt-BR"/>
        </w:rPr>
        <w:t xml:space="preserve">efetuar </w:t>
      </w:r>
      <w:r w:rsidR="00153641">
        <w:rPr>
          <w:rFonts w:ascii="Verdana" w:hAnsi="Verdana"/>
          <w:sz w:val="20"/>
          <w:szCs w:val="20"/>
          <w:lang w:val="pt-BR"/>
        </w:rPr>
        <w:t xml:space="preserve">o pagamento </w:t>
      </w:r>
      <w:r w:rsidR="00C06A9B" w:rsidRPr="00C40BD9">
        <w:rPr>
          <w:rFonts w:ascii="Verdana" w:hAnsi="Verdana"/>
          <w:sz w:val="20"/>
          <w:szCs w:val="20"/>
          <w:lang w:val="pt-BR"/>
        </w:rPr>
        <w:t xml:space="preserve">das </w:t>
      </w:r>
      <w:r w:rsidR="0074017B" w:rsidRPr="00C40BD9">
        <w:rPr>
          <w:rFonts w:ascii="Verdana" w:hAnsi="Verdana"/>
          <w:sz w:val="20"/>
          <w:szCs w:val="20"/>
          <w:lang w:val="pt-BR"/>
        </w:rPr>
        <w:t>indeniza</w:t>
      </w:r>
      <w:r w:rsidR="00F633DD" w:rsidRPr="00C40BD9">
        <w:rPr>
          <w:rFonts w:ascii="Verdana" w:hAnsi="Verdana"/>
          <w:sz w:val="20"/>
          <w:szCs w:val="20"/>
          <w:lang w:val="pt-BR"/>
        </w:rPr>
        <w:t>ções</w:t>
      </w:r>
      <w:r w:rsidR="0074017B" w:rsidRPr="00C40BD9">
        <w:rPr>
          <w:rFonts w:ascii="Verdana" w:hAnsi="Verdana"/>
          <w:sz w:val="20"/>
          <w:szCs w:val="20"/>
          <w:lang w:val="pt-BR"/>
        </w:rPr>
        <w:t xml:space="preserve">, </w:t>
      </w:r>
      <w:r w:rsidR="00153641">
        <w:rPr>
          <w:rFonts w:ascii="Verdana" w:hAnsi="Verdana"/>
          <w:sz w:val="20"/>
          <w:szCs w:val="20"/>
          <w:lang w:val="pt-BR"/>
        </w:rPr>
        <w:t xml:space="preserve">inclusive </w:t>
      </w:r>
      <w:r w:rsidR="009070A7">
        <w:rPr>
          <w:rFonts w:ascii="Verdana" w:hAnsi="Verdana"/>
          <w:sz w:val="20"/>
          <w:szCs w:val="20"/>
          <w:lang w:val="pt-BR"/>
        </w:rPr>
        <w:t xml:space="preserve">se referindo </w:t>
      </w:r>
      <w:r w:rsidR="00153641">
        <w:rPr>
          <w:rFonts w:ascii="Verdana" w:hAnsi="Verdana"/>
          <w:sz w:val="20"/>
          <w:szCs w:val="20"/>
          <w:lang w:val="pt-BR"/>
        </w:rPr>
        <w:t xml:space="preserve">à </w:t>
      </w:r>
      <w:r w:rsidR="0074017B" w:rsidRPr="00C40BD9">
        <w:rPr>
          <w:rFonts w:ascii="Verdana" w:hAnsi="Verdana"/>
          <w:sz w:val="20"/>
          <w:szCs w:val="20"/>
          <w:lang w:val="pt-BR"/>
        </w:rPr>
        <w:t>modalidad</w:t>
      </w:r>
      <w:r w:rsidR="00153641">
        <w:rPr>
          <w:rFonts w:ascii="Verdana" w:hAnsi="Verdana"/>
          <w:sz w:val="20"/>
          <w:szCs w:val="20"/>
          <w:lang w:val="pt-BR"/>
        </w:rPr>
        <w:t>e</w:t>
      </w:r>
      <w:r w:rsidR="0074017B" w:rsidRPr="00C40BD9">
        <w:rPr>
          <w:rFonts w:ascii="Verdana" w:hAnsi="Verdana"/>
          <w:sz w:val="20"/>
          <w:szCs w:val="20"/>
          <w:lang w:val="pt-BR"/>
        </w:rPr>
        <w:t xml:space="preserve"> temporal que </w:t>
      </w:r>
      <w:r w:rsidR="006770ED" w:rsidRPr="00C40BD9">
        <w:rPr>
          <w:rFonts w:ascii="Verdana" w:hAnsi="Verdana"/>
          <w:sz w:val="20"/>
          <w:szCs w:val="20"/>
          <w:lang w:val="pt-BR"/>
        </w:rPr>
        <w:t>deve</w:t>
      </w:r>
      <w:r w:rsidR="00DE316A">
        <w:rPr>
          <w:rFonts w:ascii="Verdana" w:hAnsi="Verdana"/>
          <w:sz w:val="20"/>
          <w:szCs w:val="20"/>
          <w:lang w:val="pt-BR"/>
        </w:rPr>
        <w:t xml:space="preserve"> </w:t>
      </w:r>
      <w:r w:rsidR="0074017B" w:rsidRPr="00C40BD9">
        <w:rPr>
          <w:rFonts w:ascii="Verdana" w:hAnsi="Verdana"/>
          <w:sz w:val="20"/>
          <w:szCs w:val="20"/>
          <w:lang w:val="pt-BR"/>
        </w:rPr>
        <w:t>ser observada</w:t>
      </w:r>
      <w:r w:rsidR="001A4631">
        <w:rPr>
          <w:rFonts w:ascii="Verdana" w:hAnsi="Verdana"/>
          <w:sz w:val="20"/>
          <w:szCs w:val="20"/>
          <w:lang w:val="pt-BR"/>
        </w:rPr>
        <w:t>. O</w:t>
      </w:r>
      <w:r w:rsidR="00153641">
        <w:rPr>
          <w:rFonts w:ascii="Verdana" w:hAnsi="Verdana"/>
          <w:sz w:val="20"/>
          <w:szCs w:val="20"/>
          <w:lang w:val="pt-BR"/>
        </w:rPr>
        <w:t xml:space="preserve">u seja, o prazo </w:t>
      </w:r>
      <w:r w:rsidR="0074017B" w:rsidRPr="00C40BD9">
        <w:rPr>
          <w:rFonts w:ascii="Verdana" w:hAnsi="Verdana"/>
          <w:sz w:val="20"/>
          <w:szCs w:val="20"/>
          <w:lang w:val="pt-BR"/>
        </w:rPr>
        <w:t>previsto para os de</w:t>
      </w:r>
      <w:r w:rsidR="00153641">
        <w:rPr>
          <w:rFonts w:ascii="Verdana" w:hAnsi="Verdana"/>
          <w:sz w:val="20"/>
          <w:szCs w:val="20"/>
          <w:lang w:val="pt-BR"/>
        </w:rPr>
        <w:t>v</w:t>
      </w:r>
      <w:r w:rsidR="0074017B" w:rsidRPr="00C40BD9">
        <w:rPr>
          <w:rFonts w:ascii="Verdana" w:hAnsi="Verdana"/>
          <w:sz w:val="20"/>
          <w:szCs w:val="20"/>
          <w:lang w:val="pt-BR"/>
        </w:rPr>
        <w:t>idos pag</w:t>
      </w:r>
      <w:r w:rsidR="00153641">
        <w:rPr>
          <w:rFonts w:ascii="Verdana" w:hAnsi="Verdana"/>
          <w:sz w:val="20"/>
          <w:szCs w:val="20"/>
          <w:lang w:val="pt-BR"/>
        </w:rPr>
        <w:t>ament</w:t>
      </w:r>
      <w:r w:rsidR="0074017B" w:rsidRPr="00C40BD9">
        <w:rPr>
          <w:rFonts w:ascii="Verdana" w:hAnsi="Verdana"/>
          <w:sz w:val="20"/>
          <w:szCs w:val="20"/>
          <w:lang w:val="pt-BR"/>
        </w:rPr>
        <w:t xml:space="preserve">os, como se </w:t>
      </w:r>
      <w:r w:rsidR="00153641">
        <w:rPr>
          <w:rFonts w:ascii="Verdana" w:hAnsi="Verdana"/>
          <w:sz w:val="20"/>
          <w:szCs w:val="20"/>
          <w:lang w:val="pt-BR"/>
        </w:rPr>
        <w:t xml:space="preserve">deduz do </w:t>
      </w:r>
      <w:r w:rsidR="00C06A9B" w:rsidRPr="00C40BD9">
        <w:rPr>
          <w:rFonts w:ascii="Verdana" w:hAnsi="Verdana"/>
          <w:sz w:val="20"/>
          <w:szCs w:val="20"/>
          <w:lang w:val="pt-BR"/>
        </w:rPr>
        <w:t>parágrafo</w:t>
      </w:r>
      <w:r w:rsidR="00DE316A">
        <w:rPr>
          <w:rFonts w:ascii="Verdana" w:hAnsi="Verdana"/>
          <w:sz w:val="20"/>
          <w:szCs w:val="20"/>
          <w:lang w:val="pt-BR"/>
        </w:rPr>
        <w:t xml:space="preserve"> </w:t>
      </w:r>
      <w:r w:rsidR="004A18EF" w:rsidRPr="00C40BD9">
        <w:rPr>
          <w:rFonts w:ascii="Verdana" w:hAnsi="Verdana"/>
          <w:sz w:val="20"/>
          <w:szCs w:val="20"/>
          <w:lang w:val="pt-BR"/>
        </w:rPr>
        <w:t>363</w:t>
      </w:r>
      <w:r w:rsidR="0074017B" w:rsidRPr="00C40BD9">
        <w:rPr>
          <w:rFonts w:ascii="Verdana" w:hAnsi="Verdana"/>
          <w:sz w:val="20"/>
          <w:szCs w:val="20"/>
          <w:lang w:val="pt-BR"/>
        </w:rPr>
        <w:t xml:space="preserve">, </w:t>
      </w:r>
      <w:r w:rsidR="00153641">
        <w:rPr>
          <w:rFonts w:ascii="Verdana" w:hAnsi="Verdana"/>
          <w:sz w:val="20"/>
          <w:szCs w:val="20"/>
          <w:lang w:val="pt-BR"/>
        </w:rPr>
        <w:t xml:space="preserve">é de um ano, contado </w:t>
      </w:r>
      <w:r w:rsidR="0074017B" w:rsidRPr="00C40BD9">
        <w:rPr>
          <w:rFonts w:ascii="Verdana" w:hAnsi="Verdana"/>
          <w:sz w:val="20"/>
          <w:szCs w:val="20"/>
          <w:lang w:val="pt-BR"/>
        </w:rPr>
        <w:t xml:space="preserve">a partir </w:t>
      </w:r>
      <w:r w:rsidR="00F633DD" w:rsidRPr="00C40BD9">
        <w:rPr>
          <w:rFonts w:ascii="Verdana" w:hAnsi="Verdana"/>
          <w:sz w:val="20"/>
          <w:szCs w:val="20"/>
          <w:lang w:val="pt-BR"/>
        </w:rPr>
        <w:t xml:space="preserve">da </w:t>
      </w:r>
      <w:r w:rsidR="0074017B" w:rsidRPr="00C40BD9">
        <w:rPr>
          <w:rFonts w:ascii="Verdana" w:hAnsi="Verdana"/>
          <w:sz w:val="20"/>
          <w:szCs w:val="20"/>
          <w:lang w:val="pt-BR"/>
        </w:rPr>
        <w:t>notifica</w:t>
      </w:r>
      <w:r w:rsidR="00F633DD" w:rsidRPr="00C40BD9">
        <w:rPr>
          <w:rFonts w:ascii="Verdana" w:hAnsi="Verdana"/>
          <w:sz w:val="20"/>
          <w:szCs w:val="20"/>
          <w:lang w:val="pt-BR"/>
        </w:rPr>
        <w:t>ção</w:t>
      </w:r>
      <w:r w:rsidR="0074017B" w:rsidRPr="00C40BD9">
        <w:rPr>
          <w:rFonts w:ascii="Verdana" w:hAnsi="Verdana"/>
          <w:sz w:val="20"/>
          <w:szCs w:val="20"/>
          <w:lang w:val="pt-BR"/>
        </w:rPr>
        <w:t xml:space="preserve"> </w:t>
      </w:r>
      <w:r w:rsidR="00F633DD" w:rsidRPr="00C40BD9">
        <w:rPr>
          <w:rFonts w:ascii="Verdana" w:hAnsi="Verdana"/>
          <w:sz w:val="20"/>
          <w:szCs w:val="20"/>
          <w:lang w:val="pt-BR"/>
        </w:rPr>
        <w:t>da Sentença</w:t>
      </w:r>
      <w:r w:rsidR="0074017B" w:rsidRPr="00C40BD9">
        <w:rPr>
          <w:rFonts w:ascii="Verdana" w:hAnsi="Verdana"/>
          <w:sz w:val="20"/>
          <w:szCs w:val="20"/>
          <w:lang w:val="pt-BR"/>
        </w:rPr>
        <w:t>.</w:t>
      </w:r>
    </w:p>
    <w:p w:rsidR="0074017B" w:rsidRPr="00C40BD9" w:rsidRDefault="0074017B" w:rsidP="00A82FB4">
      <w:pPr>
        <w:pStyle w:val="ListParagraph"/>
        <w:spacing w:after="0" w:line="240" w:lineRule="auto"/>
        <w:ind w:left="0"/>
        <w:contextualSpacing w:val="0"/>
        <w:jc w:val="both"/>
        <w:rPr>
          <w:rFonts w:ascii="Verdana" w:hAnsi="Verdana"/>
          <w:sz w:val="20"/>
          <w:szCs w:val="20"/>
          <w:lang w:val="pt-BR"/>
        </w:rPr>
      </w:pPr>
    </w:p>
    <w:p w:rsidR="0074017B" w:rsidRPr="00153641" w:rsidRDefault="00153641" w:rsidP="00A82FB4">
      <w:pPr>
        <w:pStyle w:val="ListParagraph"/>
        <w:numPr>
          <w:ilvl w:val="0"/>
          <w:numId w:val="2"/>
        </w:numPr>
        <w:tabs>
          <w:tab w:val="clear" w:pos="1247"/>
        </w:tabs>
        <w:spacing w:after="0" w:line="240" w:lineRule="auto"/>
        <w:contextualSpacing w:val="0"/>
        <w:jc w:val="both"/>
        <w:rPr>
          <w:rFonts w:ascii="Verdana" w:hAnsi="Verdana"/>
          <w:sz w:val="20"/>
          <w:szCs w:val="20"/>
          <w:lang w:val="pt-BR"/>
        </w:rPr>
      </w:pPr>
      <w:r w:rsidRPr="00153641">
        <w:rPr>
          <w:rFonts w:ascii="Verdana" w:hAnsi="Verdana"/>
          <w:sz w:val="20"/>
          <w:szCs w:val="20"/>
          <w:lang w:val="pt-BR"/>
        </w:rPr>
        <w:t>No entanto</w:t>
      </w:r>
      <w:r w:rsidR="0074017B" w:rsidRPr="00153641">
        <w:rPr>
          <w:rFonts w:ascii="Verdana" w:hAnsi="Verdana"/>
          <w:sz w:val="20"/>
          <w:szCs w:val="20"/>
          <w:lang w:val="pt-BR"/>
        </w:rPr>
        <w:t xml:space="preserve">, </w:t>
      </w:r>
      <w:r w:rsidRPr="00153641">
        <w:rPr>
          <w:rFonts w:ascii="Verdana" w:hAnsi="Verdana"/>
          <w:sz w:val="20"/>
          <w:szCs w:val="20"/>
          <w:lang w:val="pt-BR"/>
        </w:rPr>
        <w:t xml:space="preserve">no </w:t>
      </w:r>
      <w:r w:rsidR="0074017B" w:rsidRPr="00153641">
        <w:rPr>
          <w:rFonts w:ascii="Verdana" w:hAnsi="Verdana"/>
          <w:sz w:val="20"/>
          <w:szCs w:val="20"/>
          <w:lang w:val="pt-BR"/>
        </w:rPr>
        <w:t>presente caso</w:t>
      </w:r>
      <w:r w:rsidRPr="00153641">
        <w:rPr>
          <w:rFonts w:ascii="Verdana" w:hAnsi="Verdana"/>
          <w:sz w:val="20"/>
          <w:szCs w:val="20"/>
          <w:lang w:val="pt-BR"/>
        </w:rPr>
        <w:t xml:space="preserve">, entende-se que, na </w:t>
      </w:r>
      <w:r w:rsidR="0074017B" w:rsidRPr="00153641">
        <w:rPr>
          <w:rFonts w:ascii="Verdana" w:hAnsi="Verdana"/>
          <w:sz w:val="20"/>
          <w:szCs w:val="20"/>
          <w:lang w:val="pt-BR"/>
        </w:rPr>
        <w:t>situa</w:t>
      </w:r>
      <w:r w:rsidR="00F633DD" w:rsidRPr="00153641">
        <w:rPr>
          <w:rFonts w:ascii="Verdana" w:hAnsi="Verdana"/>
          <w:sz w:val="20"/>
          <w:szCs w:val="20"/>
          <w:lang w:val="pt-BR"/>
        </w:rPr>
        <w:t>ção</w:t>
      </w:r>
      <w:r w:rsidR="0074017B" w:rsidRPr="00153641">
        <w:rPr>
          <w:rFonts w:ascii="Verdana" w:hAnsi="Verdana"/>
          <w:sz w:val="20"/>
          <w:szCs w:val="20"/>
          <w:lang w:val="pt-BR"/>
        </w:rPr>
        <w:t xml:space="preserve"> </w:t>
      </w:r>
      <w:r>
        <w:rPr>
          <w:rFonts w:ascii="Verdana" w:hAnsi="Verdana"/>
          <w:sz w:val="20"/>
          <w:szCs w:val="20"/>
          <w:lang w:val="pt-BR"/>
        </w:rPr>
        <w:t xml:space="preserve">apresentada </w:t>
      </w:r>
      <w:r w:rsidR="00036A1B" w:rsidRPr="00153641">
        <w:rPr>
          <w:rFonts w:ascii="Verdana" w:hAnsi="Verdana"/>
          <w:sz w:val="20"/>
          <w:szCs w:val="20"/>
          <w:lang w:val="pt-BR"/>
        </w:rPr>
        <w:t xml:space="preserve">pelo </w:t>
      </w:r>
      <w:r w:rsidR="00C06A9B" w:rsidRPr="00153641">
        <w:rPr>
          <w:rFonts w:ascii="Verdana" w:hAnsi="Verdana"/>
          <w:sz w:val="20"/>
          <w:szCs w:val="20"/>
          <w:lang w:val="pt-BR"/>
        </w:rPr>
        <w:t>parágrafo</w:t>
      </w:r>
      <w:r w:rsidR="00DE316A">
        <w:rPr>
          <w:rFonts w:ascii="Verdana" w:hAnsi="Verdana"/>
          <w:sz w:val="20"/>
          <w:szCs w:val="20"/>
          <w:lang w:val="pt-BR"/>
        </w:rPr>
        <w:t xml:space="preserve"> </w:t>
      </w:r>
      <w:r w:rsidR="0074017B" w:rsidRPr="00153641">
        <w:rPr>
          <w:rFonts w:ascii="Verdana" w:hAnsi="Verdana"/>
          <w:sz w:val="20"/>
          <w:szCs w:val="20"/>
          <w:lang w:val="pt-BR"/>
        </w:rPr>
        <w:t>364 (</w:t>
      </w:r>
      <w:r>
        <w:rPr>
          <w:rFonts w:ascii="Verdana" w:hAnsi="Verdana"/>
          <w:sz w:val="20"/>
          <w:szCs w:val="20"/>
          <w:lang w:val="pt-BR"/>
        </w:rPr>
        <w:t xml:space="preserve">no qual algum beneficiário tenha falecido ou </w:t>
      </w:r>
      <w:r w:rsidR="007B1761">
        <w:rPr>
          <w:rFonts w:ascii="Verdana" w:hAnsi="Verdana"/>
          <w:sz w:val="20"/>
          <w:szCs w:val="20"/>
          <w:lang w:val="pt-BR"/>
        </w:rPr>
        <w:t>venha a falecer</w:t>
      </w:r>
      <w:r>
        <w:rPr>
          <w:rFonts w:ascii="Verdana" w:hAnsi="Verdana"/>
          <w:sz w:val="20"/>
          <w:szCs w:val="20"/>
          <w:lang w:val="pt-BR"/>
        </w:rPr>
        <w:t xml:space="preserve"> antes que lhe seja entregue a devida </w:t>
      </w:r>
      <w:r w:rsidR="0074017B" w:rsidRPr="00153641">
        <w:rPr>
          <w:rFonts w:ascii="Verdana" w:hAnsi="Verdana"/>
          <w:sz w:val="20"/>
          <w:szCs w:val="20"/>
          <w:lang w:val="pt-BR"/>
        </w:rPr>
        <w:t>indeniza</w:t>
      </w:r>
      <w:r w:rsidR="00F633DD" w:rsidRPr="00153641">
        <w:rPr>
          <w:rFonts w:ascii="Verdana" w:hAnsi="Verdana"/>
          <w:sz w:val="20"/>
          <w:szCs w:val="20"/>
          <w:lang w:val="pt-BR"/>
        </w:rPr>
        <w:t>ç</w:t>
      </w:r>
      <w:r w:rsidR="008D3001">
        <w:rPr>
          <w:rFonts w:ascii="Verdana" w:hAnsi="Verdana"/>
          <w:sz w:val="20"/>
          <w:szCs w:val="20"/>
          <w:lang w:val="pt-BR"/>
        </w:rPr>
        <w:t>ão</w:t>
      </w:r>
      <w:r w:rsidR="0074017B" w:rsidRPr="00153641">
        <w:rPr>
          <w:rFonts w:ascii="Verdana" w:hAnsi="Verdana"/>
          <w:sz w:val="20"/>
          <w:szCs w:val="20"/>
          <w:lang w:val="pt-BR"/>
        </w:rPr>
        <w:t xml:space="preserve">), </w:t>
      </w:r>
      <w:r>
        <w:rPr>
          <w:rFonts w:ascii="Verdana" w:hAnsi="Verdana"/>
          <w:sz w:val="20"/>
          <w:szCs w:val="20"/>
          <w:lang w:val="pt-BR"/>
        </w:rPr>
        <w:t xml:space="preserve">devem-se conduzir as diligências </w:t>
      </w:r>
      <w:r w:rsidR="0074017B" w:rsidRPr="00153641">
        <w:rPr>
          <w:rFonts w:ascii="Verdana" w:hAnsi="Verdana"/>
          <w:sz w:val="20"/>
          <w:szCs w:val="20"/>
          <w:lang w:val="pt-BR"/>
        </w:rPr>
        <w:t xml:space="preserve">previstas </w:t>
      </w:r>
      <w:r>
        <w:rPr>
          <w:rFonts w:ascii="Verdana" w:hAnsi="Verdana"/>
          <w:sz w:val="20"/>
          <w:szCs w:val="20"/>
          <w:lang w:val="pt-BR"/>
        </w:rPr>
        <w:t xml:space="preserve">no </w:t>
      </w:r>
      <w:r w:rsidR="006770ED" w:rsidRPr="00153641">
        <w:rPr>
          <w:rFonts w:ascii="Verdana" w:hAnsi="Verdana"/>
          <w:sz w:val="20"/>
          <w:szCs w:val="20"/>
          <w:lang w:val="pt-BR"/>
        </w:rPr>
        <w:t>direito</w:t>
      </w:r>
      <w:r w:rsidR="00DE316A">
        <w:rPr>
          <w:rFonts w:ascii="Verdana" w:hAnsi="Verdana"/>
          <w:sz w:val="20"/>
          <w:szCs w:val="20"/>
          <w:lang w:val="pt-BR"/>
        </w:rPr>
        <w:t xml:space="preserve"> </w:t>
      </w:r>
      <w:r w:rsidR="0074017B" w:rsidRPr="00153641">
        <w:rPr>
          <w:rFonts w:ascii="Verdana" w:hAnsi="Verdana"/>
          <w:sz w:val="20"/>
          <w:szCs w:val="20"/>
          <w:lang w:val="pt-BR"/>
        </w:rPr>
        <w:t xml:space="preserve">interno para que </w:t>
      </w:r>
      <w:r>
        <w:rPr>
          <w:rFonts w:ascii="Verdana" w:hAnsi="Verdana"/>
          <w:sz w:val="20"/>
          <w:szCs w:val="20"/>
          <w:lang w:val="pt-BR"/>
        </w:rPr>
        <w:t xml:space="preserve">seja garantida </w:t>
      </w:r>
      <w:r w:rsidR="006770ED" w:rsidRPr="00153641">
        <w:rPr>
          <w:rFonts w:ascii="Verdana" w:hAnsi="Verdana"/>
          <w:sz w:val="20"/>
          <w:szCs w:val="20"/>
          <w:lang w:val="pt-BR"/>
        </w:rPr>
        <w:t>uma</w:t>
      </w:r>
      <w:r w:rsidR="00DE316A">
        <w:rPr>
          <w:rFonts w:ascii="Verdana" w:hAnsi="Verdana"/>
          <w:sz w:val="20"/>
          <w:szCs w:val="20"/>
          <w:lang w:val="pt-BR"/>
        </w:rPr>
        <w:t xml:space="preserve"> </w:t>
      </w:r>
      <w:r w:rsidR="0074017B" w:rsidRPr="00153641">
        <w:rPr>
          <w:rFonts w:ascii="Verdana" w:hAnsi="Verdana"/>
          <w:sz w:val="20"/>
          <w:szCs w:val="20"/>
          <w:lang w:val="pt-BR"/>
        </w:rPr>
        <w:t>efetiva identifica</w:t>
      </w:r>
      <w:r w:rsidR="00F633DD" w:rsidRPr="00153641">
        <w:rPr>
          <w:rFonts w:ascii="Verdana" w:hAnsi="Verdana"/>
          <w:sz w:val="20"/>
          <w:szCs w:val="20"/>
          <w:lang w:val="pt-BR"/>
        </w:rPr>
        <w:t>ção</w:t>
      </w:r>
      <w:r w:rsidR="0074017B" w:rsidRPr="00153641">
        <w:rPr>
          <w:rFonts w:ascii="Verdana" w:hAnsi="Verdana"/>
          <w:sz w:val="20"/>
          <w:szCs w:val="20"/>
          <w:lang w:val="pt-BR"/>
        </w:rPr>
        <w:t xml:space="preserve"> </w:t>
      </w:r>
      <w:r w:rsidR="00C06A9B" w:rsidRPr="00153641">
        <w:rPr>
          <w:rFonts w:ascii="Verdana" w:hAnsi="Verdana"/>
          <w:sz w:val="20"/>
          <w:szCs w:val="20"/>
          <w:lang w:val="pt-BR"/>
        </w:rPr>
        <w:t xml:space="preserve">dos </w:t>
      </w:r>
      <w:r>
        <w:rPr>
          <w:rFonts w:ascii="Verdana" w:hAnsi="Verdana"/>
          <w:sz w:val="20"/>
          <w:szCs w:val="20"/>
          <w:lang w:val="pt-BR"/>
        </w:rPr>
        <w:t xml:space="preserve">sucessores a quem caberia receber a </w:t>
      </w:r>
      <w:r w:rsidR="0074017B" w:rsidRPr="00153641">
        <w:rPr>
          <w:rFonts w:ascii="Verdana" w:hAnsi="Verdana"/>
          <w:sz w:val="20"/>
          <w:szCs w:val="20"/>
          <w:lang w:val="pt-BR"/>
        </w:rPr>
        <w:t>indeniza</w:t>
      </w:r>
      <w:r w:rsidR="00F633DD" w:rsidRPr="00153641">
        <w:rPr>
          <w:rFonts w:ascii="Verdana" w:hAnsi="Verdana"/>
          <w:sz w:val="20"/>
          <w:szCs w:val="20"/>
          <w:lang w:val="pt-BR"/>
        </w:rPr>
        <w:t>ção</w:t>
      </w:r>
      <w:r w:rsidR="0074017B" w:rsidRPr="00153641">
        <w:rPr>
          <w:rFonts w:ascii="Verdana" w:hAnsi="Verdana"/>
          <w:sz w:val="20"/>
          <w:szCs w:val="20"/>
          <w:lang w:val="pt-BR"/>
        </w:rPr>
        <w:t xml:space="preserve">. </w:t>
      </w:r>
    </w:p>
    <w:p w:rsidR="0074017B" w:rsidRPr="00153641" w:rsidRDefault="0074017B" w:rsidP="00A82FB4">
      <w:pPr>
        <w:pStyle w:val="ListParagraph"/>
        <w:spacing w:after="0" w:line="240" w:lineRule="auto"/>
        <w:ind w:left="0"/>
        <w:contextualSpacing w:val="0"/>
        <w:jc w:val="both"/>
        <w:rPr>
          <w:rFonts w:ascii="Verdana" w:hAnsi="Verdana"/>
          <w:sz w:val="20"/>
          <w:szCs w:val="20"/>
          <w:lang w:val="pt-BR"/>
        </w:rPr>
      </w:pPr>
    </w:p>
    <w:p w:rsidR="0074017B" w:rsidRPr="00153641" w:rsidRDefault="00153641" w:rsidP="00A82FB4">
      <w:pPr>
        <w:pStyle w:val="ListParagraph"/>
        <w:numPr>
          <w:ilvl w:val="0"/>
          <w:numId w:val="2"/>
        </w:numPr>
        <w:tabs>
          <w:tab w:val="clear" w:pos="1247"/>
        </w:tabs>
        <w:spacing w:after="0" w:line="240" w:lineRule="auto"/>
        <w:contextualSpacing w:val="0"/>
        <w:jc w:val="both"/>
        <w:rPr>
          <w:rFonts w:ascii="Verdana" w:hAnsi="Verdana"/>
          <w:sz w:val="20"/>
          <w:szCs w:val="20"/>
          <w:lang w:val="pt-BR"/>
        </w:rPr>
      </w:pPr>
      <w:r w:rsidRPr="00A022F5">
        <w:rPr>
          <w:rFonts w:ascii="Verdana" w:hAnsi="Verdana"/>
          <w:sz w:val="20"/>
          <w:szCs w:val="20"/>
          <w:lang w:val="pt-BR"/>
        </w:rPr>
        <w:t>Infere</w:t>
      </w:r>
      <w:r>
        <w:rPr>
          <w:rFonts w:ascii="Verdana" w:hAnsi="Verdana"/>
          <w:sz w:val="20"/>
          <w:szCs w:val="20"/>
          <w:lang w:val="pt-BR"/>
        </w:rPr>
        <w:t xml:space="preserve">-se, portanto, que os sucessores dos beneficiários devem </w:t>
      </w:r>
      <w:r w:rsidR="0074017B" w:rsidRPr="00C40BD9">
        <w:rPr>
          <w:rFonts w:ascii="Verdana" w:hAnsi="Verdana"/>
          <w:sz w:val="20"/>
          <w:szCs w:val="20"/>
          <w:lang w:val="pt-BR"/>
        </w:rPr>
        <w:t>ser previamente identificados</w:t>
      </w:r>
      <w:r w:rsidR="00A022F5">
        <w:rPr>
          <w:rFonts w:ascii="Verdana" w:hAnsi="Verdana"/>
          <w:sz w:val="20"/>
          <w:szCs w:val="20"/>
          <w:lang w:val="pt-BR"/>
        </w:rPr>
        <w:t>,</w:t>
      </w:r>
      <w:r w:rsidR="0074017B" w:rsidRPr="00C40BD9">
        <w:rPr>
          <w:rFonts w:ascii="Verdana" w:hAnsi="Verdana"/>
          <w:sz w:val="20"/>
          <w:szCs w:val="20"/>
          <w:lang w:val="pt-BR"/>
        </w:rPr>
        <w:t xml:space="preserve"> conforme </w:t>
      </w:r>
      <w:r>
        <w:rPr>
          <w:rFonts w:ascii="Verdana" w:hAnsi="Verdana"/>
          <w:sz w:val="20"/>
          <w:szCs w:val="20"/>
          <w:lang w:val="pt-BR"/>
        </w:rPr>
        <w:t xml:space="preserve">o </w:t>
      </w:r>
      <w:r w:rsidR="006770ED" w:rsidRPr="00C40BD9">
        <w:rPr>
          <w:rFonts w:ascii="Verdana" w:hAnsi="Verdana"/>
          <w:sz w:val="20"/>
          <w:szCs w:val="20"/>
          <w:lang w:val="pt-BR"/>
        </w:rPr>
        <w:t>direito</w:t>
      </w:r>
      <w:r w:rsidR="00DE316A">
        <w:rPr>
          <w:rFonts w:ascii="Verdana" w:hAnsi="Verdana"/>
          <w:sz w:val="20"/>
          <w:szCs w:val="20"/>
          <w:lang w:val="pt-BR"/>
        </w:rPr>
        <w:t xml:space="preserve"> </w:t>
      </w:r>
      <w:r w:rsidR="0074017B" w:rsidRPr="00C40BD9">
        <w:rPr>
          <w:rFonts w:ascii="Verdana" w:hAnsi="Verdana"/>
          <w:sz w:val="20"/>
          <w:szCs w:val="20"/>
          <w:lang w:val="pt-BR"/>
        </w:rPr>
        <w:t>interno</w:t>
      </w:r>
      <w:r w:rsidR="00A022F5">
        <w:rPr>
          <w:rFonts w:ascii="Verdana" w:hAnsi="Verdana"/>
          <w:sz w:val="20"/>
          <w:szCs w:val="20"/>
          <w:lang w:val="pt-BR"/>
        </w:rPr>
        <w:t>,</w:t>
      </w:r>
      <w:r w:rsidR="0074017B" w:rsidRPr="00C40BD9">
        <w:rPr>
          <w:rFonts w:ascii="Verdana" w:hAnsi="Verdana"/>
          <w:sz w:val="20"/>
          <w:szCs w:val="20"/>
          <w:lang w:val="pt-BR"/>
        </w:rPr>
        <w:t xml:space="preserve"> para que p</w:t>
      </w:r>
      <w:r>
        <w:rPr>
          <w:rFonts w:ascii="Verdana" w:hAnsi="Verdana"/>
          <w:sz w:val="20"/>
          <w:szCs w:val="20"/>
          <w:lang w:val="pt-BR"/>
        </w:rPr>
        <w:t xml:space="preserve">ossam receber a </w:t>
      </w:r>
      <w:r w:rsidR="0074017B" w:rsidRPr="00C40BD9">
        <w:rPr>
          <w:rFonts w:ascii="Verdana" w:hAnsi="Verdana"/>
          <w:sz w:val="20"/>
          <w:szCs w:val="20"/>
          <w:lang w:val="pt-BR"/>
        </w:rPr>
        <w:t>indeniza</w:t>
      </w:r>
      <w:r w:rsidR="00F633DD" w:rsidRPr="00C40BD9">
        <w:rPr>
          <w:rFonts w:ascii="Verdana" w:hAnsi="Verdana"/>
          <w:sz w:val="20"/>
          <w:szCs w:val="20"/>
          <w:lang w:val="pt-BR"/>
        </w:rPr>
        <w:t>ção</w:t>
      </w:r>
      <w:r w:rsidR="0074017B" w:rsidRPr="00C40BD9">
        <w:rPr>
          <w:rFonts w:ascii="Verdana" w:hAnsi="Verdana"/>
          <w:sz w:val="20"/>
          <w:szCs w:val="20"/>
          <w:lang w:val="pt-BR"/>
        </w:rPr>
        <w:t xml:space="preserve">. </w:t>
      </w:r>
      <w:r w:rsidRPr="00153641">
        <w:rPr>
          <w:rFonts w:ascii="Verdana" w:hAnsi="Verdana"/>
          <w:sz w:val="20"/>
          <w:szCs w:val="20"/>
          <w:lang w:val="pt-BR"/>
        </w:rPr>
        <w:t xml:space="preserve">Nesse </w:t>
      </w:r>
      <w:r w:rsidR="0074017B" w:rsidRPr="00153641">
        <w:rPr>
          <w:rFonts w:ascii="Verdana" w:hAnsi="Verdana"/>
          <w:sz w:val="20"/>
          <w:szCs w:val="20"/>
          <w:lang w:val="pt-BR"/>
        </w:rPr>
        <w:t xml:space="preserve">sentido, </w:t>
      </w:r>
      <w:r>
        <w:rPr>
          <w:rFonts w:ascii="Verdana" w:hAnsi="Verdana"/>
          <w:sz w:val="20"/>
          <w:szCs w:val="20"/>
          <w:lang w:val="pt-BR"/>
        </w:rPr>
        <w:t xml:space="preserve">caso, </w:t>
      </w:r>
      <w:r w:rsidRPr="00153641">
        <w:rPr>
          <w:rFonts w:ascii="Verdana" w:hAnsi="Verdana"/>
          <w:sz w:val="20"/>
          <w:szCs w:val="20"/>
          <w:lang w:val="pt-BR"/>
        </w:rPr>
        <w:t xml:space="preserve">no prazo de um </w:t>
      </w:r>
      <w:r w:rsidR="00635878" w:rsidRPr="00153641">
        <w:rPr>
          <w:rFonts w:ascii="Verdana" w:hAnsi="Verdana"/>
          <w:sz w:val="20"/>
          <w:szCs w:val="20"/>
          <w:lang w:val="pt-BR"/>
        </w:rPr>
        <w:t>ano</w:t>
      </w:r>
      <w:r w:rsidR="00DE316A">
        <w:rPr>
          <w:rFonts w:ascii="Verdana" w:hAnsi="Verdana"/>
          <w:sz w:val="20"/>
          <w:szCs w:val="20"/>
          <w:lang w:val="pt-BR"/>
        </w:rPr>
        <w:t xml:space="preserve"> </w:t>
      </w:r>
      <w:r w:rsidR="0074017B" w:rsidRPr="00153641">
        <w:rPr>
          <w:rFonts w:ascii="Verdana" w:hAnsi="Verdana"/>
          <w:sz w:val="20"/>
          <w:szCs w:val="20"/>
          <w:lang w:val="pt-BR"/>
        </w:rPr>
        <w:t xml:space="preserve">indicado </w:t>
      </w:r>
      <w:r>
        <w:rPr>
          <w:rFonts w:ascii="Verdana" w:hAnsi="Verdana"/>
          <w:sz w:val="20"/>
          <w:szCs w:val="20"/>
          <w:lang w:val="pt-BR"/>
        </w:rPr>
        <w:t xml:space="preserve">no </w:t>
      </w:r>
      <w:r w:rsidR="00C06A9B" w:rsidRPr="00153641">
        <w:rPr>
          <w:rFonts w:ascii="Verdana" w:hAnsi="Verdana"/>
          <w:sz w:val="20"/>
          <w:szCs w:val="20"/>
          <w:lang w:val="pt-BR"/>
        </w:rPr>
        <w:t>parágrafo</w:t>
      </w:r>
      <w:r w:rsidR="00DE316A">
        <w:rPr>
          <w:rFonts w:ascii="Verdana" w:hAnsi="Verdana"/>
          <w:sz w:val="20"/>
          <w:szCs w:val="20"/>
          <w:lang w:val="pt-BR"/>
        </w:rPr>
        <w:t xml:space="preserve"> </w:t>
      </w:r>
      <w:r w:rsidR="0074017B" w:rsidRPr="00153641">
        <w:rPr>
          <w:rFonts w:ascii="Verdana" w:hAnsi="Verdana"/>
          <w:sz w:val="20"/>
          <w:szCs w:val="20"/>
          <w:lang w:val="pt-BR"/>
        </w:rPr>
        <w:t>363</w:t>
      </w:r>
      <w:r>
        <w:rPr>
          <w:rFonts w:ascii="Verdana" w:hAnsi="Verdana"/>
          <w:sz w:val="20"/>
          <w:szCs w:val="20"/>
          <w:lang w:val="pt-BR"/>
        </w:rPr>
        <w:t xml:space="preserve">, essa determinação não tenha se concretizado, de acordo com o </w:t>
      </w:r>
      <w:r w:rsidR="006770ED" w:rsidRPr="00153641">
        <w:rPr>
          <w:rFonts w:ascii="Verdana" w:hAnsi="Verdana"/>
          <w:sz w:val="20"/>
          <w:szCs w:val="20"/>
          <w:lang w:val="pt-BR"/>
        </w:rPr>
        <w:t>direito</w:t>
      </w:r>
      <w:r w:rsidR="00DE316A">
        <w:rPr>
          <w:rFonts w:ascii="Verdana" w:hAnsi="Verdana"/>
          <w:sz w:val="20"/>
          <w:szCs w:val="20"/>
          <w:lang w:val="pt-BR"/>
        </w:rPr>
        <w:t xml:space="preserve"> </w:t>
      </w:r>
      <w:r w:rsidR="0074017B" w:rsidRPr="00153641">
        <w:rPr>
          <w:rFonts w:ascii="Verdana" w:hAnsi="Verdana"/>
          <w:sz w:val="20"/>
          <w:szCs w:val="20"/>
          <w:lang w:val="pt-BR"/>
        </w:rPr>
        <w:t xml:space="preserve">interno, </w:t>
      </w:r>
      <w:r>
        <w:rPr>
          <w:rFonts w:ascii="Verdana" w:hAnsi="Verdana"/>
          <w:sz w:val="20"/>
          <w:szCs w:val="20"/>
          <w:lang w:val="pt-BR"/>
        </w:rPr>
        <w:t xml:space="preserve">o </w:t>
      </w:r>
      <w:r w:rsidR="0074017B" w:rsidRPr="00153641">
        <w:rPr>
          <w:rFonts w:ascii="Verdana" w:hAnsi="Verdana"/>
          <w:sz w:val="20"/>
          <w:szCs w:val="20"/>
          <w:lang w:val="pt-BR"/>
        </w:rPr>
        <w:t xml:space="preserve">valor </w:t>
      </w:r>
      <w:r w:rsidR="00F633DD" w:rsidRPr="00153641">
        <w:rPr>
          <w:rFonts w:ascii="Verdana" w:hAnsi="Verdana"/>
          <w:sz w:val="20"/>
          <w:szCs w:val="20"/>
          <w:lang w:val="pt-BR"/>
        </w:rPr>
        <w:t xml:space="preserve">da </w:t>
      </w:r>
      <w:r w:rsidR="0074017B" w:rsidRPr="00153641">
        <w:rPr>
          <w:rFonts w:ascii="Verdana" w:hAnsi="Verdana"/>
          <w:sz w:val="20"/>
          <w:szCs w:val="20"/>
          <w:lang w:val="pt-BR"/>
        </w:rPr>
        <w:t>indeniza</w:t>
      </w:r>
      <w:r w:rsidR="00F633DD" w:rsidRPr="00153641">
        <w:rPr>
          <w:rFonts w:ascii="Verdana" w:hAnsi="Verdana"/>
          <w:sz w:val="20"/>
          <w:szCs w:val="20"/>
          <w:lang w:val="pt-BR"/>
        </w:rPr>
        <w:t>ção</w:t>
      </w:r>
      <w:r w:rsidR="0074017B" w:rsidRPr="00153641">
        <w:rPr>
          <w:rFonts w:ascii="Verdana" w:hAnsi="Verdana"/>
          <w:sz w:val="20"/>
          <w:szCs w:val="20"/>
          <w:lang w:val="pt-BR"/>
        </w:rPr>
        <w:t xml:space="preserve"> ser</w:t>
      </w:r>
      <w:r>
        <w:rPr>
          <w:rFonts w:ascii="Verdana" w:hAnsi="Verdana"/>
          <w:sz w:val="20"/>
          <w:szCs w:val="20"/>
          <w:lang w:val="pt-BR"/>
        </w:rPr>
        <w:t>á</w:t>
      </w:r>
      <w:r w:rsidR="0074017B" w:rsidRPr="00153641">
        <w:rPr>
          <w:rFonts w:ascii="Verdana" w:hAnsi="Verdana"/>
          <w:sz w:val="20"/>
          <w:szCs w:val="20"/>
          <w:lang w:val="pt-BR"/>
        </w:rPr>
        <w:t xml:space="preserve"> consignado judicialmente</w:t>
      </w:r>
      <w:r>
        <w:rPr>
          <w:rFonts w:ascii="Verdana" w:hAnsi="Verdana"/>
          <w:sz w:val="20"/>
          <w:szCs w:val="20"/>
          <w:lang w:val="pt-BR"/>
        </w:rPr>
        <w:t xml:space="preserve">, em </w:t>
      </w:r>
      <w:r w:rsidR="0074017B" w:rsidRPr="00153641">
        <w:rPr>
          <w:rFonts w:ascii="Verdana" w:hAnsi="Verdana"/>
          <w:sz w:val="20"/>
          <w:szCs w:val="20"/>
          <w:lang w:val="pt-BR"/>
        </w:rPr>
        <w:t>conformidad</w:t>
      </w:r>
      <w:r>
        <w:rPr>
          <w:rFonts w:ascii="Verdana" w:hAnsi="Verdana"/>
          <w:sz w:val="20"/>
          <w:szCs w:val="20"/>
          <w:lang w:val="pt-BR"/>
        </w:rPr>
        <w:t>e</w:t>
      </w:r>
      <w:r w:rsidR="0074017B" w:rsidRPr="00153641">
        <w:rPr>
          <w:rFonts w:ascii="Verdana" w:hAnsi="Verdana"/>
          <w:sz w:val="20"/>
          <w:szCs w:val="20"/>
          <w:lang w:val="pt-BR"/>
        </w:rPr>
        <w:t xml:space="preserve"> </w:t>
      </w:r>
      <w:r>
        <w:rPr>
          <w:rFonts w:ascii="Verdana" w:hAnsi="Verdana"/>
          <w:sz w:val="20"/>
          <w:szCs w:val="20"/>
          <w:lang w:val="pt-BR"/>
        </w:rPr>
        <w:t xml:space="preserve">com </w:t>
      </w:r>
      <w:r w:rsidR="0074017B" w:rsidRPr="00153641">
        <w:rPr>
          <w:rFonts w:ascii="Verdana" w:hAnsi="Verdana"/>
          <w:sz w:val="20"/>
          <w:szCs w:val="20"/>
          <w:lang w:val="pt-BR"/>
        </w:rPr>
        <w:t>a legisla</w:t>
      </w:r>
      <w:r w:rsidR="00F633DD" w:rsidRPr="00153641">
        <w:rPr>
          <w:rFonts w:ascii="Verdana" w:hAnsi="Verdana"/>
          <w:sz w:val="20"/>
          <w:szCs w:val="20"/>
          <w:lang w:val="pt-BR"/>
        </w:rPr>
        <w:t>ção</w:t>
      </w:r>
      <w:r w:rsidR="0074017B" w:rsidRPr="00153641">
        <w:rPr>
          <w:rFonts w:ascii="Verdana" w:hAnsi="Verdana"/>
          <w:sz w:val="20"/>
          <w:szCs w:val="20"/>
          <w:lang w:val="pt-BR"/>
        </w:rPr>
        <w:t xml:space="preserve"> </w:t>
      </w:r>
      <w:r>
        <w:rPr>
          <w:rFonts w:ascii="Verdana" w:hAnsi="Verdana"/>
          <w:sz w:val="20"/>
          <w:szCs w:val="20"/>
          <w:lang w:val="pt-BR"/>
        </w:rPr>
        <w:t>brasileira aplicável</w:t>
      </w:r>
      <w:r w:rsidR="0074017B" w:rsidRPr="00153641">
        <w:rPr>
          <w:rFonts w:ascii="Verdana" w:hAnsi="Verdana"/>
          <w:sz w:val="20"/>
          <w:szCs w:val="20"/>
          <w:lang w:val="pt-BR"/>
        </w:rPr>
        <w:t>. U</w:t>
      </w:r>
      <w:r w:rsidRPr="00153641">
        <w:rPr>
          <w:rFonts w:ascii="Verdana" w:hAnsi="Verdana"/>
          <w:sz w:val="20"/>
          <w:szCs w:val="20"/>
          <w:lang w:val="pt-BR"/>
        </w:rPr>
        <w:t>m</w:t>
      </w:r>
      <w:r w:rsidR="0074017B" w:rsidRPr="00153641">
        <w:rPr>
          <w:rFonts w:ascii="Verdana" w:hAnsi="Verdana"/>
          <w:sz w:val="20"/>
          <w:szCs w:val="20"/>
          <w:lang w:val="pt-BR"/>
        </w:rPr>
        <w:t xml:space="preserve">a vez </w:t>
      </w:r>
      <w:r w:rsidRPr="00153641">
        <w:rPr>
          <w:rFonts w:ascii="Verdana" w:hAnsi="Verdana"/>
          <w:sz w:val="20"/>
          <w:szCs w:val="20"/>
          <w:lang w:val="pt-BR"/>
        </w:rPr>
        <w:t xml:space="preserve">concluído o </w:t>
      </w:r>
      <w:r w:rsidR="0074017B" w:rsidRPr="00153641">
        <w:rPr>
          <w:rFonts w:ascii="Verdana" w:hAnsi="Verdana"/>
          <w:sz w:val="20"/>
          <w:szCs w:val="20"/>
          <w:lang w:val="pt-BR"/>
        </w:rPr>
        <w:t>procedimento interno para a determina</w:t>
      </w:r>
      <w:r w:rsidR="00F633DD" w:rsidRPr="00153641">
        <w:rPr>
          <w:rFonts w:ascii="Verdana" w:hAnsi="Verdana"/>
          <w:sz w:val="20"/>
          <w:szCs w:val="20"/>
          <w:lang w:val="pt-BR"/>
        </w:rPr>
        <w:t>ção</w:t>
      </w:r>
      <w:r w:rsidR="0074017B" w:rsidRPr="00153641">
        <w:rPr>
          <w:rFonts w:ascii="Verdana" w:hAnsi="Verdana"/>
          <w:sz w:val="20"/>
          <w:szCs w:val="20"/>
          <w:lang w:val="pt-BR"/>
        </w:rPr>
        <w:t xml:space="preserve"> </w:t>
      </w:r>
      <w:r w:rsidR="00C06A9B" w:rsidRPr="00153641">
        <w:rPr>
          <w:rFonts w:ascii="Verdana" w:hAnsi="Verdana"/>
          <w:sz w:val="20"/>
          <w:szCs w:val="20"/>
          <w:lang w:val="pt-BR"/>
        </w:rPr>
        <w:t xml:space="preserve">dos </w:t>
      </w:r>
      <w:r w:rsidRPr="00153641">
        <w:rPr>
          <w:rFonts w:ascii="Verdana" w:hAnsi="Verdana"/>
          <w:sz w:val="20"/>
          <w:szCs w:val="20"/>
          <w:lang w:val="pt-BR"/>
        </w:rPr>
        <w:t xml:space="preserve">sucessores, </w:t>
      </w:r>
      <w:r>
        <w:rPr>
          <w:rFonts w:ascii="Verdana" w:hAnsi="Verdana"/>
          <w:sz w:val="20"/>
          <w:szCs w:val="20"/>
          <w:lang w:val="pt-BR"/>
        </w:rPr>
        <w:t>o</w:t>
      </w:r>
      <w:r w:rsidR="0074017B" w:rsidRPr="00153641">
        <w:rPr>
          <w:rFonts w:ascii="Verdana" w:hAnsi="Verdana"/>
          <w:sz w:val="20"/>
          <w:szCs w:val="20"/>
          <w:lang w:val="pt-BR"/>
        </w:rPr>
        <w:t xml:space="preserve"> Estado garantirá que </w:t>
      </w:r>
      <w:r>
        <w:rPr>
          <w:rFonts w:ascii="Verdana" w:hAnsi="Verdana"/>
          <w:sz w:val="20"/>
          <w:szCs w:val="20"/>
          <w:lang w:val="pt-BR"/>
        </w:rPr>
        <w:t xml:space="preserve">lhes sejam entregues os montantes </w:t>
      </w:r>
      <w:r w:rsidR="0074017B" w:rsidRPr="00153641">
        <w:rPr>
          <w:rFonts w:ascii="Verdana" w:hAnsi="Verdana"/>
          <w:sz w:val="20"/>
          <w:szCs w:val="20"/>
          <w:lang w:val="pt-BR"/>
        </w:rPr>
        <w:t xml:space="preserve">consignados, </w:t>
      </w:r>
      <w:r>
        <w:rPr>
          <w:rFonts w:ascii="Verdana" w:hAnsi="Verdana"/>
          <w:sz w:val="20"/>
          <w:szCs w:val="20"/>
          <w:lang w:val="pt-BR"/>
        </w:rPr>
        <w:t>acrescidos dos juros gerados.</w:t>
      </w:r>
      <w:r w:rsidR="005F38B7" w:rsidRPr="00C40BD9">
        <w:rPr>
          <w:rStyle w:val="FootnoteReference"/>
          <w:sz w:val="20"/>
          <w:szCs w:val="20"/>
          <w:lang w:val="pt-BR"/>
        </w:rPr>
        <w:footnoteReference w:id="12"/>
      </w:r>
      <w:r w:rsidR="0074017B" w:rsidRPr="00153641">
        <w:rPr>
          <w:rFonts w:ascii="Verdana" w:hAnsi="Verdana"/>
          <w:sz w:val="20"/>
          <w:szCs w:val="20"/>
          <w:lang w:val="pt-BR"/>
        </w:rPr>
        <w:t xml:space="preserve"> </w:t>
      </w:r>
    </w:p>
    <w:p w:rsidR="0074017B" w:rsidRPr="00153641" w:rsidRDefault="0074017B" w:rsidP="00A82FB4">
      <w:pPr>
        <w:pStyle w:val="ListParagraph"/>
        <w:rPr>
          <w:rFonts w:ascii="Verdana" w:hAnsi="Verdana"/>
          <w:sz w:val="20"/>
          <w:szCs w:val="20"/>
          <w:lang w:val="pt-BR"/>
        </w:rPr>
      </w:pPr>
    </w:p>
    <w:p w:rsidR="0074017B" w:rsidRPr="00C40BD9" w:rsidRDefault="00456D6E" w:rsidP="00E048DB">
      <w:pPr>
        <w:pStyle w:val="ListParagraph"/>
        <w:widowControl w:val="0"/>
        <w:spacing w:after="0" w:line="240" w:lineRule="auto"/>
        <w:ind w:left="0"/>
        <w:contextualSpacing w:val="0"/>
        <w:jc w:val="both"/>
        <w:rPr>
          <w:rFonts w:ascii="Verdana" w:hAnsi="Verdana"/>
          <w:i/>
          <w:sz w:val="20"/>
          <w:szCs w:val="20"/>
          <w:lang w:val="pt-BR"/>
        </w:rPr>
      </w:pPr>
      <w:r w:rsidRPr="00C40BD9">
        <w:rPr>
          <w:rFonts w:ascii="Verdana" w:hAnsi="Verdana"/>
          <w:i/>
          <w:sz w:val="20"/>
          <w:szCs w:val="20"/>
          <w:lang w:val="pt-BR"/>
        </w:rPr>
        <w:t>D</w:t>
      </w:r>
      <w:r w:rsidR="0074017B" w:rsidRPr="00C40BD9">
        <w:rPr>
          <w:rFonts w:ascii="Verdana" w:hAnsi="Verdana"/>
          <w:i/>
          <w:sz w:val="20"/>
          <w:szCs w:val="20"/>
          <w:lang w:val="pt-BR"/>
        </w:rPr>
        <w:t>.2. Cump</w:t>
      </w:r>
      <w:r w:rsidR="00153641">
        <w:rPr>
          <w:rFonts w:ascii="Verdana" w:hAnsi="Verdana"/>
          <w:i/>
          <w:sz w:val="20"/>
          <w:szCs w:val="20"/>
          <w:lang w:val="pt-BR"/>
        </w:rPr>
        <w:t>r</w:t>
      </w:r>
      <w:r w:rsidR="0074017B" w:rsidRPr="00C40BD9">
        <w:rPr>
          <w:rFonts w:ascii="Verdana" w:hAnsi="Verdana"/>
          <w:i/>
          <w:sz w:val="20"/>
          <w:szCs w:val="20"/>
          <w:lang w:val="pt-BR"/>
        </w:rPr>
        <w:t>imento d</w:t>
      </w:r>
      <w:r w:rsidR="00153641">
        <w:rPr>
          <w:rFonts w:ascii="Verdana" w:hAnsi="Verdana"/>
          <w:i/>
          <w:sz w:val="20"/>
          <w:szCs w:val="20"/>
          <w:lang w:val="pt-BR"/>
        </w:rPr>
        <w:t xml:space="preserve">o pagamento </w:t>
      </w:r>
    </w:p>
    <w:p w:rsidR="0074017B" w:rsidRPr="00C40BD9" w:rsidRDefault="0074017B" w:rsidP="00A82FB4">
      <w:pPr>
        <w:widowControl w:val="0"/>
        <w:spacing w:after="0" w:line="240" w:lineRule="auto"/>
        <w:jc w:val="both"/>
        <w:rPr>
          <w:rFonts w:ascii="Verdana" w:hAnsi="Verdana"/>
          <w:b/>
          <w:sz w:val="20"/>
          <w:szCs w:val="20"/>
          <w:lang w:val="pt-BR"/>
        </w:rPr>
      </w:pPr>
    </w:p>
    <w:p w:rsidR="00FC2D19" w:rsidRPr="00C40BD9" w:rsidRDefault="00FC2D19" w:rsidP="00A82FB4">
      <w:pPr>
        <w:pStyle w:val="ListParagraph"/>
        <w:spacing w:after="0" w:line="240" w:lineRule="auto"/>
        <w:ind w:left="0" w:firstLine="720"/>
        <w:contextualSpacing w:val="0"/>
        <w:jc w:val="both"/>
        <w:rPr>
          <w:rFonts w:ascii="Verdana" w:hAnsi="Verdana"/>
          <w:i/>
          <w:sz w:val="20"/>
          <w:szCs w:val="20"/>
          <w:lang w:val="pt-BR"/>
        </w:rPr>
      </w:pPr>
      <w:r w:rsidRPr="00C40BD9">
        <w:rPr>
          <w:rFonts w:ascii="Verdana" w:hAnsi="Verdana"/>
          <w:i/>
          <w:sz w:val="20"/>
          <w:szCs w:val="20"/>
          <w:lang w:val="pt-BR"/>
        </w:rPr>
        <w:t xml:space="preserve">D.2.1. Argumentos </w:t>
      </w:r>
      <w:r w:rsidR="00C06A9B" w:rsidRPr="00C40BD9">
        <w:rPr>
          <w:rFonts w:ascii="Verdana" w:hAnsi="Verdana"/>
          <w:i/>
          <w:sz w:val="20"/>
          <w:szCs w:val="20"/>
          <w:lang w:val="pt-BR"/>
        </w:rPr>
        <w:t xml:space="preserve">das </w:t>
      </w:r>
      <w:r w:rsidRPr="00C40BD9">
        <w:rPr>
          <w:rFonts w:ascii="Verdana" w:hAnsi="Verdana"/>
          <w:i/>
          <w:sz w:val="20"/>
          <w:szCs w:val="20"/>
          <w:lang w:val="pt-BR"/>
        </w:rPr>
        <w:t xml:space="preserve">partes </w:t>
      </w:r>
      <w:r w:rsidR="00F633DD" w:rsidRPr="00C40BD9">
        <w:rPr>
          <w:rFonts w:ascii="Verdana" w:hAnsi="Verdana"/>
          <w:i/>
          <w:sz w:val="20"/>
          <w:szCs w:val="20"/>
          <w:lang w:val="pt-BR"/>
        </w:rPr>
        <w:t>e</w:t>
      </w:r>
      <w:r w:rsidR="00DE316A">
        <w:rPr>
          <w:rFonts w:ascii="Verdana" w:hAnsi="Verdana"/>
          <w:i/>
          <w:sz w:val="20"/>
          <w:szCs w:val="20"/>
          <w:lang w:val="pt-BR"/>
        </w:rPr>
        <w:t xml:space="preserve"> </w:t>
      </w:r>
      <w:r w:rsidR="00F633DD" w:rsidRPr="00C40BD9">
        <w:rPr>
          <w:rFonts w:ascii="Verdana" w:hAnsi="Verdana"/>
          <w:i/>
          <w:sz w:val="20"/>
          <w:szCs w:val="20"/>
          <w:lang w:val="pt-BR"/>
        </w:rPr>
        <w:t xml:space="preserve">da </w:t>
      </w:r>
      <w:r w:rsidR="00C06A9B" w:rsidRPr="00C40BD9">
        <w:rPr>
          <w:rFonts w:ascii="Verdana" w:hAnsi="Verdana"/>
          <w:i/>
          <w:sz w:val="20"/>
          <w:szCs w:val="20"/>
          <w:lang w:val="pt-BR"/>
        </w:rPr>
        <w:t>Comissão</w:t>
      </w:r>
      <w:r w:rsidR="00DE316A">
        <w:rPr>
          <w:rFonts w:ascii="Verdana" w:hAnsi="Verdana"/>
          <w:i/>
          <w:sz w:val="20"/>
          <w:szCs w:val="20"/>
          <w:lang w:val="pt-BR"/>
        </w:rPr>
        <w:t xml:space="preserve"> </w:t>
      </w:r>
    </w:p>
    <w:p w:rsidR="005F38B7" w:rsidRPr="00C40BD9" w:rsidRDefault="005F38B7" w:rsidP="00A82FB4">
      <w:pPr>
        <w:pStyle w:val="ListParagraph"/>
        <w:spacing w:after="0" w:line="240" w:lineRule="auto"/>
        <w:ind w:left="0" w:firstLine="720"/>
        <w:contextualSpacing w:val="0"/>
        <w:jc w:val="both"/>
        <w:rPr>
          <w:rFonts w:ascii="Verdana" w:hAnsi="Verdana"/>
          <w:i/>
          <w:sz w:val="20"/>
          <w:szCs w:val="20"/>
          <w:lang w:val="pt-BR"/>
        </w:rPr>
      </w:pPr>
    </w:p>
    <w:p w:rsidR="0074017B" w:rsidRPr="00C40BD9" w:rsidRDefault="00153641" w:rsidP="00A82FB4">
      <w:pPr>
        <w:pStyle w:val="ListParagraph"/>
        <w:numPr>
          <w:ilvl w:val="0"/>
          <w:numId w:val="2"/>
        </w:numPr>
        <w:tabs>
          <w:tab w:val="clear" w:pos="1247"/>
        </w:tabs>
        <w:spacing w:after="0" w:line="240" w:lineRule="auto"/>
        <w:contextualSpacing w:val="0"/>
        <w:jc w:val="both"/>
        <w:rPr>
          <w:rFonts w:ascii="Verdana" w:hAnsi="Verdana"/>
          <w:sz w:val="20"/>
          <w:szCs w:val="20"/>
          <w:lang w:val="pt-BR"/>
        </w:rPr>
      </w:pPr>
      <w:r>
        <w:rPr>
          <w:rFonts w:ascii="Verdana" w:hAnsi="Verdana"/>
          <w:sz w:val="20"/>
          <w:szCs w:val="20"/>
          <w:lang w:val="pt-BR"/>
        </w:rPr>
        <w:t xml:space="preserve">O </w:t>
      </w:r>
      <w:r w:rsidR="00C06A9B" w:rsidRPr="00C40BD9">
        <w:rPr>
          <w:rFonts w:ascii="Verdana" w:hAnsi="Verdana"/>
          <w:sz w:val="20"/>
          <w:szCs w:val="20"/>
          <w:lang w:val="pt-BR"/>
        </w:rPr>
        <w:t>parágrafo</w:t>
      </w:r>
      <w:r w:rsidR="00DE316A">
        <w:rPr>
          <w:rFonts w:ascii="Verdana" w:hAnsi="Verdana"/>
          <w:sz w:val="20"/>
          <w:szCs w:val="20"/>
          <w:lang w:val="pt-BR"/>
        </w:rPr>
        <w:t xml:space="preserve"> </w:t>
      </w:r>
      <w:r w:rsidR="0074017B" w:rsidRPr="00C40BD9">
        <w:rPr>
          <w:rFonts w:ascii="Verdana" w:hAnsi="Verdana"/>
          <w:sz w:val="20"/>
          <w:szCs w:val="20"/>
          <w:lang w:val="pt-BR"/>
        </w:rPr>
        <w:t>366</w:t>
      </w:r>
      <w:r w:rsidR="004A18EF" w:rsidRPr="00C40BD9">
        <w:rPr>
          <w:rFonts w:ascii="Verdana" w:hAnsi="Verdana"/>
          <w:sz w:val="20"/>
          <w:szCs w:val="20"/>
          <w:lang w:val="pt-BR"/>
        </w:rPr>
        <w:t xml:space="preserve"> </w:t>
      </w:r>
      <w:r w:rsidR="00F633DD" w:rsidRPr="00C40BD9">
        <w:rPr>
          <w:rFonts w:ascii="Verdana" w:hAnsi="Verdana"/>
          <w:sz w:val="20"/>
          <w:szCs w:val="20"/>
          <w:lang w:val="pt-BR"/>
        </w:rPr>
        <w:t>da Sentença</w:t>
      </w:r>
      <w:r w:rsidR="00DE316A">
        <w:rPr>
          <w:rFonts w:ascii="Verdana" w:hAnsi="Verdana"/>
          <w:sz w:val="20"/>
          <w:szCs w:val="20"/>
          <w:lang w:val="pt-BR"/>
        </w:rPr>
        <w:t xml:space="preserve"> </w:t>
      </w:r>
      <w:r>
        <w:rPr>
          <w:rFonts w:ascii="Verdana" w:hAnsi="Verdana"/>
          <w:sz w:val="20"/>
          <w:szCs w:val="20"/>
          <w:lang w:val="pt-BR"/>
        </w:rPr>
        <w:t>dispõe que</w:t>
      </w:r>
      <w:r w:rsidR="008426E2">
        <w:rPr>
          <w:rFonts w:ascii="Verdana" w:hAnsi="Verdana"/>
          <w:sz w:val="20"/>
          <w:szCs w:val="20"/>
          <w:lang w:val="pt-BR"/>
        </w:rPr>
        <w:t xml:space="preserve"> quando, </w:t>
      </w:r>
      <w:r w:rsidR="004A18EF" w:rsidRPr="00C40BD9">
        <w:rPr>
          <w:rFonts w:ascii="Verdana" w:hAnsi="Verdana"/>
          <w:iCs/>
          <w:sz w:val="20"/>
          <w:szCs w:val="20"/>
          <w:lang w:val="pt-BR"/>
        </w:rPr>
        <w:t xml:space="preserve">por causas </w:t>
      </w:r>
      <w:r w:rsidR="008426E2">
        <w:rPr>
          <w:rFonts w:ascii="Verdana" w:hAnsi="Verdana"/>
          <w:iCs/>
          <w:sz w:val="20"/>
          <w:szCs w:val="20"/>
          <w:lang w:val="pt-BR"/>
        </w:rPr>
        <w:t xml:space="preserve">atribuíveis a algum dos beneficiários </w:t>
      </w:r>
      <w:r w:rsidR="00C06A9B" w:rsidRPr="00C40BD9">
        <w:rPr>
          <w:rFonts w:ascii="Verdana" w:hAnsi="Verdana"/>
          <w:iCs/>
          <w:sz w:val="20"/>
          <w:szCs w:val="20"/>
          <w:lang w:val="pt-BR"/>
        </w:rPr>
        <w:t xml:space="preserve">das </w:t>
      </w:r>
      <w:r w:rsidR="004A18EF" w:rsidRPr="00C40BD9">
        <w:rPr>
          <w:rFonts w:ascii="Verdana" w:hAnsi="Verdana"/>
          <w:iCs/>
          <w:sz w:val="20"/>
          <w:szCs w:val="20"/>
          <w:lang w:val="pt-BR"/>
        </w:rPr>
        <w:t>indeniza</w:t>
      </w:r>
      <w:r w:rsidR="00F633DD" w:rsidRPr="00C40BD9">
        <w:rPr>
          <w:rFonts w:ascii="Verdana" w:hAnsi="Verdana"/>
          <w:iCs/>
          <w:sz w:val="20"/>
          <w:szCs w:val="20"/>
          <w:lang w:val="pt-BR"/>
        </w:rPr>
        <w:t>ções</w:t>
      </w:r>
      <w:r w:rsidR="004A18EF" w:rsidRPr="00C40BD9">
        <w:rPr>
          <w:rFonts w:ascii="Verdana" w:hAnsi="Verdana"/>
          <w:iCs/>
          <w:sz w:val="20"/>
          <w:szCs w:val="20"/>
          <w:lang w:val="pt-BR"/>
        </w:rPr>
        <w:t xml:space="preserve"> o</w:t>
      </w:r>
      <w:r w:rsidR="008426E2">
        <w:rPr>
          <w:rFonts w:ascii="Verdana" w:hAnsi="Verdana"/>
          <w:iCs/>
          <w:sz w:val="20"/>
          <w:szCs w:val="20"/>
          <w:lang w:val="pt-BR"/>
        </w:rPr>
        <w:t>u</w:t>
      </w:r>
      <w:r w:rsidR="004A18EF" w:rsidRPr="00C40BD9">
        <w:rPr>
          <w:rFonts w:ascii="Verdana" w:hAnsi="Verdana"/>
          <w:iCs/>
          <w:sz w:val="20"/>
          <w:szCs w:val="20"/>
          <w:lang w:val="pt-BR"/>
        </w:rPr>
        <w:t xml:space="preserve"> a s</w:t>
      </w:r>
      <w:r w:rsidR="008426E2">
        <w:rPr>
          <w:rFonts w:ascii="Verdana" w:hAnsi="Verdana"/>
          <w:iCs/>
          <w:sz w:val="20"/>
          <w:szCs w:val="20"/>
          <w:lang w:val="pt-BR"/>
        </w:rPr>
        <w:t>e</w:t>
      </w:r>
      <w:r w:rsidR="004A18EF" w:rsidRPr="00C40BD9">
        <w:rPr>
          <w:rFonts w:ascii="Verdana" w:hAnsi="Verdana"/>
          <w:iCs/>
          <w:sz w:val="20"/>
          <w:szCs w:val="20"/>
          <w:lang w:val="pt-BR"/>
        </w:rPr>
        <w:t xml:space="preserve">us </w:t>
      </w:r>
      <w:r w:rsidR="008426E2">
        <w:rPr>
          <w:rFonts w:ascii="Verdana" w:hAnsi="Verdana"/>
          <w:iCs/>
          <w:sz w:val="20"/>
          <w:szCs w:val="20"/>
          <w:lang w:val="pt-BR"/>
        </w:rPr>
        <w:t xml:space="preserve">sucessores, </w:t>
      </w:r>
      <w:r w:rsidR="004A18EF" w:rsidRPr="00C40BD9">
        <w:rPr>
          <w:rFonts w:ascii="Verdana" w:hAnsi="Verdana"/>
          <w:iCs/>
          <w:sz w:val="20"/>
          <w:szCs w:val="20"/>
          <w:lang w:val="pt-BR"/>
        </w:rPr>
        <w:t>n</w:t>
      </w:r>
      <w:r w:rsidR="008426E2">
        <w:rPr>
          <w:rFonts w:ascii="Verdana" w:hAnsi="Verdana"/>
          <w:iCs/>
          <w:sz w:val="20"/>
          <w:szCs w:val="20"/>
          <w:lang w:val="pt-BR"/>
        </w:rPr>
        <w:t>ã</w:t>
      </w:r>
      <w:r w:rsidR="004A18EF" w:rsidRPr="00C40BD9">
        <w:rPr>
          <w:rFonts w:ascii="Verdana" w:hAnsi="Verdana"/>
          <w:iCs/>
          <w:sz w:val="20"/>
          <w:szCs w:val="20"/>
          <w:lang w:val="pt-BR"/>
        </w:rPr>
        <w:t xml:space="preserve">o </w:t>
      </w:r>
      <w:r w:rsidR="008426E2">
        <w:rPr>
          <w:rFonts w:ascii="Verdana" w:hAnsi="Verdana"/>
          <w:iCs/>
          <w:sz w:val="20"/>
          <w:szCs w:val="20"/>
          <w:lang w:val="pt-BR"/>
        </w:rPr>
        <w:t xml:space="preserve">seja possível o pagamento </w:t>
      </w:r>
      <w:r w:rsidR="004A18EF" w:rsidRPr="00C40BD9">
        <w:rPr>
          <w:rFonts w:ascii="Verdana" w:hAnsi="Verdana"/>
          <w:iCs/>
          <w:sz w:val="20"/>
          <w:szCs w:val="20"/>
          <w:lang w:val="pt-BR"/>
        </w:rPr>
        <w:t>de todo o</w:t>
      </w:r>
      <w:r w:rsidR="008426E2">
        <w:rPr>
          <w:rFonts w:ascii="Verdana" w:hAnsi="Verdana"/>
          <w:iCs/>
          <w:sz w:val="20"/>
          <w:szCs w:val="20"/>
          <w:lang w:val="pt-BR"/>
        </w:rPr>
        <w:t>u</w:t>
      </w:r>
      <w:r w:rsidR="004A18EF" w:rsidRPr="00C40BD9">
        <w:rPr>
          <w:rFonts w:ascii="Verdana" w:hAnsi="Verdana"/>
          <w:iCs/>
          <w:sz w:val="20"/>
          <w:szCs w:val="20"/>
          <w:lang w:val="pt-BR"/>
        </w:rPr>
        <w:t xml:space="preserve"> parte </w:t>
      </w:r>
      <w:r w:rsidR="008426E2">
        <w:rPr>
          <w:rFonts w:ascii="Verdana" w:hAnsi="Verdana"/>
          <w:iCs/>
          <w:sz w:val="20"/>
          <w:szCs w:val="20"/>
          <w:lang w:val="pt-BR"/>
        </w:rPr>
        <w:t xml:space="preserve">dos montantes </w:t>
      </w:r>
      <w:r w:rsidR="004A18EF" w:rsidRPr="00C40BD9">
        <w:rPr>
          <w:rFonts w:ascii="Verdana" w:hAnsi="Verdana"/>
          <w:iCs/>
          <w:sz w:val="20"/>
          <w:szCs w:val="20"/>
          <w:lang w:val="pt-BR"/>
        </w:rPr>
        <w:t>determinad</w:t>
      </w:r>
      <w:r w:rsidR="008426E2">
        <w:rPr>
          <w:rFonts w:ascii="Verdana" w:hAnsi="Verdana"/>
          <w:iCs/>
          <w:sz w:val="20"/>
          <w:szCs w:val="20"/>
          <w:lang w:val="pt-BR"/>
        </w:rPr>
        <w:t>o</w:t>
      </w:r>
      <w:r w:rsidR="004A18EF" w:rsidRPr="00C40BD9">
        <w:rPr>
          <w:rFonts w:ascii="Verdana" w:hAnsi="Verdana"/>
          <w:iCs/>
          <w:sz w:val="20"/>
          <w:szCs w:val="20"/>
          <w:lang w:val="pt-BR"/>
        </w:rPr>
        <w:t>s</w:t>
      </w:r>
      <w:r w:rsidR="008426E2">
        <w:rPr>
          <w:rFonts w:ascii="Verdana" w:hAnsi="Verdana"/>
          <w:iCs/>
          <w:sz w:val="20"/>
          <w:szCs w:val="20"/>
          <w:lang w:val="pt-BR"/>
        </w:rPr>
        <w:t xml:space="preserve">, no prazo </w:t>
      </w:r>
      <w:r w:rsidR="004A18EF" w:rsidRPr="00C40BD9">
        <w:rPr>
          <w:rFonts w:ascii="Verdana" w:hAnsi="Verdana"/>
          <w:iCs/>
          <w:sz w:val="20"/>
          <w:szCs w:val="20"/>
          <w:lang w:val="pt-BR"/>
        </w:rPr>
        <w:t xml:space="preserve">indicado, </w:t>
      </w:r>
      <w:r w:rsidR="008426E2">
        <w:rPr>
          <w:rFonts w:ascii="Verdana" w:hAnsi="Verdana"/>
          <w:iCs/>
          <w:sz w:val="20"/>
          <w:szCs w:val="20"/>
          <w:lang w:val="pt-BR"/>
        </w:rPr>
        <w:t>o</w:t>
      </w:r>
      <w:r w:rsidR="004A18EF" w:rsidRPr="00C40BD9">
        <w:rPr>
          <w:rFonts w:ascii="Verdana" w:hAnsi="Verdana"/>
          <w:iCs/>
          <w:sz w:val="20"/>
          <w:szCs w:val="20"/>
          <w:lang w:val="pt-BR"/>
        </w:rPr>
        <w:t xml:space="preserve"> Estado consignará </w:t>
      </w:r>
      <w:r w:rsidR="008426E2">
        <w:rPr>
          <w:rFonts w:ascii="Verdana" w:hAnsi="Verdana"/>
          <w:iCs/>
          <w:sz w:val="20"/>
          <w:szCs w:val="20"/>
          <w:lang w:val="pt-BR"/>
        </w:rPr>
        <w:t>esses</w:t>
      </w:r>
      <w:r w:rsidR="004A18EF" w:rsidRPr="00C40BD9">
        <w:rPr>
          <w:rFonts w:ascii="Verdana" w:hAnsi="Verdana"/>
          <w:iCs/>
          <w:sz w:val="20"/>
          <w:szCs w:val="20"/>
          <w:lang w:val="pt-BR"/>
        </w:rPr>
        <w:t xml:space="preserve"> mont</w:t>
      </w:r>
      <w:r w:rsidR="008426E2">
        <w:rPr>
          <w:rFonts w:ascii="Verdana" w:hAnsi="Verdana"/>
          <w:iCs/>
          <w:sz w:val="20"/>
          <w:szCs w:val="20"/>
          <w:lang w:val="pt-BR"/>
        </w:rPr>
        <w:t xml:space="preserve">antes a seu </w:t>
      </w:r>
      <w:r w:rsidR="004A18EF" w:rsidRPr="00C40BD9">
        <w:rPr>
          <w:rFonts w:ascii="Verdana" w:hAnsi="Verdana"/>
          <w:iCs/>
          <w:sz w:val="20"/>
          <w:szCs w:val="20"/>
          <w:lang w:val="pt-BR"/>
        </w:rPr>
        <w:t>favor</w:t>
      </w:r>
      <w:r w:rsidR="008426E2">
        <w:rPr>
          <w:rFonts w:ascii="Verdana" w:hAnsi="Verdana"/>
          <w:iCs/>
          <w:sz w:val="20"/>
          <w:szCs w:val="20"/>
          <w:lang w:val="pt-BR"/>
        </w:rPr>
        <w:t xml:space="preserve">, em conta ou </w:t>
      </w:r>
      <w:r w:rsidR="004A18EF" w:rsidRPr="00C40BD9">
        <w:rPr>
          <w:rFonts w:ascii="Verdana" w:hAnsi="Verdana"/>
          <w:iCs/>
          <w:sz w:val="20"/>
          <w:szCs w:val="20"/>
          <w:lang w:val="pt-BR"/>
        </w:rPr>
        <w:t>certificado de depósito</w:t>
      </w:r>
      <w:r w:rsidR="008426E2">
        <w:rPr>
          <w:rFonts w:ascii="Verdana" w:hAnsi="Verdana"/>
          <w:iCs/>
          <w:sz w:val="20"/>
          <w:szCs w:val="20"/>
          <w:lang w:val="pt-BR"/>
        </w:rPr>
        <w:t xml:space="preserve">, em </w:t>
      </w:r>
      <w:r w:rsidR="004A18EF" w:rsidRPr="00C40BD9">
        <w:rPr>
          <w:rFonts w:ascii="Verdana" w:hAnsi="Verdana"/>
          <w:iCs/>
          <w:sz w:val="20"/>
          <w:szCs w:val="20"/>
          <w:lang w:val="pt-BR"/>
        </w:rPr>
        <w:t>institu</w:t>
      </w:r>
      <w:r w:rsidR="008426E2">
        <w:rPr>
          <w:rFonts w:ascii="Verdana" w:hAnsi="Verdana"/>
          <w:iCs/>
          <w:sz w:val="20"/>
          <w:szCs w:val="20"/>
          <w:lang w:val="pt-BR"/>
        </w:rPr>
        <w:t>i</w:t>
      </w:r>
      <w:r w:rsidR="00F633DD" w:rsidRPr="00C40BD9">
        <w:rPr>
          <w:rFonts w:ascii="Verdana" w:hAnsi="Verdana"/>
          <w:iCs/>
          <w:sz w:val="20"/>
          <w:szCs w:val="20"/>
          <w:lang w:val="pt-BR"/>
        </w:rPr>
        <w:t>ção</w:t>
      </w:r>
      <w:r w:rsidR="004A18EF" w:rsidRPr="00C40BD9">
        <w:rPr>
          <w:rFonts w:ascii="Verdana" w:hAnsi="Verdana"/>
          <w:iCs/>
          <w:sz w:val="20"/>
          <w:szCs w:val="20"/>
          <w:lang w:val="pt-BR"/>
        </w:rPr>
        <w:t xml:space="preserve"> financ</w:t>
      </w:r>
      <w:r w:rsidR="008426E2">
        <w:rPr>
          <w:rFonts w:ascii="Verdana" w:hAnsi="Verdana"/>
          <w:iCs/>
          <w:sz w:val="20"/>
          <w:szCs w:val="20"/>
          <w:lang w:val="pt-BR"/>
        </w:rPr>
        <w:t>e</w:t>
      </w:r>
      <w:r w:rsidR="004A18EF" w:rsidRPr="00C40BD9">
        <w:rPr>
          <w:rFonts w:ascii="Verdana" w:hAnsi="Verdana"/>
          <w:iCs/>
          <w:sz w:val="20"/>
          <w:szCs w:val="20"/>
          <w:lang w:val="pt-BR"/>
        </w:rPr>
        <w:t xml:space="preserve">ira </w:t>
      </w:r>
      <w:r w:rsidR="008426E2">
        <w:rPr>
          <w:rFonts w:ascii="Verdana" w:hAnsi="Verdana"/>
          <w:iCs/>
          <w:sz w:val="20"/>
          <w:szCs w:val="20"/>
          <w:lang w:val="pt-BR"/>
        </w:rPr>
        <w:t xml:space="preserve">brasileira </w:t>
      </w:r>
      <w:r w:rsidR="004A18EF" w:rsidRPr="00C40BD9">
        <w:rPr>
          <w:rFonts w:ascii="Verdana" w:hAnsi="Verdana"/>
          <w:iCs/>
          <w:sz w:val="20"/>
          <w:szCs w:val="20"/>
          <w:lang w:val="pt-BR"/>
        </w:rPr>
        <w:t>solvente, e</w:t>
      </w:r>
      <w:r w:rsidR="008426E2">
        <w:rPr>
          <w:rFonts w:ascii="Verdana" w:hAnsi="Verdana"/>
          <w:iCs/>
          <w:sz w:val="20"/>
          <w:szCs w:val="20"/>
          <w:lang w:val="pt-BR"/>
        </w:rPr>
        <w:t>m</w:t>
      </w:r>
      <w:r w:rsidR="004A18EF" w:rsidRPr="00C40BD9">
        <w:rPr>
          <w:rFonts w:ascii="Verdana" w:hAnsi="Verdana"/>
          <w:iCs/>
          <w:sz w:val="20"/>
          <w:szCs w:val="20"/>
          <w:lang w:val="pt-BR"/>
        </w:rPr>
        <w:t xml:space="preserve"> dólares </w:t>
      </w:r>
      <w:r w:rsidR="00C06A9B" w:rsidRPr="00C40BD9">
        <w:rPr>
          <w:rFonts w:ascii="Verdana" w:hAnsi="Verdana"/>
          <w:iCs/>
          <w:sz w:val="20"/>
          <w:szCs w:val="20"/>
          <w:lang w:val="pt-BR"/>
        </w:rPr>
        <w:t xml:space="preserve">dos </w:t>
      </w:r>
      <w:r w:rsidR="004A18EF" w:rsidRPr="00C40BD9">
        <w:rPr>
          <w:rFonts w:ascii="Verdana" w:hAnsi="Verdana"/>
          <w:iCs/>
          <w:sz w:val="20"/>
          <w:szCs w:val="20"/>
          <w:lang w:val="pt-BR"/>
        </w:rPr>
        <w:t>Estados Unidos d</w:t>
      </w:r>
      <w:r w:rsidR="008426E2">
        <w:rPr>
          <w:rFonts w:ascii="Verdana" w:hAnsi="Verdana"/>
          <w:iCs/>
          <w:sz w:val="20"/>
          <w:szCs w:val="20"/>
          <w:lang w:val="pt-BR"/>
        </w:rPr>
        <w:t>a</w:t>
      </w:r>
      <w:r w:rsidR="004A18EF" w:rsidRPr="00C40BD9">
        <w:rPr>
          <w:rFonts w:ascii="Verdana" w:hAnsi="Verdana"/>
          <w:iCs/>
          <w:sz w:val="20"/>
          <w:szCs w:val="20"/>
          <w:lang w:val="pt-BR"/>
        </w:rPr>
        <w:t xml:space="preserve"> América, </w:t>
      </w:r>
      <w:r w:rsidR="00F633DD" w:rsidRPr="00C40BD9">
        <w:rPr>
          <w:rFonts w:ascii="Verdana" w:hAnsi="Verdana"/>
          <w:iCs/>
          <w:sz w:val="20"/>
          <w:szCs w:val="20"/>
          <w:lang w:val="pt-BR"/>
        </w:rPr>
        <w:t>e</w:t>
      </w:r>
      <w:r w:rsidR="00DE316A">
        <w:rPr>
          <w:rFonts w:ascii="Verdana" w:hAnsi="Verdana"/>
          <w:iCs/>
          <w:sz w:val="20"/>
          <w:szCs w:val="20"/>
          <w:lang w:val="pt-BR"/>
        </w:rPr>
        <w:t xml:space="preserve"> </w:t>
      </w:r>
      <w:r w:rsidR="004A18EF" w:rsidRPr="00C40BD9">
        <w:rPr>
          <w:rFonts w:ascii="Verdana" w:hAnsi="Verdana"/>
          <w:iCs/>
          <w:sz w:val="20"/>
          <w:szCs w:val="20"/>
          <w:lang w:val="pt-BR"/>
        </w:rPr>
        <w:t>nas condi</w:t>
      </w:r>
      <w:r w:rsidR="00F633DD" w:rsidRPr="00C40BD9">
        <w:rPr>
          <w:rFonts w:ascii="Verdana" w:hAnsi="Verdana"/>
          <w:iCs/>
          <w:sz w:val="20"/>
          <w:szCs w:val="20"/>
          <w:lang w:val="pt-BR"/>
        </w:rPr>
        <w:t>ções</w:t>
      </w:r>
      <w:r w:rsidR="004A18EF" w:rsidRPr="00C40BD9">
        <w:rPr>
          <w:rFonts w:ascii="Verdana" w:hAnsi="Verdana"/>
          <w:iCs/>
          <w:sz w:val="20"/>
          <w:szCs w:val="20"/>
          <w:lang w:val="pt-BR"/>
        </w:rPr>
        <w:t xml:space="preserve"> financ</w:t>
      </w:r>
      <w:r w:rsidR="008426E2">
        <w:rPr>
          <w:rFonts w:ascii="Verdana" w:hAnsi="Verdana"/>
          <w:iCs/>
          <w:sz w:val="20"/>
          <w:szCs w:val="20"/>
          <w:lang w:val="pt-BR"/>
        </w:rPr>
        <w:t>e</w:t>
      </w:r>
      <w:r w:rsidR="004A18EF" w:rsidRPr="00C40BD9">
        <w:rPr>
          <w:rFonts w:ascii="Verdana" w:hAnsi="Verdana"/>
          <w:iCs/>
          <w:sz w:val="20"/>
          <w:szCs w:val="20"/>
          <w:lang w:val="pt-BR"/>
        </w:rPr>
        <w:t xml:space="preserve">iras </w:t>
      </w:r>
      <w:r w:rsidR="008426E2">
        <w:rPr>
          <w:rFonts w:ascii="Verdana" w:hAnsi="Verdana"/>
          <w:iCs/>
          <w:sz w:val="20"/>
          <w:szCs w:val="20"/>
          <w:lang w:val="pt-BR"/>
        </w:rPr>
        <w:t xml:space="preserve">mais favoráveis que permitam a </w:t>
      </w:r>
      <w:r w:rsidR="004A18EF" w:rsidRPr="00C40BD9">
        <w:rPr>
          <w:rFonts w:ascii="Verdana" w:hAnsi="Verdana"/>
          <w:iCs/>
          <w:sz w:val="20"/>
          <w:szCs w:val="20"/>
          <w:lang w:val="pt-BR"/>
        </w:rPr>
        <w:t>legisla</w:t>
      </w:r>
      <w:r w:rsidR="00F633DD" w:rsidRPr="00C40BD9">
        <w:rPr>
          <w:rFonts w:ascii="Verdana" w:hAnsi="Verdana"/>
          <w:iCs/>
          <w:sz w:val="20"/>
          <w:szCs w:val="20"/>
          <w:lang w:val="pt-BR"/>
        </w:rPr>
        <w:t>ção</w:t>
      </w:r>
      <w:r w:rsidR="004A18EF" w:rsidRPr="00C40BD9">
        <w:rPr>
          <w:rFonts w:ascii="Verdana" w:hAnsi="Verdana"/>
          <w:iCs/>
          <w:sz w:val="20"/>
          <w:szCs w:val="20"/>
          <w:lang w:val="pt-BR"/>
        </w:rPr>
        <w:t xml:space="preserve"> </w:t>
      </w:r>
      <w:r w:rsidR="00F633DD" w:rsidRPr="00C40BD9">
        <w:rPr>
          <w:rFonts w:ascii="Verdana" w:hAnsi="Verdana"/>
          <w:iCs/>
          <w:sz w:val="20"/>
          <w:szCs w:val="20"/>
          <w:lang w:val="pt-BR"/>
        </w:rPr>
        <w:t>e</w:t>
      </w:r>
      <w:r w:rsidR="00DE316A">
        <w:rPr>
          <w:rFonts w:ascii="Verdana" w:hAnsi="Verdana"/>
          <w:iCs/>
          <w:sz w:val="20"/>
          <w:szCs w:val="20"/>
          <w:lang w:val="pt-BR"/>
        </w:rPr>
        <w:t xml:space="preserve"> </w:t>
      </w:r>
      <w:r w:rsidR="004A18EF" w:rsidRPr="00C40BD9">
        <w:rPr>
          <w:rFonts w:ascii="Verdana" w:hAnsi="Verdana"/>
          <w:iCs/>
          <w:sz w:val="20"/>
          <w:szCs w:val="20"/>
          <w:lang w:val="pt-BR"/>
        </w:rPr>
        <w:t>a prática banc</w:t>
      </w:r>
      <w:r w:rsidR="008426E2">
        <w:rPr>
          <w:rFonts w:ascii="Verdana" w:hAnsi="Verdana"/>
          <w:iCs/>
          <w:sz w:val="20"/>
          <w:szCs w:val="20"/>
          <w:lang w:val="pt-BR"/>
        </w:rPr>
        <w:t>á</w:t>
      </w:r>
      <w:r w:rsidR="004A18EF" w:rsidRPr="00C40BD9">
        <w:rPr>
          <w:rFonts w:ascii="Verdana" w:hAnsi="Verdana"/>
          <w:iCs/>
          <w:sz w:val="20"/>
          <w:szCs w:val="20"/>
          <w:lang w:val="pt-BR"/>
        </w:rPr>
        <w:t xml:space="preserve">ria </w:t>
      </w:r>
      <w:r w:rsidR="00970B13" w:rsidRPr="00C40BD9">
        <w:rPr>
          <w:rFonts w:ascii="Verdana" w:hAnsi="Verdana"/>
          <w:iCs/>
          <w:sz w:val="20"/>
          <w:szCs w:val="20"/>
          <w:lang w:val="pt-BR"/>
        </w:rPr>
        <w:t>do Estado</w:t>
      </w:r>
      <w:r w:rsidR="008426E2">
        <w:rPr>
          <w:rFonts w:ascii="Verdana" w:hAnsi="Verdana"/>
          <w:iCs/>
          <w:sz w:val="20"/>
          <w:szCs w:val="20"/>
          <w:lang w:val="pt-BR"/>
        </w:rPr>
        <w:t>.</w:t>
      </w:r>
      <w:r w:rsidR="00970B13" w:rsidRPr="00C40BD9">
        <w:rPr>
          <w:rFonts w:ascii="Verdana" w:hAnsi="Verdana"/>
          <w:iCs/>
          <w:sz w:val="20"/>
          <w:szCs w:val="20"/>
          <w:lang w:val="pt-BR"/>
        </w:rPr>
        <w:t xml:space="preserve"> </w:t>
      </w:r>
    </w:p>
    <w:p w:rsidR="0074017B" w:rsidRPr="00C40BD9" w:rsidRDefault="0074017B" w:rsidP="00A82FB4">
      <w:pPr>
        <w:pStyle w:val="ListParagraph"/>
        <w:spacing w:after="0" w:line="240" w:lineRule="auto"/>
        <w:ind w:left="0"/>
        <w:contextualSpacing w:val="0"/>
        <w:jc w:val="both"/>
        <w:rPr>
          <w:rFonts w:ascii="Verdana" w:hAnsi="Verdana"/>
          <w:sz w:val="20"/>
          <w:szCs w:val="20"/>
          <w:lang w:val="pt-BR"/>
        </w:rPr>
      </w:pPr>
    </w:p>
    <w:p w:rsidR="0074017B" w:rsidRPr="00C40BD9" w:rsidRDefault="008426E2" w:rsidP="00A82FB4">
      <w:pPr>
        <w:pStyle w:val="ListParagraph"/>
        <w:numPr>
          <w:ilvl w:val="0"/>
          <w:numId w:val="2"/>
        </w:numPr>
        <w:tabs>
          <w:tab w:val="clear" w:pos="1247"/>
        </w:tabs>
        <w:spacing w:after="0" w:line="240" w:lineRule="auto"/>
        <w:contextualSpacing w:val="0"/>
        <w:jc w:val="both"/>
        <w:rPr>
          <w:rFonts w:ascii="Verdana" w:hAnsi="Verdana"/>
          <w:sz w:val="20"/>
          <w:szCs w:val="20"/>
          <w:lang w:val="pt-BR"/>
        </w:rPr>
      </w:pPr>
      <w:r>
        <w:rPr>
          <w:rFonts w:ascii="Verdana" w:hAnsi="Verdana"/>
          <w:sz w:val="20"/>
          <w:szCs w:val="20"/>
          <w:lang w:val="pt-BR"/>
        </w:rPr>
        <w:t>O</w:t>
      </w:r>
      <w:r w:rsidR="0074017B" w:rsidRPr="00C40BD9">
        <w:rPr>
          <w:rFonts w:ascii="Verdana" w:hAnsi="Verdana"/>
          <w:sz w:val="20"/>
          <w:szCs w:val="20"/>
          <w:lang w:val="pt-BR"/>
        </w:rPr>
        <w:t xml:space="preserve"> </w:t>
      </w:r>
      <w:r w:rsidR="0074017B" w:rsidRPr="00A022F5">
        <w:rPr>
          <w:rFonts w:ascii="Verdana" w:hAnsi="Verdana"/>
          <w:b/>
          <w:i/>
          <w:sz w:val="20"/>
          <w:szCs w:val="20"/>
          <w:lang w:val="pt-BR"/>
        </w:rPr>
        <w:t>Estado</w:t>
      </w:r>
      <w:r w:rsidR="0074017B" w:rsidRPr="00C40BD9">
        <w:rPr>
          <w:rFonts w:ascii="Verdana" w:hAnsi="Verdana"/>
          <w:sz w:val="20"/>
          <w:szCs w:val="20"/>
          <w:lang w:val="pt-BR"/>
        </w:rPr>
        <w:t xml:space="preserve"> argument</w:t>
      </w:r>
      <w:r>
        <w:rPr>
          <w:rFonts w:ascii="Verdana" w:hAnsi="Verdana"/>
          <w:sz w:val="20"/>
          <w:szCs w:val="20"/>
          <w:lang w:val="pt-BR"/>
        </w:rPr>
        <w:t xml:space="preserve">ou que, no </w:t>
      </w:r>
      <w:r w:rsidR="0074017B" w:rsidRPr="00C40BD9">
        <w:rPr>
          <w:rFonts w:ascii="Verdana" w:hAnsi="Verdana"/>
          <w:sz w:val="20"/>
          <w:szCs w:val="20"/>
          <w:lang w:val="pt-BR"/>
        </w:rPr>
        <w:t xml:space="preserve">Brasil, a moeda nacional </w:t>
      </w:r>
      <w:r w:rsidR="008E42A7">
        <w:rPr>
          <w:rFonts w:ascii="Verdana" w:hAnsi="Verdana"/>
          <w:sz w:val="20"/>
          <w:szCs w:val="20"/>
          <w:lang w:val="pt-BR"/>
        </w:rPr>
        <w:t xml:space="preserve">é de </w:t>
      </w:r>
      <w:r w:rsidR="0074017B" w:rsidRPr="00C40BD9">
        <w:rPr>
          <w:rFonts w:ascii="Verdana" w:hAnsi="Verdana"/>
          <w:sz w:val="20"/>
          <w:szCs w:val="20"/>
          <w:lang w:val="pt-BR"/>
        </w:rPr>
        <w:t>curso for</w:t>
      </w:r>
      <w:r w:rsidR="008E42A7">
        <w:rPr>
          <w:rFonts w:ascii="Verdana" w:hAnsi="Verdana"/>
          <w:sz w:val="20"/>
          <w:szCs w:val="20"/>
          <w:lang w:val="pt-BR"/>
        </w:rPr>
        <w:t xml:space="preserve">çado </w:t>
      </w:r>
      <w:r w:rsidR="00F633DD" w:rsidRPr="00C40BD9">
        <w:rPr>
          <w:rFonts w:ascii="Verdana" w:hAnsi="Verdana"/>
          <w:sz w:val="20"/>
          <w:szCs w:val="20"/>
          <w:lang w:val="pt-BR"/>
        </w:rPr>
        <w:t>e</w:t>
      </w:r>
      <w:r w:rsidR="00DE316A">
        <w:rPr>
          <w:rFonts w:ascii="Verdana" w:hAnsi="Verdana"/>
          <w:sz w:val="20"/>
          <w:szCs w:val="20"/>
          <w:lang w:val="pt-BR"/>
        </w:rPr>
        <w:t xml:space="preserve"> </w:t>
      </w:r>
      <w:r w:rsidR="0074017B" w:rsidRPr="00C40BD9">
        <w:rPr>
          <w:rFonts w:ascii="Verdana" w:hAnsi="Verdana"/>
          <w:sz w:val="20"/>
          <w:szCs w:val="20"/>
          <w:lang w:val="pt-BR"/>
        </w:rPr>
        <w:t>n</w:t>
      </w:r>
      <w:r w:rsidR="008E42A7">
        <w:rPr>
          <w:rFonts w:ascii="Verdana" w:hAnsi="Verdana"/>
          <w:sz w:val="20"/>
          <w:szCs w:val="20"/>
          <w:lang w:val="pt-BR"/>
        </w:rPr>
        <w:t>ã</w:t>
      </w:r>
      <w:r w:rsidR="0074017B" w:rsidRPr="00C40BD9">
        <w:rPr>
          <w:rFonts w:ascii="Verdana" w:hAnsi="Verdana"/>
          <w:sz w:val="20"/>
          <w:szCs w:val="20"/>
          <w:lang w:val="pt-BR"/>
        </w:rPr>
        <w:t>o existe li</w:t>
      </w:r>
      <w:r>
        <w:rPr>
          <w:rFonts w:ascii="Verdana" w:hAnsi="Verdana"/>
          <w:sz w:val="20"/>
          <w:szCs w:val="20"/>
          <w:lang w:val="pt-BR"/>
        </w:rPr>
        <w:t>v</w:t>
      </w:r>
      <w:r w:rsidR="0074017B" w:rsidRPr="00C40BD9">
        <w:rPr>
          <w:rFonts w:ascii="Verdana" w:hAnsi="Verdana"/>
          <w:sz w:val="20"/>
          <w:szCs w:val="20"/>
          <w:lang w:val="pt-BR"/>
        </w:rPr>
        <w:t>re convertibilidad</w:t>
      </w:r>
      <w:r>
        <w:rPr>
          <w:rFonts w:ascii="Verdana" w:hAnsi="Verdana"/>
          <w:sz w:val="20"/>
          <w:szCs w:val="20"/>
          <w:lang w:val="pt-BR"/>
        </w:rPr>
        <w:t>e</w:t>
      </w:r>
      <w:r w:rsidR="008E42A7">
        <w:rPr>
          <w:rFonts w:ascii="Verdana" w:hAnsi="Verdana"/>
          <w:sz w:val="20"/>
          <w:szCs w:val="20"/>
          <w:lang w:val="pt-BR"/>
        </w:rPr>
        <w:t xml:space="preserve">, razão pela qual as </w:t>
      </w:r>
      <w:r w:rsidR="0074017B" w:rsidRPr="00C40BD9">
        <w:rPr>
          <w:rFonts w:ascii="Verdana" w:hAnsi="Verdana"/>
          <w:sz w:val="20"/>
          <w:szCs w:val="20"/>
          <w:lang w:val="pt-BR"/>
        </w:rPr>
        <w:t>opera</w:t>
      </w:r>
      <w:r w:rsidR="00F633DD" w:rsidRPr="00C40BD9">
        <w:rPr>
          <w:rFonts w:ascii="Verdana" w:hAnsi="Verdana"/>
          <w:sz w:val="20"/>
          <w:szCs w:val="20"/>
          <w:lang w:val="pt-BR"/>
        </w:rPr>
        <w:t>ções</w:t>
      </w:r>
      <w:r w:rsidR="0074017B" w:rsidRPr="00C40BD9">
        <w:rPr>
          <w:rFonts w:ascii="Verdana" w:hAnsi="Verdana"/>
          <w:sz w:val="20"/>
          <w:szCs w:val="20"/>
          <w:lang w:val="pt-BR"/>
        </w:rPr>
        <w:t xml:space="preserve"> co</w:t>
      </w:r>
      <w:r w:rsidR="008E42A7">
        <w:rPr>
          <w:rFonts w:ascii="Verdana" w:hAnsi="Verdana"/>
          <w:sz w:val="20"/>
          <w:szCs w:val="20"/>
          <w:lang w:val="pt-BR"/>
        </w:rPr>
        <w:t>m</w:t>
      </w:r>
      <w:r w:rsidR="0074017B" w:rsidRPr="00C40BD9">
        <w:rPr>
          <w:rFonts w:ascii="Verdana" w:hAnsi="Verdana"/>
          <w:sz w:val="20"/>
          <w:szCs w:val="20"/>
          <w:lang w:val="pt-BR"/>
        </w:rPr>
        <w:t xml:space="preserve"> moeda e</w:t>
      </w:r>
      <w:r w:rsidR="008E42A7">
        <w:rPr>
          <w:rFonts w:ascii="Verdana" w:hAnsi="Verdana"/>
          <w:sz w:val="20"/>
          <w:szCs w:val="20"/>
          <w:lang w:val="pt-BR"/>
        </w:rPr>
        <w:t>s</w:t>
      </w:r>
      <w:r w:rsidR="0074017B" w:rsidRPr="00C40BD9">
        <w:rPr>
          <w:rFonts w:ascii="Verdana" w:hAnsi="Verdana"/>
          <w:sz w:val="20"/>
          <w:szCs w:val="20"/>
          <w:lang w:val="pt-BR"/>
        </w:rPr>
        <w:t>tran</w:t>
      </w:r>
      <w:r w:rsidR="008E42A7">
        <w:rPr>
          <w:rFonts w:ascii="Verdana" w:hAnsi="Verdana"/>
          <w:sz w:val="20"/>
          <w:szCs w:val="20"/>
          <w:lang w:val="pt-BR"/>
        </w:rPr>
        <w:t xml:space="preserve">geira são restritas a </w:t>
      </w:r>
      <w:r w:rsidR="0074017B" w:rsidRPr="00C40BD9">
        <w:rPr>
          <w:rFonts w:ascii="Verdana" w:hAnsi="Verdana"/>
          <w:sz w:val="20"/>
          <w:szCs w:val="20"/>
          <w:lang w:val="pt-BR"/>
        </w:rPr>
        <w:t xml:space="preserve">casos específicos, </w:t>
      </w:r>
      <w:r w:rsidR="008E42A7">
        <w:rPr>
          <w:rFonts w:ascii="Verdana" w:hAnsi="Verdana"/>
          <w:sz w:val="20"/>
          <w:szCs w:val="20"/>
          <w:lang w:val="pt-BR"/>
        </w:rPr>
        <w:t xml:space="preserve">em geral </w:t>
      </w:r>
      <w:r w:rsidR="0074017B" w:rsidRPr="00C40BD9">
        <w:rPr>
          <w:rFonts w:ascii="Verdana" w:hAnsi="Verdana"/>
          <w:sz w:val="20"/>
          <w:szCs w:val="20"/>
          <w:lang w:val="pt-BR"/>
        </w:rPr>
        <w:t>relacionados a algu</w:t>
      </w:r>
      <w:r w:rsidR="008E42A7">
        <w:rPr>
          <w:rFonts w:ascii="Verdana" w:hAnsi="Verdana"/>
          <w:sz w:val="20"/>
          <w:szCs w:val="20"/>
          <w:lang w:val="pt-BR"/>
        </w:rPr>
        <w:t>m</w:t>
      </w:r>
      <w:r w:rsidR="0074017B" w:rsidRPr="00C40BD9">
        <w:rPr>
          <w:rFonts w:ascii="Verdana" w:hAnsi="Verdana"/>
          <w:sz w:val="20"/>
          <w:szCs w:val="20"/>
          <w:lang w:val="pt-BR"/>
        </w:rPr>
        <w:t>a opera</w:t>
      </w:r>
      <w:r w:rsidR="00F633DD" w:rsidRPr="00C40BD9">
        <w:rPr>
          <w:rFonts w:ascii="Verdana" w:hAnsi="Verdana"/>
          <w:sz w:val="20"/>
          <w:szCs w:val="20"/>
          <w:lang w:val="pt-BR"/>
        </w:rPr>
        <w:t>ção</w:t>
      </w:r>
      <w:r w:rsidR="0074017B" w:rsidRPr="00C40BD9">
        <w:rPr>
          <w:rFonts w:ascii="Verdana" w:hAnsi="Verdana"/>
          <w:sz w:val="20"/>
          <w:szCs w:val="20"/>
          <w:lang w:val="pt-BR"/>
        </w:rPr>
        <w:t xml:space="preserve"> </w:t>
      </w:r>
      <w:r w:rsidR="008E42A7">
        <w:rPr>
          <w:rFonts w:ascii="Verdana" w:hAnsi="Verdana"/>
          <w:sz w:val="20"/>
          <w:szCs w:val="20"/>
          <w:lang w:val="pt-BR"/>
        </w:rPr>
        <w:t xml:space="preserve">com o </w:t>
      </w:r>
      <w:r w:rsidR="0074017B" w:rsidRPr="00C40BD9">
        <w:rPr>
          <w:rFonts w:ascii="Verdana" w:hAnsi="Verdana"/>
          <w:sz w:val="20"/>
          <w:szCs w:val="20"/>
          <w:lang w:val="pt-BR"/>
        </w:rPr>
        <w:t xml:space="preserve">exterior. </w:t>
      </w:r>
      <w:r w:rsidR="008E42A7">
        <w:rPr>
          <w:rFonts w:ascii="Verdana" w:hAnsi="Verdana"/>
          <w:sz w:val="20"/>
          <w:szCs w:val="20"/>
          <w:lang w:val="pt-BR"/>
        </w:rPr>
        <w:t xml:space="preserve">O </w:t>
      </w:r>
      <w:r w:rsidR="0074017B" w:rsidRPr="00C40BD9">
        <w:rPr>
          <w:rFonts w:ascii="Verdana" w:hAnsi="Verdana"/>
          <w:sz w:val="20"/>
          <w:szCs w:val="20"/>
          <w:lang w:val="pt-BR"/>
        </w:rPr>
        <w:t xml:space="preserve">Estado </w:t>
      </w:r>
      <w:r w:rsidR="008E42A7">
        <w:rPr>
          <w:rFonts w:ascii="Verdana" w:hAnsi="Verdana"/>
          <w:sz w:val="20"/>
          <w:szCs w:val="20"/>
          <w:lang w:val="pt-BR"/>
        </w:rPr>
        <w:t xml:space="preserve">solicitou à </w:t>
      </w:r>
      <w:r w:rsidR="00036A1B" w:rsidRPr="00C40BD9">
        <w:rPr>
          <w:rFonts w:ascii="Verdana" w:hAnsi="Verdana"/>
          <w:sz w:val="20"/>
          <w:szCs w:val="20"/>
          <w:lang w:val="pt-BR"/>
        </w:rPr>
        <w:t xml:space="preserve">Corte </w:t>
      </w:r>
      <w:r w:rsidR="008E42A7">
        <w:rPr>
          <w:rFonts w:ascii="Verdana" w:hAnsi="Verdana"/>
          <w:sz w:val="20"/>
          <w:szCs w:val="20"/>
          <w:lang w:val="pt-BR"/>
        </w:rPr>
        <w:t xml:space="preserve">que esclarecesse se o </w:t>
      </w:r>
      <w:r w:rsidR="0074017B" w:rsidRPr="00C40BD9">
        <w:rPr>
          <w:rFonts w:ascii="Verdana" w:hAnsi="Verdana"/>
          <w:sz w:val="20"/>
          <w:szCs w:val="20"/>
          <w:lang w:val="pt-BR"/>
        </w:rPr>
        <w:t>depósito e</w:t>
      </w:r>
      <w:r w:rsidR="008E42A7">
        <w:rPr>
          <w:rFonts w:ascii="Verdana" w:hAnsi="Verdana"/>
          <w:sz w:val="20"/>
          <w:szCs w:val="20"/>
          <w:lang w:val="pt-BR"/>
        </w:rPr>
        <w:t>m</w:t>
      </w:r>
      <w:r w:rsidR="0074017B" w:rsidRPr="00C40BD9">
        <w:rPr>
          <w:rFonts w:ascii="Verdana" w:hAnsi="Verdana"/>
          <w:sz w:val="20"/>
          <w:szCs w:val="20"/>
          <w:lang w:val="pt-BR"/>
        </w:rPr>
        <w:t xml:space="preserve"> institu</w:t>
      </w:r>
      <w:r w:rsidR="008E42A7">
        <w:rPr>
          <w:rFonts w:ascii="Verdana" w:hAnsi="Verdana"/>
          <w:sz w:val="20"/>
          <w:szCs w:val="20"/>
          <w:lang w:val="pt-BR"/>
        </w:rPr>
        <w:t>i</w:t>
      </w:r>
      <w:r w:rsidR="00F633DD" w:rsidRPr="00C40BD9">
        <w:rPr>
          <w:rFonts w:ascii="Verdana" w:hAnsi="Verdana"/>
          <w:sz w:val="20"/>
          <w:szCs w:val="20"/>
          <w:lang w:val="pt-BR"/>
        </w:rPr>
        <w:t>ção</w:t>
      </w:r>
      <w:r w:rsidR="0074017B" w:rsidRPr="00C40BD9">
        <w:rPr>
          <w:rFonts w:ascii="Verdana" w:hAnsi="Verdana"/>
          <w:sz w:val="20"/>
          <w:szCs w:val="20"/>
          <w:lang w:val="pt-BR"/>
        </w:rPr>
        <w:t xml:space="preserve"> financ</w:t>
      </w:r>
      <w:r w:rsidR="008E42A7">
        <w:rPr>
          <w:rFonts w:ascii="Verdana" w:hAnsi="Verdana"/>
          <w:sz w:val="20"/>
          <w:szCs w:val="20"/>
          <w:lang w:val="pt-BR"/>
        </w:rPr>
        <w:t>e</w:t>
      </w:r>
      <w:r w:rsidR="0074017B" w:rsidRPr="00C40BD9">
        <w:rPr>
          <w:rFonts w:ascii="Verdana" w:hAnsi="Verdana"/>
          <w:sz w:val="20"/>
          <w:szCs w:val="20"/>
          <w:lang w:val="pt-BR"/>
        </w:rPr>
        <w:t>ira brasile</w:t>
      </w:r>
      <w:r w:rsidR="008E42A7">
        <w:rPr>
          <w:rFonts w:ascii="Verdana" w:hAnsi="Verdana"/>
          <w:sz w:val="20"/>
          <w:szCs w:val="20"/>
          <w:lang w:val="pt-BR"/>
        </w:rPr>
        <w:t>ir</w:t>
      </w:r>
      <w:r w:rsidR="0074017B" w:rsidRPr="00C40BD9">
        <w:rPr>
          <w:rFonts w:ascii="Verdana" w:hAnsi="Verdana"/>
          <w:sz w:val="20"/>
          <w:szCs w:val="20"/>
          <w:lang w:val="pt-BR"/>
        </w:rPr>
        <w:t xml:space="preserve">a solvente </w:t>
      </w:r>
      <w:r w:rsidR="006770ED" w:rsidRPr="00C40BD9">
        <w:rPr>
          <w:rFonts w:ascii="Verdana" w:hAnsi="Verdana"/>
          <w:sz w:val="20"/>
          <w:szCs w:val="20"/>
          <w:lang w:val="pt-BR"/>
        </w:rPr>
        <w:t>pode</w:t>
      </w:r>
      <w:r w:rsidR="008E42A7">
        <w:rPr>
          <w:rFonts w:ascii="Verdana" w:hAnsi="Verdana"/>
          <w:sz w:val="20"/>
          <w:szCs w:val="20"/>
          <w:lang w:val="pt-BR"/>
        </w:rPr>
        <w:t>ria</w:t>
      </w:r>
      <w:r w:rsidR="00DE316A">
        <w:rPr>
          <w:rFonts w:ascii="Verdana" w:hAnsi="Verdana"/>
          <w:sz w:val="20"/>
          <w:szCs w:val="20"/>
          <w:lang w:val="pt-BR"/>
        </w:rPr>
        <w:t xml:space="preserve"> </w:t>
      </w:r>
      <w:r w:rsidR="0074017B" w:rsidRPr="00C40BD9">
        <w:rPr>
          <w:rFonts w:ascii="Verdana" w:hAnsi="Verdana"/>
          <w:sz w:val="20"/>
          <w:szCs w:val="20"/>
          <w:lang w:val="pt-BR"/>
        </w:rPr>
        <w:t>ser realizado e</w:t>
      </w:r>
      <w:r w:rsidR="008E42A7">
        <w:rPr>
          <w:rFonts w:ascii="Verdana" w:hAnsi="Verdana"/>
          <w:sz w:val="20"/>
          <w:szCs w:val="20"/>
          <w:lang w:val="pt-BR"/>
        </w:rPr>
        <w:t xml:space="preserve">m </w:t>
      </w:r>
      <w:r w:rsidR="0074017B" w:rsidRPr="00C40BD9">
        <w:rPr>
          <w:rFonts w:ascii="Verdana" w:hAnsi="Verdana"/>
          <w:sz w:val="20"/>
          <w:szCs w:val="20"/>
          <w:lang w:val="pt-BR"/>
        </w:rPr>
        <w:t>re</w:t>
      </w:r>
      <w:r w:rsidR="00C06A9B" w:rsidRPr="00C40BD9">
        <w:rPr>
          <w:rFonts w:ascii="Verdana" w:hAnsi="Verdana"/>
          <w:sz w:val="20"/>
          <w:szCs w:val="20"/>
          <w:lang w:val="pt-BR"/>
        </w:rPr>
        <w:t>ais</w:t>
      </w:r>
      <w:r w:rsidR="0074017B" w:rsidRPr="00C40BD9">
        <w:rPr>
          <w:rFonts w:ascii="Verdana" w:hAnsi="Verdana"/>
          <w:sz w:val="20"/>
          <w:szCs w:val="20"/>
          <w:lang w:val="pt-BR"/>
        </w:rPr>
        <w:t xml:space="preserve">, </w:t>
      </w:r>
      <w:r w:rsidR="008E42A7">
        <w:rPr>
          <w:rFonts w:ascii="Verdana" w:hAnsi="Verdana"/>
          <w:sz w:val="20"/>
          <w:szCs w:val="20"/>
          <w:lang w:val="pt-BR"/>
        </w:rPr>
        <w:t xml:space="preserve">utilizando-se o </w:t>
      </w:r>
      <w:r w:rsidR="0074017B" w:rsidRPr="00C40BD9">
        <w:rPr>
          <w:rFonts w:ascii="Verdana" w:hAnsi="Verdana"/>
          <w:sz w:val="20"/>
          <w:szCs w:val="20"/>
          <w:lang w:val="pt-BR"/>
        </w:rPr>
        <w:t>c</w:t>
      </w:r>
      <w:r w:rsidR="008E42A7">
        <w:rPr>
          <w:rFonts w:ascii="Verdana" w:hAnsi="Verdana"/>
          <w:sz w:val="20"/>
          <w:szCs w:val="20"/>
          <w:lang w:val="pt-BR"/>
        </w:rPr>
        <w:t>â</w:t>
      </w:r>
      <w:r w:rsidR="0074017B" w:rsidRPr="00C40BD9">
        <w:rPr>
          <w:rFonts w:ascii="Verdana" w:hAnsi="Verdana"/>
          <w:sz w:val="20"/>
          <w:szCs w:val="20"/>
          <w:lang w:val="pt-BR"/>
        </w:rPr>
        <w:t>mbio d</w:t>
      </w:r>
      <w:r w:rsidR="008E42A7">
        <w:rPr>
          <w:rFonts w:ascii="Verdana" w:hAnsi="Verdana"/>
          <w:sz w:val="20"/>
          <w:szCs w:val="20"/>
          <w:lang w:val="pt-BR"/>
        </w:rPr>
        <w:t xml:space="preserve">o dia </w:t>
      </w:r>
      <w:r w:rsidR="0074017B" w:rsidRPr="00C40BD9">
        <w:rPr>
          <w:rFonts w:ascii="Verdana" w:hAnsi="Verdana"/>
          <w:sz w:val="20"/>
          <w:szCs w:val="20"/>
          <w:lang w:val="pt-BR"/>
        </w:rPr>
        <w:t xml:space="preserve">anterior </w:t>
      </w:r>
      <w:r w:rsidR="008E42A7">
        <w:rPr>
          <w:rFonts w:ascii="Verdana" w:hAnsi="Verdana"/>
          <w:sz w:val="20"/>
          <w:szCs w:val="20"/>
          <w:lang w:val="pt-BR"/>
        </w:rPr>
        <w:t xml:space="preserve">ao do </w:t>
      </w:r>
      <w:r w:rsidR="0074017B" w:rsidRPr="00C40BD9">
        <w:rPr>
          <w:rFonts w:ascii="Verdana" w:hAnsi="Verdana"/>
          <w:sz w:val="20"/>
          <w:szCs w:val="20"/>
          <w:lang w:val="pt-BR"/>
        </w:rPr>
        <w:t>depósito</w:t>
      </w:r>
      <w:r w:rsidR="008E42A7">
        <w:rPr>
          <w:rFonts w:ascii="Verdana" w:hAnsi="Verdana"/>
          <w:sz w:val="20"/>
          <w:szCs w:val="20"/>
          <w:lang w:val="pt-BR"/>
        </w:rPr>
        <w:t>.</w:t>
      </w:r>
      <w:r w:rsidR="00C47F5C" w:rsidRPr="00C40BD9">
        <w:rPr>
          <w:rFonts w:ascii="Verdana" w:hAnsi="Verdana"/>
          <w:sz w:val="20"/>
          <w:szCs w:val="20"/>
          <w:lang w:val="pt-BR"/>
        </w:rPr>
        <w:t xml:space="preserve"> </w:t>
      </w:r>
    </w:p>
    <w:p w:rsidR="0074017B" w:rsidRPr="00C40BD9" w:rsidRDefault="0074017B" w:rsidP="00A82FB4">
      <w:pPr>
        <w:pStyle w:val="ListParagraph"/>
        <w:spacing w:after="0" w:line="240" w:lineRule="auto"/>
        <w:ind w:left="0"/>
        <w:contextualSpacing w:val="0"/>
        <w:jc w:val="both"/>
        <w:rPr>
          <w:rFonts w:ascii="Verdana" w:hAnsi="Verdana"/>
          <w:sz w:val="20"/>
          <w:szCs w:val="20"/>
          <w:lang w:val="pt-BR"/>
        </w:rPr>
      </w:pPr>
    </w:p>
    <w:p w:rsidR="0074017B" w:rsidRPr="00C40BD9" w:rsidRDefault="008E42A7" w:rsidP="00A82FB4">
      <w:pPr>
        <w:pStyle w:val="ListParagraph"/>
        <w:numPr>
          <w:ilvl w:val="0"/>
          <w:numId w:val="2"/>
        </w:numPr>
        <w:tabs>
          <w:tab w:val="clear" w:pos="1247"/>
        </w:tabs>
        <w:spacing w:after="0" w:line="240" w:lineRule="auto"/>
        <w:contextualSpacing w:val="0"/>
        <w:jc w:val="both"/>
        <w:rPr>
          <w:rFonts w:ascii="Verdana" w:hAnsi="Verdana"/>
          <w:sz w:val="20"/>
          <w:szCs w:val="20"/>
          <w:lang w:val="pt-BR"/>
        </w:rPr>
      </w:pPr>
      <w:r>
        <w:rPr>
          <w:rFonts w:ascii="Verdana" w:hAnsi="Verdana"/>
          <w:sz w:val="20"/>
          <w:szCs w:val="20"/>
          <w:lang w:val="pt-BR"/>
        </w:rPr>
        <w:t>O</w:t>
      </w:r>
      <w:r w:rsidR="008D3001">
        <w:rPr>
          <w:rFonts w:ascii="Verdana" w:hAnsi="Verdana"/>
          <w:sz w:val="20"/>
          <w:szCs w:val="20"/>
          <w:lang w:val="pt-BR"/>
        </w:rPr>
        <w:t>s</w:t>
      </w:r>
      <w:r w:rsidR="0074017B" w:rsidRPr="00C40BD9">
        <w:rPr>
          <w:rFonts w:ascii="Verdana" w:hAnsi="Verdana"/>
          <w:sz w:val="20"/>
          <w:szCs w:val="20"/>
          <w:lang w:val="pt-BR"/>
        </w:rPr>
        <w:t xml:space="preserve"> </w:t>
      </w:r>
      <w:r w:rsidR="0074017B" w:rsidRPr="00C40BD9">
        <w:rPr>
          <w:rFonts w:ascii="Verdana" w:hAnsi="Verdana"/>
          <w:b/>
          <w:i/>
          <w:sz w:val="20"/>
          <w:szCs w:val="20"/>
          <w:lang w:val="pt-BR"/>
        </w:rPr>
        <w:t>representantes</w:t>
      </w:r>
      <w:r w:rsidR="0074017B" w:rsidRPr="00C40BD9">
        <w:rPr>
          <w:rFonts w:ascii="Verdana" w:hAnsi="Verdana"/>
          <w:sz w:val="20"/>
          <w:szCs w:val="20"/>
          <w:lang w:val="pt-BR"/>
        </w:rPr>
        <w:t xml:space="preserve"> </w:t>
      </w:r>
      <w:r>
        <w:rPr>
          <w:rFonts w:ascii="Verdana" w:hAnsi="Verdana"/>
          <w:sz w:val="20"/>
          <w:szCs w:val="20"/>
          <w:lang w:val="pt-BR"/>
        </w:rPr>
        <w:t xml:space="preserve">consideraram que esse </w:t>
      </w:r>
      <w:r w:rsidR="0074017B" w:rsidRPr="00C40BD9">
        <w:rPr>
          <w:rFonts w:ascii="Verdana" w:hAnsi="Verdana"/>
          <w:sz w:val="20"/>
          <w:szCs w:val="20"/>
          <w:lang w:val="pt-BR"/>
        </w:rPr>
        <w:t>tema n</w:t>
      </w:r>
      <w:r>
        <w:rPr>
          <w:rFonts w:ascii="Verdana" w:hAnsi="Verdana"/>
          <w:sz w:val="20"/>
          <w:szCs w:val="20"/>
          <w:lang w:val="pt-BR"/>
        </w:rPr>
        <w:t>ã</w:t>
      </w:r>
      <w:r w:rsidR="0074017B" w:rsidRPr="00C40BD9">
        <w:rPr>
          <w:rFonts w:ascii="Verdana" w:hAnsi="Verdana"/>
          <w:sz w:val="20"/>
          <w:szCs w:val="20"/>
          <w:lang w:val="pt-BR"/>
        </w:rPr>
        <w:t>o neces</w:t>
      </w:r>
      <w:r>
        <w:rPr>
          <w:rFonts w:ascii="Verdana" w:hAnsi="Verdana"/>
          <w:sz w:val="20"/>
          <w:szCs w:val="20"/>
          <w:lang w:val="pt-BR"/>
        </w:rPr>
        <w:t>s</w:t>
      </w:r>
      <w:r w:rsidR="0074017B" w:rsidRPr="00C40BD9">
        <w:rPr>
          <w:rFonts w:ascii="Verdana" w:hAnsi="Verdana"/>
          <w:sz w:val="20"/>
          <w:szCs w:val="20"/>
          <w:lang w:val="pt-BR"/>
        </w:rPr>
        <w:t xml:space="preserve">ita </w:t>
      </w:r>
      <w:r w:rsidR="006770ED" w:rsidRPr="00C40BD9">
        <w:rPr>
          <w:rFonts w:ascii="Verdana" w:hAnsi="Verdana"/>
          <w:sz w:val="20"/>
          <w:szCs w:val="20"/>
          <w:lang w:val="pt-BR"/>
        </w:rPr>
        <w:t xml:space="preserve">uma </w:t>
      </w:r>
      <w:r w:rsidR="0074017B" w:rsidRPr="00C40BD9">
        <w:rPr>
          <w:rFonts w:ascii="Verdana" w:hAnsi="Verdana"/>
          <w:sz w:val="20"/>
          <w:szCs w:val="20"/>
          <w:lang w:val="pt-BR"/>
        </w:rPr>
        <w:t>n</w:t>
      </w:r>
      <w:r>
        <w:rPr>
          <w:rFonts w:ascii="Verdana" w:hAnsi="Verdana"/>
          <w:sz w:val="20"/>
          <w:szCs w:val="20"/>
          <w:lang w:val="pt-BR"/>
        </w:rPr>
        <w:t>o</w:t>
      </w:r>
      <w:r w:rsidR="0074017B" w:rsidRPr="00C40BD9">
        <w:rPr>
          <w:rFonts w:ascii="Verdana" w:hAnsi="Verdana"/>
          <w:sz w:val="20"/>
          <w:szCs w:val="20"/>
          <w:lang w:val="pt-BR"/>
        </w:rPr>
        <w:t>va manifesta</w:t>
      </w:r>
      <w:r w:rsidR="00F633DD" w:rsidRPr="00C40BD9">
        <w:rPr>
          <w:rFonts w:ascii="Verdana" w:hAnsi="Verdana"/>
          <w:sz w:val="20"/>
          <w:szCs w:val="20"/>
          <w:lang w:val="pt-BR"/>
        </w:rPr>
        <w:t>ção</w:t>
      </w:r>
      <w:r w:rsidR="0074017B" w:rsidRPr="00C40BD9">
        <w:rPr>
          <w:rFonts w:ascii="Verdana" w:hAnsi="Verdana"/>
          <w:sz w:val="20"/>
          <w:szCs w:val="20"/>
          <w:lang w:val="pt-BR"/>
        </w:rPr>
        <w:t xml:space="preserve"> por parte </w:t>
      </w:r>
      <w:r w:rsidR="00F633DD" w:rsidRPr="00C40BD9">
        <w:rPr>
          <w:rFonts w:ascii="Verdana" w:hAnsi="Verdana"/>
          <w:sz w:val="20"/>
          <w:szCs w:val="20"/>
          <w:lang w:val="pt-BR"/>
        </w:rPr>
        <w:t xml:space="preserve">da </w:t>
      </w:r>
      <w:r w:rsidR="0074017B" w:rsidRPr="00C40BD9">
        <w:rPr>
          <w:rFonts w:ascii="Verdana" w:hAnsi="Verdana"/>
          <w:sz w:val="20"/>
          <w:szCs w:val="20"/>
          <w:lang w:val="pt-BR"/>
        </w:rPr>
        <w:t xml:space="preserve">Corte, dado que a </w:t>
      </w:r>
      <w:r w:rsidR="00C06A9B" w:rsidRPr="00C40BD9">
        <w:rPr>
          <w:rFonts w:ascii="Verdana" w:hAnsi="Verdana"/>
          <w:sz w:val="20"/>
          <w:szCs w:val="20"/>
          <w:lang w:val="pt-BR"/>
        </w:rPr>
        <w:t>sentença</w:t>
      </w:r>
      <w:r w:rsidR="00DE316A">
        <w:rPr>
          <w:rFonts w:ascii="Verdana" w:hAnsi="Verdana"/>
          <w:sz w:val="20"/>
          <w:szCs w:val="20"/>
          <w:lang w:val="pt-BR"/>
        </w:rPr>
        <w:t xml:space="preserve"> </w:t>
      </w:r>
      <w:r>
        <w:rPr>
          <w:rFonts w:ascii="Verdana" w:hAnsi="Verdana"/>
          <w:sz w:val="20"/>
          <w:szCs w:val="20"/>
          <w:lang w:val="pt-BR"/>
        </w:rPr>
        <w:t xml:space="preserve">é </w:t>
      </w:r>
      <w:r w:rsidR="0074017B" w:rsidRPr="00C40BD9">
        <w:rPr>
          <w:rFonts w:ascii="Verdana" w:hAnsi="Verdana"/>
          <w:sz w:val="20"/>
          <w:szCs w:val="20"/>
          <w:lang w:val="pt-BR"/>
        </w:rPr>
        <w:t>clara a es</w:t>
      </w:r>
      <w:r>
        <w:rPr>
          <w:rFonts w:ascii="Verdana" w:hAnsi="Verdana"/>
          <w:sz w:val="20"/>
          <w:szCs w:val="20"/>
          <w:lang w:val="pt-BR"/>
        </w:rPr>
        <w:t>s</w:t>
      </w:r>
      <w:r w:rsidR="0074017B" w:rsidRPr="00C40BD9">
        <w:rPr>
          <w:rFonts w:ascii="Verdana" w:hAnsi="Verdana"/>
          <w:sz w:val="20"/>
          <w:szCs w:val="20"/>
          <w:lang w:val="pt-BR"/>
        </w:rPr>
        <w:t>e respe</w:t>
      </w:r>
      <w:r>
        <w:rPr>
          <w:rFonts w:ascii="Verdana" w:hAnsi="Verdana"/>
          <w:sz w:val="20"/>
          <w:szCs w:val="20"/>
          <w:lang w:val="pt-BR"/>
        </w:rPr>
        <w:t>i</w:t>
      </w:r>
      <w:r w:rsidR="0074017B" w:rsidRPr="00C40BD9">
        <w:rPr>
          <w:rFonts w:ascii="Verdana" w:hAnsi="Verdana"/>
          <w:sz w:val="20"/>
          <w:szCs w:val="20"/>
          <w:lang w:val="pt-BR"/>
        </w:rPr>
        <w:t>to</w:t>
      </w:r>
      <w:r>
        <w:rPr>
          <w:rFonts w:ascii="Verdana" w:hAnsi="Verdana"/>
          <w:sz w:val="20"/>
          <w:szCs w:val="20"/>
          <w:lang w:val="pt-BR"/>
        </w:rPr>
        <w:t>.</w:t>
      </w:r>
      <w:r w:rsidR="00C47F5C" w:rsidRPr="00C40BD9">
        <w:rPr>
          <w:rFonts w:ascii="Verdana" w:hAnsi="Verdana"/>
          <w:sz w:val="20"/>
          <w:szCs w:val="20"/>
          <w:lang w:val="pt-BR"/>
        </w:rPr>
        <w:t xml:space="preserve"> </w:t>
      </w:r>
    </w:p>
    <w:p w:rsidR="0074017B" w:rsidRPr="00C40BD9" w:rsidRDefault="0074017B" w:rsidP="00A82FB4">
      <w:pPr>
        <w:pStyle w:val="ListParagraph"/>
        <w:rPr>
          <w:rFonts w:ascii="Verdana" w:hAnsi="Verdana"/>
          <w:sz w:val="20"/>
          <w:szCs w:val="20"/>
          <w:lang w:val="pt-BR"/>
        </w:rPr>
      </w:pPr>
    </w:p>
    <w:p w:rsidR="0074017B" w:rsidRPr="00C40BD9" w:rsidRDefault="00BF48F6" w:rsidP="00A82FB4">
      <w:pPr>
        <w:pStyle w:val="ListParagraph"/>
        <w:numPr>
          <w:ilvl w:val="0"/>
          <w:numId w:val="2"/>
        </w:numPr>
        <w:tabs>
          <w:tab w:val="clear" w:pos="1247"/>
        </w:tabs>
        <w:spacing w:after="0" w:line="240" w:lineRule="auto"/>
        <w:contextualSpacing w:val="0"/>
        <w:jc w:val="both"/>
        <w:rPr>
          <w:rFonts w:ascii="Verdana" w:hAnsi="Verdana"/>
          <w:sz w:val="20"/>
          <w:szCs w:val="20"/>
          <w:lang w:val="pt-BR"/>
        </w:rPr>
      </w:pPr>
      <w:r>
        <w:rPr>
          <w:rFonts w:ascii="Verdana" w:hAnsi="Verdana"/>
          <w:sz w:val="20"/>
          <w:szCs w:val="20"/>
          <w:lang w:val="pt-BR"/>
        </w:rPr>
        <w:t>A</w:t>
      </w:r>
      <w:r w:rsidR="00DE316A">
        <w:rPr>
          <w:rFonts w:ascii="Verdana" w:hAnsi="Verdana"/>
          <w:sz w:val="20"/>
          <w:szCs w:val="20"/>
          <w:lang w:val="pt-BR"/>
        </w:rPr>
        <w:t xml:space="preserve"> </w:t>
      </w:r>
      <w:r w:rsidR="00C06A9B" w:rsidRPr="00C40BD9">
        <w:rPr>
          <w:rFonts w:ascii="Verdana" w:hAnsi="Verdana"/>
          <w:b/>
          <w:i/>
          <w:sz w:val="20"/>
          <w:szCs w:val="20"/>
          <w:lang w:val="pt-BR"/>
        </w:rPr>
        <w:t>Comissão</w:t>
      </w:r>
      <w:r w:rsidR="00DE316A">
        <w:rPr>
          <w:rFonts w:ascii="Verdana" w:hAnsi="Verdana"/>
          <w:b/>
          <w:i/>
          <w:sz w:val="20"/>
          <w:szCs w:val="20"/>
          <w:lang w:val="pt-BR"/>
        </w:rPr>
        <w:t xml:space="preserve"> </w:t>
      </w:r>
      <w:r w:rsidR="0074017B" w:rsidRPr="00C40BD9">
        <w:rPr>
          <w:rFonts w:ascii="Verdana" w:hAnsi="Verdana"/>
          <w:sz w:val="20"/>
          <w:szCs w:val="20"/>
          <w:lang w:val="pt-BR"/>
        </w:rPr>
        <w:t>afirm</w:t>
      </w:r>
      <w:r w:rsidR="008E42A7">
        <w:rPr>
          <w:rFonts w:ascii="Verdana" w:hAnsi="Verdana"/>
          <w:sz w:val="20"/>
          <w:szCs w:val="20"/>
          <w:lang w:val="pt-BR"/>
        </w:rPr>
        <w:t>ou</w:t>
      </w:r>
      <w:r w:rsidR="0074017B" w:rsidRPr="00C40BD9">
        <w:rPr>
          <w:rFonts w:ascii="Verdana" w:hAnsi="Verdana"/>
          <w:sz w:val="20"/>
          <w:szCs w:val="20"/>
          <w:lang w:val="pt-BR"/>
        </w:rPr>
        <w:t xml:space="preserve">, </w:t>
      </w:r>
      <w:r w:rsidR="006770ED" w:rsidRPr="00C40BD9">
        <w:rPr>
          <w:rFonts w:ascii="Verdana" w:hAnsi="Verdana"/>
          <w:sz w:val="20"/>
          <w:szCs w:val="20"/>
          <w:lang w:val="pt-BR"/>
        </w:rPr>
        <w:t>uma</w:t>
      </w:r>
      <w:r w:rsidR="00DE316A">
        <w:rPr>
          <w:rFonts w:ascii="Verdana" w:hAnsi="Verdana"/>
          <w:sz w:val="20"/>
          <w:szCs w:val="20"/>
          <w:lang w:val="pt-BR"/>
        </w:rPr>
        <w:t xml:space="preserve"> </w:t>
      </w:r>
      <w:r w:rsidR="0074017B" w:rsidRPr="00C40BD9">
        <w:rPr>
          <w:rFonts w:ascii="Verdana" w:hAnsi="Verdana"/>
          <w:sz w:val="20"/>
          <w:szCs w:val="20"/>
          <w:lang w:val="pt-BR"/>
        </w:rPr>
        <w:t xml:space="preserve">vez </w:t>
      </w:r>
      <w:r w:rsidR="008E42A7">
        <w:rPr>
          <w:rFonts w:ascii="Verdana" w:hAnsi="Verdana"/>
          <w:sz w:val="20"/>
          <w:szCs w:val="20"/>
          <w:lang w:val="pt-BR"/>
        </w:rPr>
        <w:t>mais</w:t>
      </w:r>
      <w:r w:rsidR="0074017B" w:rsidRPr="00C40BD9">
        <w:rPr>
          <w:rFonts w:ascii="Verdana" w:hAnsi="Verdana"/>
          <w:sz w:val="20"/>
          <w:szCs w:val="20"/>
          <w:lang w:val="pt-BR"/>
        </w:rPr>
        <w:t xml:space="preserve">, que </w:t>
      </w:r>
      <w:r w:rsidR="004A18EF" w:rsidRPr="00C40BD9">
        <w:rPr>
          <w:rFonts w:ascii="Verdana" w:hAnsi="Verdana"/>
          <w:sz w:val="20"/>
          <w:szCs w:val="20"/>
          <w:lang w:val="pt-BR"/>
        </w:rPr>
        <w:t>es</w:t>
      </w:r>
      <w:r w:rsidR="008E42A7">
        <w:rPr>
          <w:rFonts w:ascii="Verdana" w:hAnsi="Verdana"/>
          <w:sz w:val="20"/>
          <w:szCs w:val="20"/>
          <w:lang w:val="pt-BR"/>
        </w:rPr>
        <w:t>s</w:t>
      </w:r>
      <w:r w:rsidR="004A18EF" w:rsidRPr="00C40BD9">
        <w:rPr>
          <w:rFonts w:ascii="Verdana" w:hAnsi="Verdana"/>
          <w:sz w:val="20"/>
          <w:szCs w:val="20"/>
          <w:lang w:val="pt-BR"/>
        </w:rPr>
        <w:t>e a</w:t>
      </w:r>
      <w:r w:rsidR="008E42A7">
        <w:rPr>
          <w:rFonts w:ascii="Verdana" w:hAnsi="Verdana"/>
          <w:sz w:val="20"/>
          <w:szCs w:val="20"/>
          <w:lang w:val="pt-BR"/>
        </w:rPr>
        <w:t>s</w:t>
      </w:r>
      <w:r w:rsidR="004A18EF" w:rsidRPr="00C40BD9">
        <w:rPr>
          <w:rFonts w:ascii="Verdana" w:hAnsi="Verdana"/>
          <w:sz w:val="20"/>
          <w:szCs w:val="20"/>
          <w:lang w:val="pt-BR"/>
        </w:rPr>
        <w:t xml:space="preserve">sunto </w:t>
      </w:r>
      <w:r w:rsidR="008E42A7">
        <w:rPr>
          <w:rFonts w:ascii="Verdana" w:hAnsi="Verdana"/>
          <w:sz w:val="20"/>
          <w:szCs w:val="20"/>
          <w:lang w:val="pt-BR"/>
        </w:rPr>
        <w:t xml:space="preserve">já foi resolvido pela </w:t>
      </w:r>
      <w:r w:rsidR="00036A1B" w:rsidRPr="00C40BD9">
        <w:rPr>
          <w:rFonts w:ascii="Verdana" w:hAnsi="Verdana"/>
          <w:sz w:val="20"/>
          <w:szCs w:val="20"/>
          <w:lang w:val="pt-BR"/>
        </w:rPr>
        <w:t xml:space="preserve">Corte </w:t>
      </w:r>
      <w:r w:rsidR="008E42A7">
        <w:rPr>
          <w:rFonts w:ascii="Verdana" w:hAnsi="Verdana"/>
          <w:sz w:val="20"/>
          <w:szCs w:val="20"/>
          <w:lang w:val="pt-BR"/>
        </w:rPr>
        <w:t xml:space="preserve">na </w:t>
      </w:r>
      <w:r w:rsidR="00F633DD" w:rsidRPr="00C40BD9">
        <w:rPr>
          <w:rFonts w:ascii="Verdana" w:hAnsi="Verdana"/>
          <w:sz w:val="20"/>
          <w:szCs w:val="20"/>
          <w:lang w:val="pt-BR"/>
        </w:rPr>
        <w:t>Sentença</w:t>
      </w:r>
      <w:r w:rsidR="00DE316A">
        <w:rPr>
          <w:rFonts w:ascii="Verdana" w:hAnsi="Verdana"/>
          <w:sz w:val="20"/>
          <w:szCs w:val="20"/>
          <w:lang w:val="pt-BR"/>
        </w:rPr>
        <w:t xml:space="preserve"> </w:t>
      </w:r>
      <w:r w:rsidR="0074017B" w:rsidRPr="00C40BD9">
        <w:rPr>
          <w:rFonts w:ascii="Verdana" w:hAnsi="Verdana"/>
          <w:sz w:val="20"/>
          <w:szCs w:val="20"/>
          <w:lang w:val="pt-BR"/>
        </w:rPr>
        <w:t>de interpreta</w:t>
      </w:r>
      <w:r w:rsidR="00F633DD" w:rsidRPr="00C40BD9">
        <w:rPr>
          <w:rFonts w:ascii="Verdana" w:hAnsi="Verdana"/>
          <w:sz w:val="20"/>
          <w:szCs w:val="20"/>
          <w:lang w:val="pt-BR"/>
        </w:rPr>
        <w:t>ção</w:t>
      </w:r>
      <w:r w:rsidR="0074017B" w:rsidRPr="00C40BD9">
        <w:rPr>
          <w:rFonts w:ascii="Verdana" w:hAnsi="Verdana"/>
          <w:sz w:val="20"/>
          <w:szCs w:val="20"/>
          <w:lang w:val="pt-BR"/>
        </w:rPr>
        <w:t xml:space="preserve"> </w:t>
      </w:r>
      <w:r w:rsidR="008E42A7">
        <w:rPr>
          <w:rFonts w:ascii="Verdana" w:hAnsi="Verdana"/>
          <w:sz w:val="20"/>
          <w:szCs w:val="20"/>
          <w:lang w:val="pt-BR"/>
        </w:rPr>
        <w:t>no C</w:t>
      </w:r>
      <w:r w:rsidR="0074017B" w:rsidRPr="00C40BD9">
        <w:rPr>
          <w:rFonts w:ascii="Verdana" w:hAnsi="Verdana"/>
          <w:sz w:val="20"/>
          <w:szCs w:val="20"/>
          <w:lang w:val="pt-BR"/>
        </w:rPr>
        <w:t xml:space="preserve">aso </w:t>
      </w:r>
      <w:r w:rsidR="008E42A7">
        <w:rPr>
          <w:rFonts w:ascii="Verdana" w:hAnsi="Verdana"/>
          <w:sz w:val="20"/>
          <w:szCs w:val="20"/>
          <w:lang w:val="pt-BR"/>
        </w:rPr>
        <w:t xml:space="preserve">Trabalhadores da Fazenda </w:t>
      </w:r>
      <w:r w:rsidR="0074017B" w:rsidRPr="00C40BD9">
        <w:rPr>
          <w:rFonts w:ascii="Verdana" w:hAnsi="Verdana"/>
          <w:sz w:val="20"/>
          <w:szCs w:val="20"/>
          <w:lang w:val="pt-BR"/>
        </w:rPr>
        <w:t>Brasil Verde</w:t>
      </w:r>
      <w:r w:rsidR="008E42A7">
        <w:rPr>
          <w:rFonts w:ascii="Verdana" w:hAnsi="Verdana"/>
          <w:sz w:val="20"/>
          <w:szCs w:val="20"/>
          <w:lang w:val="pt-BR"/>
        </w:rPr>
        <w:t>.</w:t>
      </w:r>
      <w:r w:rsidR="00C47F5C" w:rsidRPr="00C40BD9">
        <w:rPr>
          <w:rFonts w:ascii="Verdana" w:hAnsi="Verdana"/>
          <w:sz w:val="20"/>
          <w:szCs w:val="20"/>
          <w:lang w:val="pt-BR"/>
        </w:rPr>
        <w:t xml:space="preserve"> </w:t>
      </w:r>
    </w:p>
    <w:p w:rsidR="0074017B" w:rsidRPr="00C40BD9" w:rsidRDefault="0074017B" w:rsidP="00A82FB4">
      <w:pPr>
        <w:pStyle w:val="ListParagraph"/>
        <w:spacing w:after="0" w:line="240" w:lineRule="auto"/>
        <w:ind w:left="0"/>
        <w:contextualSpacing w:val="0"/>
        <w:jc w:val="both"/>
        <w:rPr>
          <w:rFonts w:ascii="Verdana" w:hAnsi="Verdana"/>
          <w:sz w:val="20"/>
          <w:szCs w:val="20"/>
          <w:lang w:val="pt-BR"/>
        </w:rPr>
      </w:pPr>
    </w:p>
    <w:p w:rsidR="0074017B" w:rsidRPr="00C40BD9" w:rsidRDefault="00FC2D19" w:rsidP="00A82FB4">
      <w:pPr>
        <w:pStyle w:val="ListParagraph"/>
        <w:spacing w:after="0" w:line="240" w:lineRule="auto"/>
        <w:ind w:left="0" w:firstLine="708"/>
        <w:contextualSpacing w:val="0"/>
        <w:jc w:val="both"/>
        <w:rPr>
          <w:rFonts w:ascii="Verdana" w:hAnsi="Verdana"/>
          <w:i/>
          <w:sz w:val="20"/>
          <w:szCs w:val="20"/>
          <w:lang w:val="pt-BR"/>
        </w:rPr>
      </w:pPr>
      <w:r w:rsidRPr="00C40BD9">
        <w:rPr>
          <w:rFonts w:ascii="Verdana" w:hAnsi="Verdana"/>
          <w:i/>
          <w:sz w:val="20"/>
          <w:szCs w:val="20"/>
          <w:lang w:val="pt-BR"/>
        </w:rPr>
        <w:t xml:space="preserve">D.2.2. </w:t>
      </w:r>
      <w:r w:rsidR="0074017B" w:rsidRPr="00C40BD9">
        <w:rPr>
          <w:rFonts w:ascii="Verdana" w:hAnsi="Verdana"/>
          <w:i/>
          <w:sz w:val="20"/>
          <w:szCs w:val="20"/>
          <w:lang w:val="pt-BR"/>
        </w:rPr>
        <w:t>Considera</w:t>
      </w:r>
      <w:r w:rsidR="00F633DD" w:rsidRPr="00C40BD9">
        <w:rPr>
          <w:rFonts w:ascii="Verdana" w:hAnsi="Verdana"/>
          <w:i/>
          <w:sz w:val="20"/>
          <w:szCs w:val="20"/>
          <w:lang w:val="pt-BR"/>
        </w:rPr>
        <w:t>ções</w:t>
      </w:r>
      <w:r w:rsidR="0074017B" w:rsidRPr="00C40BD9">
        <w:rPr>
          <w:rFonts w:ascii="Verdana" w:hAnsi="Verdana"/>
          <w:i/>
          <w:sz w:val="20"/>
          <w:szCs w:val="20"/>
          <w:lang w:val="pt-BR"/>
        </w:rPr>
        <w:t xml:space="preserve"> </w:t>
      </w:r>
      <w:r w:rsidR="00F633DD" w:rsidRPr="00C40BD9">
        <w:rPr>
          <w:rFonts w:ascii="Verdana" w:hAnsi="Verdana"/>
          <w:i/>
          <w:sz w:val="20"/>
          <w:szCs w:val="20"/>
          <w:lang w:val="pt-BR"/>
        </w:rPr>
        <w:t xml:space="preserve">da </w:t>
      </w:r>
      <w:r w:rsidR="0074017B" w:rsidRPr="00C40BD9">
        <w:rPr>
          <w:rFonts w:ascii="Verdana" w:hAnsi="Verdana"/>
          <w:i/>
          <w:sz w:val="20"/>
          <w:szCs w:val="20"/>
          <w:lang w:val="pt-BR"/>
        </w:rPr>
        <w:t>Corte</w:t>
      </w:r>
    </w:p>
    <w:p w:rsidR="0074017B" w:rsidRPr="00C40BD9" w:rsidRDefault="0074017B" w:rsidP="00A82FB4">
      <w:pPr>
        <w:pStyle w:val="ListParagraph"/>
        <w:spacing w:after="0" w:line="240" w:lineRule="auto"/>
        <w:ind w:left="0"/>
        <w:contextualSpacing w:val="0"/>
        <w:jc w:val="both"/>
        <w:rPr>
          <w:rFonts w:ascii="Verdana" w:hAnsi="Verdana"/>
          <w:i/>
          <w:sz w:val="20"/>
          <w:szCs w:val="20"/>
          <w:lang w:val="pt-BR"/>
        </w:rPr>
      </w:pPr>
    </w:p>
    <w:p w:rsidR="0074017B" w:rsidRPr="00C40BD9" w:rsidRDefault="00BF48F6" w:rsidP="00A82FB4">
      <w:pPr>
        <w:pStyle w:val="ListParagraph"/>
        <w:numPr>
          <w:ilvl w:val="0"/>
          <w:numId w:val="2"/>
        </w:numPr>
        <w:tabs>
          <w:tab w:val="clear" w:pos="1247"/>
        </w:tabs>
        <w:spacing w:after="0" w:line="240" w:lineRule="auto"/>
        <w:contextualSpacing w:val="0"/>
        <w:jc w:val="both"/>
        <w:rPr>
          <w:rFonts w:ascii="Verdana" w:hAnsi="Verdana"/>
          <w:sz w:val="20"/>
          <w:szCs w:val="20"/>
          <w:lang w:val="pt-BR"/>
        </w:rPr>
      </w:pPr>
      <w:r>
        <w:rPr>
          <w:rFonts w:ascii="Verdana" w:hAnsi="Verdana"/>
          <w:sz w:val="20"/>
          <w:szCs w:val="20"/>
          <w:lang w:val="pt-BR"/>
        </w:rPr>
        <w:lastRenderedPageBreak/>
        <w:t>A</w:t>
      </w:r>
      <w:r w:rsidR="00DE316A">
        <w:rPr>
          <w:rFonts w:ascii="Verdana" w:hAnsi="Verdana"/>
          <w:sz w:val="20"/>
          <w:szCs w:val="20"/>
          <w:lang w:val="pt-BR"/>
        </w:rPr>
        <w:t xml:space="preserve"> </w:t>
      </w:r>
      <w:r w:rsidR="00F633DD" w:rsidRPr="00C40BD9">
        <w:rPr>
          <w:rFonts w:ascii="Verdana" w:hAnsi="Verdana"/>
          <w:sz w:val="20"/>
          <w:szCs w:val="20"/>
          <w:lang w:val="pt-BR"/>
        </w:rPr>
        <w:t>Sentença</w:t>
      </w:r>
      <w:r w:rsidR="00DE316A">
        <w:rPr>
          <w:rFonts w:ascii="Verdana" w:hAnsi="Verdana"/>
          <w:sz w:val="20"/>
          <w:szCs w:val="20"/>
          <w:lang w:val="pt-BR"/>
        </w:rPr>
        <w:t xml:space="preserve"> </w:t>
      </w:r>
      <w:r w:rsidR="00F633DD" w:rsidRPr="00C40BD9">
        <w:rPr>
          <w:rFonts w:ascii="Verdana" w:hAnsi="Verdana"/>
          <w:sz w:val="20"/>
          <w:szCs w:val="20"/>
          <w:lang w:val="pt-BR"/>
        </w:rPr>
        <w:t xml:space="preserve">da </w:t>
      </w:r>
      <w:r w:rsidR="0074017B" w:rsidRPr="00C40BD9">
        <w:rPr>
          <w:rFonts w:ascii="Verdana" w:hAnsi="Verdana"/>
          <w:sz w:val="20"/>
          <w:szCs w:val="20"/>
          <w:lang w:val="pt-BR"/>
        </w:rPr>
        <w:t>Corte estab</w:t>
      </w:r>
      <w:r w:rsidR="008E42A7">
        <w:rPr>
          <w:rFonts w:ascii="Verdana" w:hAnsi="Verdana"/>
          <w:sz w:val="20"/>
          <w:szCs w:val="20"/>
          <w:lang w:val="pt-BR"/>
        </w:rPr>
        <w:t xml:space="preserve">eleceu as </w:t>
      </w:r>
      <w:r w:rsidR="0074017B" w:rsidRPr="00C40BD9">
        <w:rPr>
          <w:rFonts w:ascii="Verdana" w:hAnsi="Verdana"/>
          <w:sz w:val="20"/>
          <w:szCs w:val="20"/>
          <w:lang w:val="pt-BR"/>
        </w:rPr>
        <w:t>condi</w:t>
      </w:r>
      <w:r w:rsidR="00F633DD" w:rsidRPr="00C40BD9">
        <w:rPr>
          <w:rFonts w:ascii="Verdana" w:hAnsi="Verdana"/>
          <w:sz w:val="20"/>
          <w:szCs w:val="20"/>
          <w:lang w:val="pt-BR"/>
        </w:rPr>
        <w:t>ções</w:t>
      </w:r>
      <w:r w:rsidR="0074017B" w:rsidRPr="00C40BD9">
        <w:rPr>
          <w:rFonts w:ascii="Verdana" w:hAnsi="Verdana"/>
          <w:sz w:val="20"/>
          <w:szCs w:val="20"/>
          <w:lang w:val="pt-BR"/>
        </w:rPr>
        <w:t xml:space="preserve"> </w:t>
      </w:r>
      <w:r w:rsidR="008E42A7">
        <w:rPr>
          <w:rFonts w:ascii="Verdana" w:hAnsi="Verdana"/>
          <w:sz w:val="20"/>
          <w:szCs w:val="20"/>
          <w:lang w:val="pt-BR"/>
        </w:rPr>
        <w:t xml:space="preserve">em que o pagamento </w:t>
      </w:r>
      <w:r w:rsidR="00C06A9B" w:rsidRPr="00C40BD9">
        <w:rPr>
          <w:rFonts w:ascii="Verdana" w:hAnsi="Verdana"/>
          <w:sz w:val="20"/>
          <w:szCs w:val="20"/>
          <w:lang w:val="pt-BR"/>
        </w:rPr>
        <w:t xml:space="preserve">das </w:t>
      </w:r>
      <w:r w:rsidR="0074017B" w:rsidRPr="00C40BD9">
        <w:rPr>
          <w:rFonts w:ascii="Verdana" w:hAnsi="Verdana"/>
          <w:sz w:val="20"/>
          <w:szCs w:val="20"/>
          <w:lang w:val="pt-BR"/>
        </w:rPr>
        <w:t>indeniza</w:t>
      </w:r>
      <w:r w:rsidR="00F633DD" w:rsidRPr="00C40BD9">
        <w:rPr>
          <w:rFonts w:ascii="Verdana" w:hAnsi="Verdana"/>
          <w:sz w:val="20"/>
          <w:szCs w:val="20"/>
          <w:lang w:val="pt-BR"/>
        </w:rPr>
        <w:t>ções</w:t>
      </w:r>
      <w:r w:rsidR="0074017B" w:rsidRPr="00C40BD9">
        <w:rPr>
          <w:rFonts w:ascii="Verdana" w:hAnsi="Verdana"/>
          <w:sz w:val="20"/>
          <w:szCs w:val="20"/>
          <w:lang w:val="pt-BR"/>
        </w:rPr>
        <w:t xml:space="preserve"> compensat</w:t>
      </w:r>
      <w:r w:rsidR="008E42A7">
        <w:rPr>
          <w:rFonts w:ascii="Verdana" w:hAnsi="Verdana"/>
          <w:sz w:val="20"/>
          <w:szCs w:val="20"/>
          <w:lang w:val="pt-BR"/>
        </w:rPr>
        <w:t>ó</w:t>
      </w:r>
      <w:r w:rsidR="0074017B" w:rsidRPr="00C40BD9">
        <w:rPr>
          <w:rFonts w:ascii="Verdana" w:hAnsi="Verdana"/>
          <w:sz w:val="20"/>
          <w:szCs w:val="20"/>
          <w:lang w:val="pt-BR"/>
        </w:rPr>
        <w:t xml:space="preserve">rias </w:t>
      </w:r>
      <w:r w:rsidR="008E42A7">
        <w:rPr>
          <w:rFonts w:ascii="Verdana" w:hAnsi="Verdana"/>
          <w:sz w:val="20"/>
          <w:szCs w:val="20"/>
          <w:lang w:val="pt-BR"/>
        </w:rPr>
        <w:t xml:space="preserve">devia ser </w:t>
      </w:r>
      <w:r w:rsidR="00C26035" w:rsidRPr="00C40BD9">
        <w:rPr>
          <w:rFonts w:ascii="Verdana" w:hAnsi="Verdana"/>
          <w:sz w:val="20"/>
          <w:szCs w:val="20"/>
          <w:lang w:val="pt-BR"/>
        </w:rPr>
        <w:t xml:space="preserve">realizado </w:t>
      </w:r>
      <w:r w:rsidR="0074017B" w:rsidRPr="00C40BD9">
        <w:rPr>
          <w:rFonts w:ascii="Verdana" w:hAnsi="Verdana"/>
          <w:sz w:val="20"/>
          <w:szCs w:val="20"/>
          <w:lang w:val="pt-BR"/>
        </w:rPr>
        <w:t xml:space="preserve">nos </w:t>
      </w:r>
      <w:r w:rsidR="00635878" w:rsidRPr="00C40BD9">
        <w:rPr>
          <w:rFonts w:ascii="Verdana" w:hAnsi="Verdana"/>
          <w:sz w:val="20"/>
          <w:szCs w:val="20"/>
          <w:lang w:val="pt-BR"/>
        </w:rPr>
        <w:t>parágrafos</w:t>
      </w:r>
      <w:r w:rsidR="00DE316A">
        <w:rPr>
          <w:rFonts w:ascii="Verdana" w:hAnsi="Verdana"/>
          <w:sz w:val="20"/>
          <w:szCs w:val="20"/>
          <w:lang w:val="pt-BR"/>
        </w:rPr>
        <w:t xml:space="preserve"> </w:t>
      </w:r>
      <w:r w:rsidR="0074017B" w:rsidRPr="00C40BD9">
        <w:rPr>
          <w:rFonts w:ascii="Verdana" w:hAnsi="Verdana"/>
          <w:sz w:val="20"/>
          <w:szCs w:val="20"/>
          <w:lang w:val="pt-BR"/>
        </w:rPr>
        <w:t>363 a 366</w:t>
      </w:r>
      <w:r w:rsidR="008E42A7">
        <w:rPr>
          <w:rFonts w:ascii="Verdana" w:hAnsi="Verdana"/>
          <w:sz w:val="20"/>
          <w:szCs w:val="20"/>
          <w:lang w:val="pt-BR"/>
        </w:rPr>
        <w:t>.</w:t>
      </w:r>
      <w:r w:rsidR="002D3285" w:rsidRPr="00C40BD9">
        <w:rPr>
          <w:rFonts w:ascii="Verdana" w:hAnsi="Verdana"/>
          <w:sz w:val="20"/>
          <w:szCs w:val="20"/>
          <w:lang w:val="pt-BR"/>
        </w:rPr>
        <w:t xml:space="preserve"> </w:t>
      </w:r>
    </w:p>
    <w:p w:rsidR="0074017B" w:rsidRPr="00C40BD9" w:rsidRDefault="0074017B" w:rsidP="00A82FB4">
      <w:pPr>
        <w:pStyle w:val="ListParagraph"/>
        <w:spacing w:after="0" w:line="240" w:lineRule="auto"/>
        <w:ind w:left="576"/>
        <w:contextualSpacing w:val="0"/>
        <w:jc w:val="both"/>
        <w:rPr>
          <w:rFonts w:ascii="Verdana" w:hAnsi="Verdana"/>
          <w:sz w:val="18"/>
          <w:szCs w:val="18"/>
          <w:lang w:val="pt-BR"/>
        </w:rPr>
      </w:pPr>
    </w:p>
    <w:p w:rsidR="0074017B" w:rsidRPr="008E42A7" w:rsidRDefault="00BF48F6" w:rsidP="00A82FB4">
      <w:pPr>
        <w:pStyle w:val="ListParagraph"/>
        <w:numPr>
          <w:ilvl w:val="0"/>
          <w:numId w:val="2"/>
        </w:numPr>
        <w:tabs>
          <w:tab w:val="clear" w:pos="1247"/>
        </w:tabs>
        <w:spacing w:after="0" w:line="240" w:lineRule="auto"/>
        <w:contextualSpacing w:val="0"/>
        <w:jc w:val="both"/>
        <w:rPr>
          <w:rFonts w:ascii="Verdana" w:hAnsi="Verdana"/>
          <w:sz w:val="20"/>
          <w:szCs w:val="20"/>
          <w:lang w:val="pt-BR"/>
        </w:rPr>
      </w:pPr>
      <w:r w:rsidRPr="008F2740">
        <w:rPr>
          <w:rFonts w:ascii="Verdana" w:hAnsi="Verdana"/>
          <w:sz w:val="20"/>
          <w:szCs w:val="20"/>
          <w:lang w:val="pt-BR"/>
        </w:rPr>
        <w:t>A</w:t>
      </w:r>
      <w:r w:rsidR="00DE316A">
        <w:rPr>
          <w:rFonts w:ascii="Verdana" w:hAnsi="Verdana"/>
          <w:sz w:val="20"/>
          <w:szCs w:val="20"/>
          <w:lang w:val="pt-BR"/>
        </w:rPr>
        <w:t xml:space="preserve"> </w:t>
      </w:r>
      <w:r w:rsidR="0074017B" w:rsidRPr="008F2740">
        <w:rPr>
          <w:rFonts w:ascii="Verdana" w:hAnsi="Verdana"/>
          <w:sz w:val="20"/>
          <w:szCs w:val="20"/>
          <w:lang w:val="pt-BR"/>
        </w:rPr>
        <w:t xml:space="preserve">Corte considera que </w:t>
      </w:r>
      <w:r w:rsidR="008E42A7">
        <w:rPr>
          <w:rFonts w:ascii="Verdana" w:hAnsi="Verdana"/>
          <w:sz w:val="20"/>
          <w:szCs w:val="20"/>
          <w:lang w:val="pt-BR"/>
        </w:rPr>
        <w:t xml:space="preserve">o </w:t>
      </w:r>
      <w:r w:rsidR="008F2740" w:rsidRPr="008F2740">
        <w:rPr>
          <w:rFonts w:ascii="Verdana" w:hAnsi="Verdana"/>
          <w:sz w:val="20"/>
          <w:szCs w:val="20"/>
          <w:lang w:val="pt-BR"/>
        </w:rPr>
        <w:t>ponto</w:t>
      </w:r>
      <w:r w:rsidR="00DE316A">
        <w:rPr>
          <w:rFonts w:ascii="Verdana" w:hAnsi="Verdana"/>
          <w:sz w:val="20"/>
          <w:szCs w:val="20"/>
          <w:lang w:val="pt-BR"/>
        </w:rPr>
        <w:t xml:space="preserve"> </w:t>
      </w:r>
      <w:r w:rsidR="008E42A7">
        <w:rPr>
          <w:rFonts w:ascii="Verdana" w:hAnsi="Verdana"/>
          <w:sz w:val="20"/>
          <w:szCs w:val="20"/>
          <w:lang w:val="pt-BR"/>
        </w:rPr>
        <w:t xml:space="preserve">suscitado </w:t>
      </w:r>
      <w:r w:rsidR="00036A1B" w:rsidRPr="008F2740">
        <w:rPr>
          <w:rFonts w:ascii="Verdana" w:hAnsi="Verdana"/>
          <w:sz w:val="20"/>
          <w:szCs w:val="20"/>
          <w:lang w:val="pt-BR"/>
        </w:rPr>
        <w:t xml:space="preserve">pelo </w:t>
      </w:r>
      <w:r w:rsidR="0074017B" w:rsidRPr="008F2740">
        <w:rPr>
          <w:rFonts w:ascii="Verdana" w:hAnsi="Verdana"/>
          <w:sz w:val="20"/>
          <w:szCs w:val="20"/>
          <w:lang w:val="pt-BR"/>
        </w:rPr>
        <w:t xml:space="preserve">Estado </w:t>
      </w:r>
      <w:r w:rsidR="008E42A7">
        <w:rPr>
          <w:rFonts w:ascii="Verdana" w:hAnsi="Verdana"/>
          <w:sz w:val="20"/>
          <w:szCs w:val="20"/>
          <w:lang w:val="pt-BR"/>
        </w:rPr>
        <w:t xml:space="preserve">é </w:t>
      </w:r>
      <w:r w:rsidR="0074017B" w:rsidRPr="008F2740">
        <w:rPr>
          <w:rFonts w:ascii="Verdana" w:hAnsi="Verdana"/>
          <w:sz w:val="20"/>
          <w:szCs w:val="20"/>
          <w:lang w:val="pt-BR"/>
        </w:rPr>
        <w:t xml:space="preserve">claro </w:t>
      </w:r>
      <w:r w:rsidR="000814BE" w:rsidRPr="008F2740">
        <w:rPr>
          <w:rFonts w:ascii="Verdana" w:hAnsi="Verdana"/>
          <w:sz w:val="20"/>
          <w:szCs w:val="20"/>
          <w:lang w:val="pt-BR"/>
        </w:rPr>
        <w:t xml:space="preserve">na </w:t>
      </w:r>
      <w:r w:rsidR="00F633DD" w:rsidRPr="008F2740">
        <w:rPr>
          <w:rFonts w:ascii="Verdana" w:hAnsi="Verdana"/>
          <w:sz w:val="20"/>
          <w:szCs w:val="20"/>
          <w:lang w:val="pt-BR"/>
        </w:rPr>
        <w:t>Sentença</w:t>
      </w:r>
      <w:r w:rsidR="0074017B" w:rsidRPr="008F2740">
        <w:rPr>
          <w:rFonts w:ascii="Verdana" w:hAnsi="Verdana"/>
          <w:sz w:val="20"/>
          <w:szCs w:val="20"/>
          <w:lang w:val="pt-BR"/>
        </w:rPr>
        <w:t>, dado que</w:t>
      </w:r>
      <w:r w:rsidR="008E42A7">
        <w:rPr>
          <w:rFonts w:ascii="Verdana" w:hAnsi="Verdana"/>
          <w:sz w:val="20"/>
          <w:szCs w:val="20"/>
          <w:lang w:val="pt-BR"/>
        </w:rPr>
        <w:t xml:space="preserve">, da leitura do </w:t>
      </w:r>
      <w:r w:rsidR="00C06A9B" w:rsidRPr="008F2740">
        <w:rPr>
          <w:rFonts w:ascii="Verdana" w:hAnsi="Verdana"/>
          <w:sz w:val="20"/>
          <w:szCs w:val="20"/>
          <w:lang w:val="pt-BR"/>
        </w:rPr>
        <w:t>parágrafo</w:t>
      </w:r>
      <w:r w:rsidR="00DE316A">
        <w:rPr>
          <w:rFonts w:ascii="Verdana" w:hAnsi="Verdana"/>
          <w:sz w:val="20"/>
          <w:szCs w:val="20"/>
          <w:lang w:val="pt-BR"/>
        </w:rPr>
        <w:t xml:space="preserve"> </w:t>
      </w:r>
      <w:r w:rsidR="0074017B" w:rsidRPr="008F2740">
        <w:rPr>
          <w:rFonts w:ascii="Verdana" w:hAnsi="Verdana"/>
          <w:sz w:val="20"/>
          <w:szCs w:val="20"/>
          <w:lang w:val="pt-BR"/>
        </w:rPr>
        <w:t>365</w:t>
      </w:r>
      <w:r w:rsidR="008E42A7">
        <w:rPr>
          <w:rFonts w:ascii="Verdana" w:hAnsi="Verdana"/>
          <w:sz w:val="20"/>
          <w:szCs w:val="20"/>
          <w:lang w:val="pt-BR"/>
        </w:rPr>
        <w:t xml:space="preserve">, se deduz que os </w:t>
      </w:r>
      <w:r w:rsidR="0074017B" w:rsidRPr="008F2740">
        <w:rPr>
          <w:rFonts w:ascii="Verdana" w:hAnsi="Verdana"/>
          <w:sz w:val="20"/>
          <w:szCs w:val="20"/>
          <w:lang w:val="pt-BR"/>
        </w:rPr>
        <w:t>valores determinados e</w:t>
      </w:r>
      <w:r w:rsidR="008E42A7">
        <w:rPr>
          <w:rFonts w:ascii="Verdana" w:hAnsi="Verdana"/>
          <w:sz w:val="20"/>
          <w:szCs w:val="20"/>
          <w:lang w:val="pt-BR"/>
        </w:rPr>
        <w:t>m</w:t>
      </w:r>
      <w:r w:rsidR="0074017B" w:rsidRPr="008F2740">
        <w:rPr>
          <w:rFonts w:ascii="Verdana" w:hAnsi="Verdana"/>
          <w:sz w:val="20"/>
          <w:szCs w:val="20"/>
          <w:lang w:val="pt-BR"/>
        </w:rPr>
        <w:t xml:space="preserve"> dólares estadunidenses p</w:t>
      </w:r>
      <w:r w:rsidR="008E42A7">
        <w:rPr>
          <w:rFonts w:ascii="Verdana" w:hAnsi="Verdana"/>
          <w:sz w:val="20"/>
          <w:szCs w:val="20"/>
          <w:lang w:val="pt-BR"/>
        </w:rPr>
        <w:t>odem ser pagos em moeda brasileira</w:t>
      </w:r>
      <w:r w:rsidR="0074017B" w:rsidRPr="008F2740">
        <w:rPr>
          <w:rFonts w:ascii="Verdana" w:hAnsi="Verdana"/>
          <w:sz w:val="20"/>
          <w:szCs w:val="20"/>
          <w:lang w:val="pt-BR"/>
        </w:rPr>
        <w:t xml:space="preserve">. </w:t>
      </w:r>
      <w:r w:rsidR="0074017B" w:rsidRPr="008E42A7">
        <w:rPr>
          <w:rFonts w:ascii="Verdana" w:hAnsi="Verdana"/>
          <w:sz w:val="20"/>
          <w:szCs w:val="20"/>
          <w:lang w:val="pt-BR"/>
        </w:rPr>
        <w:t xml:space="preserve">Portanto, </w:t>
      </w:r>
      <w:r w:rsidR="008E42A7" w:rsidRPr="008E42A7">
        <w:rPr>
          <w:rFonts w:ascii="Verdana" w:hAnsi="Verdana"/>
          <w:sz w:val="20"/>
          <w:szCs w:val="20"/>
          <w:lang w:val="pt-BR"/>
        </w:rPr>
        <w:t>de</w:t>
      </w:r>
      <w:r w:rsidR="008E42A7">
        <w:rPr>
          <w:rFonts w:ascii="Verdana" w:hAnsi="Verdana"/>
          <w:sz w:val="20"/>
          <w:szCs w:val="20"/>
          <w:lang w:val="pt-BR"/>
        </w:rPr>
        <w:t>v</w:t>
      </w:r>
      <w:r w:rsidR="008E42A7" w:rsidRPr="008E42A7">
        <w:rPr>
          <w:rFonts w:ascii="Verdana" w:hAnsi="Verdana"/>
          <w:sz w:val="20"/>
          <w:szCs w:val="20"/>
          <w:lang w:val="pt-BR"/>
        </w:rPr>
        <w:t>e-se</w:t>
      </w:r>
      <w:r w:rsidR="00DE316A">
        <w:rPr>
          <w:rFonts w:ascii="Verdana" w:hAnsi="Verdana"/>
          <w:sz w:val="20"/>
          <w:szCs w:val="20"/>
          <w:lang w:val="pt-BR"/>
        </w:rPr>
        <w:t xml:space="preserve"> </w:t>
      </w:r>
      <w:r w:rsidR="0074017B" w:rsidRPr="008E42A7">
        <w:rPr>
          <w:rFonts w:ascii="Verdana" w:hAnsi="Verdana"/>
          <w:sz w:val="20"/>
          <w:szCs w:val="20"/>
          <w:lang w:val="pt-BR"/>
        </w:rPr>
        <w:t xml:space="preserve">utilizar para </w:t>
      </w:r>
      <w:r w:rsidR="008E42A7" w:rsidRPr="008E42A7">
        <w:rPr>
          <w:rFonts w:ascii="Verdana" w:hAnsi="Verdana"/>
          <w:sz w:val="20"/>
          <w:szCs w:val="20"/>
          <w:lang w:val="pt-BR"/>
        </w:rPr>
        <w:t>o</w:t>
      </w:r>
      <w:r w:rsidR="0074017B" w:rsidRPr="008E42A7">
        <w:rPr>
          <w:rFonts w:ascii="Verdana" w:hAnsi="Verdana"/>
          <w:sz w:val="20"/>
          <w:szCs w:val="20"/>
          <w:lang w:val="pt-BR"/>
        </w:rPr>
        <w:t xml:space="preserve"> cálculo</w:t>
      </w:r>
      <w:r w:rsidR="008E42A7" w:rsidRPr="008E42A7">
        <w:rPr>
          <w:rFonts w:ascii="Verdana" w:hAnsi="Verdana"/>
          <w:sz w:val="20"/>
          <w:szCs w:val="20"/>
          <w:lang w:val="pt-BR"/>
        </w:rPr>
        <w:t xml:space="preserve"> </w:t>
      </w:r>
      <w:r w:rsidR="008E42A7">
        <w:rPr>
          <w:rFonts w:ascii="Verdana" w:hAnsi="Verdana"/>
          <w:sz w:val="20"/>
          <w:szCs w:val="20"/>
          <w:lang w:val="pt-BR"/>
        </w:rPr>
        <w:t>a ta</w:t>
      </w:r>
      <w:r w:rsidR="00A961C9">
        <w:rPr>
          <w:rFonts w:ascii="Verdana" w:hAnsi="Verdana"/>
          <w:sz w:val="20"/>
          <w:szCs w:val="20"/>
          <w:lang w:val="pt-BR"/>
        </w:rPr>
        <w:t>x</w:t>
      </w:r>
      <w:r w:rsidR="008E42A7">
        <w:rPr>
          <w:rFonts w:ascii="Verdana" w:hAnsi="Verdana"/>
          <w:sz w:val="20"/>
          <w:szCs w:val="20"/>
          <w:lang w:val="pt-BR"/>
        </w:rPr>
        <w:t xml:space="preserve">a de </w:t>
      </w:r>
      <w:r w:rsidR="0074017B" w:rsidRPr="008E42A7">
        <w:rPr>
          <w:rFonts w:ascii="Verdana" w:hAnsi="Verdana"/>
          <w:sz w:val="20"/>
          <w:szCs w:val="20"/>
          <w:lang w:val="pt-BR"/>
        </w:rPr>
        <w:t>c</w:t>
      </w:r>
      <w:r w:rsidR="008E42A7" w:rsidRPr="008E42A7">
        <w:rPr>
          <w:rFonts w:ascii="Verdana" w:hAnsi="Verdana"/>
          <w:sz w:val="20"/>
          <w:szCs w:val="20"/>
          <w:lang w:val="pt-BR"/>
        </w:rPr>
        <w:t>â</w:t>
      </w:r>
      <w:r w:rsidR="0074017B" w:rsidRPr="008E42A7">
        <w:rPr>
          <w:rFonts w:ascii="Verdana" w:hAnsi="Verdana"/>
          <w:sz w:val="20"/>
          <w:szCs w:val="20"/>
          <w:lang w:val="pt-BR"/>
        </w:rPr>
        <w:t xml:space="preserve">mbio que se </w:t>
      </w:r>
      <w:r w:rsidR="008E42A7" w:rsidRPr="008E42A7">
        <w:rPr>
          <w:rFonts w:ascii="Verdana" w:hAnsi="Verdana"/>
          <w:sz w:val="20"/>
          <w:szCs w:val="20"/>
          <w:lang w:val="pt-BR"/>
        </w:rPr>
        <w:t xml:space="preserve">encontre </w:t>
      </w:r>
      <w:r w:rsidR="0074017B" w:rsidRPr="008E42A7">
        <w:rPr>
          <w:rFonts w:ascii="Verdana" w:hAnsi="Verdana"/>
          <w:sz w:val="20"/>
          <w:szCs w:val="20"/>
          <w:lang w:val="pt-BR"/>
        </w:rPr>
        <w:t xml:space="preserve">vigente </w:t>
      </w:r>
      <w:r w:rsidR="000814BE" w:rsidRPr="008E42A7">
        <w:rPr>
          <w:rFonts w:ascii="Verdana" w:hAnsi="Verdana"/>
          <w:sz w:val="20"/>
          <w:szCs w:val="20"/>
          <w:lang w:val="pt-BR"/>
        </w:rPr>
        <w:t xml:space="preserve">na </w:t>
      </w:r>
      <w:r w:rsidR="0074017B" w:rsidRPr="008E42A7">
        <w:rPr>
          <w:rFonts w:ascii="Verdana" w:hAnsi="Verdana"/>
          <w:sz w:val="20"/>
          <w:szCs w:val="20"/>
          <w:lang w:val="pt-BR"/>
        </w:rPr>
        <w:t>bolsa de N</w:t>
      </w:r>
      <w:r w:rsidR="008E42A7">
        <w:rPr>
          <w:rFonts w:ascii="Verdana" w:hAnsi="Verdana"/>
          <w:sz w:val="20"/>
          <w:szCs w:val="20"/>
          <w:lang w:val="pt-BR"/>
        </w:rPr>
        <w:t>o</w:t>
      </w:r>
      <w:r w:rsidR="0074017B" w:rsidRPr="008E42A7">
        <w:rPr>
          <w:rFonts w:ascii="Verdana" w:hAnsi="Verdana"/>
          <w:sz w:val="20"/>
          <w:szCs w:val="20"/>
          <w:lang w:val="pt-BR"/>
        </w:rPr>
        <w:t>va York, Estados Unidos d</w:t>
      </w:r>
      <w:r w:rsidR="008E42A7">
        <w:rPr>
          <w:rFonts w:ascii="Verdana" w:hAnsi="Verdana"/>
          <w:sz w:val="20"/>
          <w:szCs w:val="20"/>
          <w:lang w:val="pt-BR"/>
        </w:rPr>
        <w:t>a</w:t>
      </w:r>
      <w:r w:rsidR="0074017B" w:rsidRPr="008E42A7">
        <w:rPr>
          <w:rFonts w:ascii="Verdana" w:hAnsi="Verdana"/>
          <w:sz w:val="20"/>
          <w:szCs w:val="20"/>
          <w:lang w:val="pt-BR"/>
        </w:rPr>
        <w:t xml:space="preserve"> América, </w:t>
      </w:r>
      <w:r w:rsidR="008E42A7">
        <w:rPr>
          <w:rFonts w:ascii="Verdana" w:hAnsi="Verdana"/>
          <w:sz w:val="20"/>
          <w:szCs w:val="20"/>
          <w:lang w:val="pt-BR"/>
        </w:rPr>
        <w:t>no dia anterior ao do pagamento</w:t>
      </w:r>
      <w:r w:rsidR="0074017B" w:rsidRPr="008E42A7">
        <w:rPr>
          <w:rFonts w:ascii="Verdana" w:hAnsi="Verdana"/>
          <w:sz w:val="20"/>
          <w:szCs w:val="20"/>
          <w:lang w:val="pt-BR"/>
        </w:rPr>
        <w:t>.</w:t>
      </w:r>
    </w:p>
    <w:p w:rsidR="0074017B" w:rsidRPr="008E42A7" w:rsidRDefault="0074017B" w:rsidP="00A82FB4">
      <w:pPr>
        <w:pStyle w:val="ListParagraph"/>
        <w:spacing w:after="0" w:line="240" w:lineRule="auto"/>
        <w:ind w:left="0"/>
        <w:contextualSpacing w:val="0"/>
        <w:jc w:val="both"/>
        <w:rPr>
          <w:rFonts w:ascii="Verdana" w:hAnsi="Verdana"/>
          <w:sz w:val="20"/>
          <w:szCs w:val="20"/>
          <w:lang w:val="pt-BR"/>
        </w:rPr>
      </w:pPr>
    </w:p>
    <w:p w:rsidR="0074017B" w:rsidRPr="008E42A7" w:rsidRDefault="005F38B7" w:rsidP="00A82FB4">
      <w:pPr>
        <w:pStyle w:val="ListParagraph"/>
        <w:numPr>
          <w:ilvl w:val="0"/>
          <w:numId w:val="2"/>
        </w:numPr>
        <w:tabs>
          <w:tab w:val="clear" w:pos="1247"/>
        </w:tabs>
        <w:spacing w:after="0" w:line="240" w:lineRule="auto"/>
        <w:contextualSpacing w:val="0"/>
        <w:jc w:val="both"/>
        <w:rPr>
          <w:rFonts w:ascii="Verdana" w:hAnsi="Verdana"/>
          <w:sz w:val="20"/>
          <w:szCs w:val="20"/>
          <w:lang w:val="pt-BR"/>
        </w:rPr>
      </w:pPr>
      <w:r w:rsidRPr="008E42A7">
        <w:rPr>
          <w:rFonts w:ascii="Verdana" w:hAnsi="Verdana"/>
          <w:sz w:val="20"/>
          <w:szCs w:val="20"/>
          <w:lang w:val="pt-BR"/>
        </w:rPr>
        <w:t>Portanto</w:t>
      </w:r>
      <w:r w:rsidR="0074017B" w:rsidRPr="008E42A7">
        <w:rPr>
          <w:rFonts w:ascii="Verdana" w:hAnsi="Verdana"/>
          <w:sz w:val="20"/>
          <w:szCs w:val="20"/>
          <w:lang w:val="pt-BR"/>
        </w:rPr>
        <w:t xml:space="preserve">, </w:t>
      </w:r>
      <w:r w:rsidR="00036A1B" w:rsidRPr="008E42A7">
        <w:rPr>
          <w:rFonts w:ascii="Verdana" w:hAnsi="Verdana"/>
          <w:sz w:val="20"/>
          <w:szCs w:val="20"/>
          <w:lang w:val="pt-BR"/>
        </w:rPr>
        <w:t xml:space="preserve">a Corte </w:t>
      </w:r>
      <w:r w:rsidR="008E42A7" w:rsidRPr="008E42A7">
        <w:rPr>
          <w:rFonts w:ascii="Verdana" w:hAnsi="Verdana"/>
          <w:sz w:val="20"/>
          <w:szCs w:val="20"/>
          <w:lang w:val="pt-BR"/>
        </w:rPr>
        <w:t xml:space="preserve">esclarece que o </w:t>
      </w:r>
      <w:r w:rsidR="00C06A9B" w:rsidRPr="008E42A7">
        <w:rPr>
          <w:rFonts w:ascii="Verdana" w:hAnsi="Verdana"/>
          <w:sz w:val="20"/>
          <w:szCs w:val="20"/>
          <w:lang w:val="pt-BR"/>
        </w:rPr>
        <w:t>parágrafo</w:t>
      </w:r>
      <w:r w:rsidR="00DE316A">
        <w:rPr>
          <w:rFonts w:ascii="Verdana" w:hAnsi="Verdana"/>
          <w:sz w:val="20"/>
          <w:szCs w:val="20"/>
          <w:lang w:val="pt-BR"/>
        </w:rPr>
        <w:t xml:space="preserve"> </w:t>
      </w:r>
      <w:r w:rsidR="0074017B" w:rsidRPr="008E42A7">
        <w:rPr>
          <w:rFonts w:ascii="Verdana" w:hAnsi="Verdana"/>
          <w:sz w:val="20"/>
          <w:szCs w:val="20"/>
          <w:lang w:val="pt-BR"/>
        </w:rPr>
        <w:t xml:space="preserve">366 </w:t>
      </w:r>
      <w:r w:rsidR="006770ED" w:rsidRPr="008E42A7">
        <w:rPr>
          <w:rFonts w:ascii="Verdana" w:hAnsi="Verdana"/>
          <w:sz w:val="20"/>
          <w:szCs w:val="20"/>
          <w:lang w:val="pt-BR"/>
        </w:rPr>
        <w:t>deve</w:t>
      </w:r>
      <w:r w:rsidR="00DE316A">
        <w:rPr>
          <w:rFonts w:ascii="Verdana" w:hAnsi="Verdana"/>
          <w:sz w:val="20"/>
          <w:szCs w:val="20"/>
          <w:lang w:val="pt-BR"/>
        </w:rPr>
        <w:t xml:space="preserve"> </w:t>
      </w:r>
      <w:r w:rsidR="0074017B" w:rsidRPr="008E42A7">
        <w:rPr>
          <w:rFonts w:ascii="Verdana" w:hAnsi="Verdana"/>
          <w:sz w:val="20"/>
          <w:szCs w:val="20"/>
          <w:lang w:val="pt-BR"/>
        </w:rPr>
        <w:t>ser interpretado e</w:t>
      </w:r>
      <w:r w:rsidR="008E42A7" w:rsidRPr="008E42A7">
        <w:rPr>
          <w:rFonts w:ascii="Verdana" w:hAnsi="Verdana"/>
          <w:sz w:val="20"/>
          <w:szCs w:val="20"/>
          <w:lang w:val="pt-BR"/>
        </w:rPr>
        <w:t>m</w:t>
      </w:r>
      <w:r w:rsidR="0074017B" w:rsidRPr="008E42A7">
        <w:rPr>
          <w:rFonts w:ascii="Verdana" w:hAnsi="Verdana"/>
          <w:sz w:val="20"/>
          <w:szCs w:val="20"/>
          <w:lang w:val="pt-BR"/>
        </w:rPr>
        <w:t xml:space="preserve"> conson</w:t>
      </w:r>
      <w:r w:rsidR="008E42A7" w:rsidRPr="008E42A7">
        <w:rPr>
          <w:rFonts w:ascii="Verdana" w:hAnsi="Verdana"/>
          <w:sz w:val="20"/>
          <w:szCs w:val="20"/>
          <w:lang w:val="pt-BR"/>
        </w:rPr>
        <w:t>â</w:t>
      </w:r>
      <w:r w:rsidR="0074017B" w:rsidRPr="008E42A7">
        <w:rPr>
          <w:rFonts w:ascii="Verdana" w:hAnsi="Verdana"/>
          <w:sz w:val="20"/>
          <w:szCs w:val="20"/>
          <w:lang w:val="pt-BR"/>
        </w:rPr>
        <w:t>ncia co</w:t>
      </w:r>
      <w:r w:rsidR="008E42A7" w:rsidRPr="008E42A7">
        <w:rPr>
          <w:rFonts w:ascii="Verdana" w:hAnsi="Verdana"/>
          <w:sz w:val="20"/>
          <w:szCs w:val="20"/>
          <w:lang w:val="pt-BR"/>
        </w:rPr>
        <w:t xml:space="preserve">m o </w:t>
      </w:r>
      <w:r w:rsidR="00C06A9B" w:rsidRPr="008E42A7">
        <w:rPr>
          <w:rFonts w:ascii="Verdana" w:hAnsi="Verdana"/>
          <w:sz w:val="20"/>
          <w:szCs w:val="20"/>
          <w:lang w:val="pt-BR"/>
        </w:rPr>
        <w:t>parágrafo</w:t>
      </w:r>
      <w:r w:rsidR="00DE316A">
        <w:rPr>
          <w:rFonts w:ascii="Verdana" w:hAnsi="Verdana"/>
          <w:sz w:val="20"/>
          <w:szCs w:val="20"/>
          <w:lang w:val="pt-BR"/>
        </w:rPr>
        <w:t xml:space="preserve"> </w:t>
      </w:r>
      <w:r w:rsidR="0074017B" w:rsidRPr="008E42A7">
        <w:rPr>
          <w:rFonts w:ascii="Verdana" w:hAnsi="Verdana"/>
          <w:sz w:val="20"/>
          <w:szCs w:val="20"/>
          <w:lang w:val="pt-BR"/>
        </w:rPr>
        <w:t xml:space="preserve">anterior, 365, </w:t>
      </w:r>
      <w:r w:rsidR="008E42A7" w:rsidRPr="008E42A7">
        <w:rPr>
          <w:rFonts w:ascii="Verdana" w:hAnsi="Verdana"/>
          <w:sz w:val="20"/>
          <w:szCs w:val="20"/>
          <w:lang w:val="pt-BR"/>
        </w:rPr>
        <w:t xml:space="preserve">no </w:t>
      </w:r>
      <w:r w:rsidR="0074017B" w:rsidRPr="008E42A7">
        <w:rPr>
          <w:rFonts w:ascii="Verdana" w:hAnsi="Verdana"/>
          <w:sz w:val="20"/>
          <w:szCs w:val="20"/>
          <w:lang w:val="pt-BR"/>
        </w:rPr>
        <w:t>sentido de que</w:t>
      </w:r>
      <w:r w:rsidR="008E42A7" w:rsidRPr="008E42A7">
        <w:rPr>
          <w:rFonts w:ascii="Verdana" w:hAnsi="Verdana"/>
          <w:sz w:val="20"/>
          <w:szCs w:val="20"/>
          <w:lang w:val="pt-BR"/>
        </w:rPr>
        <w:t>,</w:t>
      </w:r>
      <w:r w:rsidR="0074017B" w:rsidRPr="008E42A7">
        <w:rPr>
          <w:rFonts w:ascii="Verdana" w:hAnsi="Verdana"/>
          <w:sz w:val="20"/>
          <w:szCs w:val="20"/>
          <w:lang w:val="pt-BR"/>
        </w:rPr>
        <w:t xml:space="preserve"> caso </w:t>
      </w:r>
      <w:r w:rsidR="008E42A7">
        <w:rPr>
          <w:rFonts w:ascii="Verdana" w:hAnsi="Verdana"/>
          <w:sz w:val="20"/>
          <w:szCs w:val="20"/>
          <w:lang w:val="pt-BR"/>
        </w:rPr>
        <w:t xml:space="preserve">o </w:t>
      </w:r>
      <w:r w:rsidR="0074017B" w:rsidRPr="008E42A7">
        <w:rPr>
          <w:rFonts w:ascii="Verdana" w:hAnsi="Verdana"/>
          <w:sz w:val="20"/>
          <w:szCs w:val="20"/>
          <w:lang w:val="pt-BR"/>
        </w:rPr>
        <w:t>pag</w:t>
      </w:r>
      <w:r w:rsidR="008E42A7">
        <w:rPr>
          <w:rFonts w:ascii="Verdana" w:hAnsi="Verdana"/>
          <w:sz w:val="20"/>
          <w:szCs w:val="20"/>
          <w:lang w:val="pt-BR"/>
        </w:rPr>
        <w:t>ament</w:t>
      </w:r>
      <w:r w:rsidR="0074017B" w:rsidRPr="008E42A7">
        <w:rPr>
          <w:rFonts w:ascii="Verdana" w:hAnsi="Verdana"/>
          <w:sz w:val="20"/>
          <w:szCs w:val="20"/>
          <w:lang w:val="pt-BR"/>
        </w:rPr>
        <w:t xml:space="preserve">o </w:t>
      </w:r>
      <w:r w:rsidR="00C06A9B" w:rsidRPr="008E42A7">
        <w:rPr>
          <w:rFonts w:ascii="Verdana" w:hAnsi="Verdana"/>
          <w:sz w:val="20"/>
          <w:szCs w:val="20"/>
          <w:lang w:val="pt-BR"/>
        </w:rPr>
        <w:t xml:space="preserve">dos </w:t>
      </w:r>
      <w:r w:rsidR="0074017B" w:rsidRPr="008E42A7">
        <w:rPr>
          <w:rFonts w:ascii="Verdana" w:hAnsi="Verdana"/>
          <w:sz w:val="20"/>
          <w:szCs w:val="20"/>
          <w:lang w:val="pt-BR"/>
        </w:rPr>
        <w:t>valores indicados e</w:t>
      </w:r>
      <w:r w:rsidR="008E42A7">
        <w:rPr>
          <w:rFonts w:ascii="Verdana" w:hAnsi="Verdana"/>
          <w:sz w:val="20"/>
          <w:szCs w:val="20"/>
          <w:lang w:val="pt-BR"/>
        </w:rPr>
        <w:t>m</w:t>
      </w:r>
      <w:r w:rsidR="0074017B" w:rsidRPr="008E42A7">
        <w:rPr>
          <w:rFonts w:ascii="Verdana" w:hAnsi="Verdana"/>
          <w:sz w:val="20"/>
          <w:szCs w:val="20"/>
          <w:lang w:val="pt-BR"/>
        </w:rPr>
        <w:t xml:space="preserve"> dólares </w:t>
      </w:r>
      <w:r w:rsidR="00C06A9B" w:rsidRPr="008E42A7">
        <w:rPr>
          <w:rFonts w:ascii="Verdana" w:hAnsi="Verdana"/>
          <w:sz w:val="20"/>
          <w:szCs w:val="20"/>
          <w:lang w:val="pt-BR"/>
        </w:rPr>
        <w:t xml:space="preserve">dos </w:t>
      </w:r>
      <w:r w:rsidR="0074017B" w:rsidRPr="008E42A7">
        <w:rPr>
          <w:rFonts w:ascii="Verdana" w:hAnsi="Verdana"/>
          <w:sz w:val="20"/>
          <w:szCs w:val="20"/>
          <w:lang w:val="pt-BR"/>
        </w:rPr>
        <w:t>Estados Unidos d</w:t>
      </w:r>
      <w:r w:rsidR="008E42A7">
        <w:rPr>
          <w:rFonts w:ascii="Verdana" w:hAnsi="Verdana"/>
          <w:sz w:val="20"/>
          <w:szCs w:val="20"/>
          <w:lang w:val="pt-BR"/>
        </w:rPr>
        <w:t>a</w:t>
      </w:r>
      <w:r w:rsidR="0074017B" w:rsidRPr="008E42A7">
        <w:rPr>
          <w:rFonts w:ascii="Verdana" w:hAnsi="Verdana"/>
          <w:sz w:val="20"/>
          <w:szCs w:val="20"/>
          <w:lang w:val="pt-BR"/>
        </w:rPr>
        <w:t xml:space="preserve"> América n</w:t>
      </w:r>
      <w:r w:rsidR="008E42A7">
        <w:rPr>
          <w:rFonts w:ascii="Verdana" w:hAnsi="Verdana"/>
          <w:sz w:val="20"/>
          <w:szCs w:val="20"/>
          <w:lang w:val="pt-BR"/>
        </w:rPr>
        <w:t>ã</w:t>
      </w:r>
      <w:r w:rsidR="0074017B" w:rsidRPr="008E42A7">
        <w:rPr>
          <w:rFonts w:ascii="Verdana" w:hAnsi="Verdana"/>
          <w:sz w:val="20"/>
          <w:szCs w:val="20"/>
          <w:lang w:val="pt-BR"/>
        </w:rPr>
        <w:t>o p</w:t>
      </w:r>
      <w:r w:rsidR="008E42A7">
        <w:rPr>
          <w:rFonts w:ascii="Verdana" w:hAnsi="Verdana"/>
          <w:sz w:val="20"/>
          <w:szCs w:val="20"/>
          <w:lang w:val="pt-BR"/>
        </w:rPr>
        <w:t xml:space="preserve">ossa </w:t>
      </w:r>
      <w:r w:rsidR="0074017B" w:rsidRPr="008E42A7">
        <w:rPr>
          <w:rFonts w:ascii="Verdana" w:hAnsi="Verdana"/>
          <w:sz w:val="20"/>
          <w:szCs w:val="20"/>
          <w:lang w:val="pt-BR"/>
        </w:rPr>
        <w:t>ser realizado ne</w:t>
      </w:r>
      <w:r w:rsidR="008E42A7">
        <w:rPr>
          <w:rFonts w:ascii="Verdana" w:hAnsi="Verdana"/>
          <w:sz w:val="20"/>
          <w:szCs w:val="20"/>
          <w:lang w:val="pt-BR"/>
        </w:rPr>
        <w:t>s</w:t>
      </w:r>
      <w:r w:rsidR="0074017B" w:rsidRPr="008E42A7">
        <w:rPr>
          <w:rFonts w:ascii="Verdana" w:hAnsi="Verdana"/>
          <w:sz w:val="20"/>
          <w:szCs w:val="20"/>
          <w:lang w:val="pt-BR"/>
        </w:rPr>
        <w:t>sa moeda, de</w:t>
      </w:r>
      <w:r w:rsidR="008E42A7">
        <w:rPr>
          <w:rFonts w:ascii="Verdana" w:hAnsi="Verdana"/>
          <w:sz w:val="20"/>
          <w:szCs w:val="20"/>
          <w:lang w:val="pt-BR"/>
        </w:rPr>
        <w:t>v</w:t>
      </w:r>
      <w:r w:rsidR="0074017B" w:rsidRPr="008E42A7">
        <w:rPr>
          <w:rFonts w:ascii="Verdana" w:hAnsi="Verdana"/>
          <w:sz w:val="20"/>
          <w:szCs w:val="20"/>
          <w:lang w:val="pt-BR"/>
        </w:rPr>
        <w:t>erá ser realizado e</w:t>
      </w:r>
      <w:r w:rsidR="008E42A7">
        <w:rPr>
          <w:rFonts w:ascii="Verdana" w:hAnsi="Verdana"/>
          <w:sz w:val="20"/>
          <w:szCs w:val="20"/>
          <w:lang w:val="pt-BR"/>
        </w:rPr>
        <w:t>m</w:t>
      </w:r>
      <w:r w:rsidR="0074017B" w:rsidRPr="008E42A7">
        <w:rPr>
          <w:rFonts w:ascii="Verdana" w:hAnsi="Verdana"/>
          <w:sz w:val="20"/>
          <w:szCs w:val="20"/>
          <w:lang w:val="pt-BR"/>
        </w:rPr>
        <w:t xml:space="preserve"> moeda </w:t>
      </w:r>
      <w:r w:rsidR="008E42A7">
        <w:rPr>
          <w:rFonts w:ascii="Verdana" w:hAnsi="Verdana"/>
          <w:sz w:val="20"/>
          <w:szCs w:val="20"/>
          <w:lang w:val="pt-BR"/>
        </w:rPr>
        <w:t>brasileira</w:t>
      </w:r>
      <w:r w:rsidR="0074017B" w:rsidRPr="008E42A7">
        <w:rPr>
          <w:rFonts w:ascii="Verdana" w:hAnsi="Verdana"/>
          <w:sz w:val="20"/>
          <w:szCs w:val="20"/>
          <w:lang w:val="pt-BR"/>
        </w:rPr>
        <w:t>, utilizando</w:t>
      </w:r>
      <w:r w:rsidR="008E42A7">
        <w:rPr>
          <w:rFonts w:ascii="Verdana" w:hAnsi="Verdana"/>
          <w:sz w:val="20"/>
          <w:szCs w:val="20"/>
          <w:lang w:val="pt-BR"/>
        </w:rPr>
        <w:t xml:space="preserve">-se para sua conversão a taxa de câmbio </w:t>
      </w:r>
      <w:r w:rsidR="0074017B" w:rsidRPr="008E42A7">
        <w:rPr>
          <w:rFonts w:ascii="Verdana" w:hAnsi="Verdana"/>
          <w:sz w:val="20"/>
          <w:szCs w:val="20"/>
          <w:lang w:val="pt-BR"/>
        </w:rPr>
        <w:t xml:space="preserve">vigente </w:t>
      </w:r>
      <w:r w:rsidR="000814BE" w:rsidRPr="008E42A7">
        <w:rPr>
          <w:rFonts w:ascii="Verdana" w:hAnsi="Verdana"/>
          <w:sz w:val="20"/>
          <w:szCs w:val="20"/>
          <w:lang w:val="pt-BR"/>
        </w:rPr>
        <w:t xml:space="preserve">na </w:t>
      </w:r>
      <w:r w:rsidR="0074017B" w:rsidRPr="008E42A7">
        <w:rPr>
          <w:rFonts w:ascii="Verdana" w:hAnsi="Verdana"/>
          <w:sz w:val="20"/>
          <w:szCs w:val="20"/>
          <w:lang w:val="pt-BR"/>
        </w:rPr>
        <w:t>bolsa de N</w:t>
      </w:r>
      <w:r w:rsidR="008E42A7">
        <w:rPr>
          <w:rFonts w:ascii="Verdana" w:hAnsi="Verdana"/>
          <w:sz w:val="20"/>
          <w:szCs w:val="20"/>
          <w:lang w:val="pt-BR"/>
        </w:rPr>
        <w:t>o</w:t>
      </w:r>
      <w:r w:rsidR="0074017B" w:rsidRPr="008E42A7">
        <w:rPr>
          <w:rFonts w:ascii="Verdana" w:hAnsi="Verdana"/>
          <w:sz w:val="20"/>
          <w:szCs w:val="20"/>
          <w:lang w:val="pt-BR"/>
        </w:rPr>
        <w:t>va York, Estados Unidos d</w:t>
      </w:r>
      <w:r w:rsidR="008E42A7">
        <w:rPr>
          <w:rFonts w:ascii="Verdana" w:hAnsi="Verdana"/>
          <w:sz w:val="20"/>
          <w:szCs w:val="20"/>
          <w:lang w:val="pt-BR"/>
        </w:rPr>
        <w:t>a</w:t>
      </w:r>
      <w:r w:rsidR="0074017B" w:rsidRPr="008E42A7">
        <w:rPr>
          <w:rFonts w:ascii="Verdana" w:hAnsi="Verdana"/>
          <w:sz w:val="20"/>
          <w:szCs w:val="20"/>
          <w:lang w:val="pt-BR"/>
        </w:rPr>
        <w:t xml:space="preserve"> América, </w:t>
      </w:r>
      <w:r w:rsidR="008E42A7">
        <w:rPr>
          <w:rFonts w:ascii="Verdana" w:hAnsi="Verdana"/>
          <w:sz w:val="20"/>
          <w:szCs w:val="20"/>
          <w:lang w:val="pt-BR"/>
        </w:rPr>
        <w:t xml:space="preserve">no dia </w:t>
      </w:r>
      <w:r w:rsidR="0074017B" w:rsidRPr="008E42A7">
        <w:rPr>
          <w:rFonts w:ascii="Verdana" w:hAnsi="Verdana"/>
          <w:sz w:val="20"/>
          <w:szCs w:val="20"/>
          <w:lang w:val="pt-BR"/>
        </w:rPr>
        <w:t xml:space="preserve">anterior </w:t>
      </w:r>
      <w:r w:rsidR="008E42A7">
        <w:rPr>
          <w:rFonts w:ascii="Verdana" w:hAnsi="Verdana"/>
          <w:sz w:val="20"/>
          <w:szCs w:val="20"/>
          <w:lang w:val="pt-BR"/>
        </w:rPr>
        <w:t>ao do pagamento.</w:t>
      </w:r>
      <w:r w:rsidRPr="00C40BD9">
        <w:rPr>
          <w:rStyle w:val="FootnoteReference"/>
          <w:sz w:val="20"/>
          <w:szCs w:val="20"/>
          <w:lang w:val="pt-BR"/>
        </w:rPr>
        <w:footnoteReference w:id="13"/>
      </w:r>
      <w:r w:rsidR="0074017B" w:rsidRPr="008E42A7">
        <w:rPr>
          <w:rFonts w:ascii="Verdana" w:hAnsi="Verdana"/>
          <w:sz w:val="20"/>
          <w:szCs w:val="20"/>
          <w:lang w:val="pt-BR"/>
        </w:rPr>
        <w:t xml:space="preserve"> </w:t>
      </w:r>
    </w:p>
    <w:p w:rsidR="0074017B" w:rsidRPr="008E42A7" w:rsidRDefault="0074017B" w:rsidP="00A82FB4">
      <w:pPr>
        <w:pStyle w:val="ListParagraph"/>
        <w:spacing w:after="0" w:line="240" w:lineRule="auto"/>
        <w:ind w:left="0"/>
        <w:contextualSpacing w:val="0"/>
        <w:jc w:val="both"/>
        <w:rPr>
          <w:rFonts w:ascii="Verdana" w:hAnsi="Verdana"/>
          <w:sz w:val="20"/>
          <w:szCs w:val="20"/>
          <w:lang w:val="pt-BR"/>
        </w:rPr>
      </w:pPr>
    </w:p>
    <w:p w:rsidR="0074017B" w:rsidRPr="00C40BD9" w:rsidRDefault="00456D6E" w:rsidP="00E048DB">
      <w:pPr>
        <w:pStyle w:val="ListParagraph"/>
        <w:widowControl w:val="0"/>
        <w:spacing w:after="0" w:line="240" w:lineRule="auto"/>
        <w:ind w:left="0"/>
        <w:contextualSpacing w:val="0"/>
        <w:jc w:val="both"/>
        <w:rPr>
          <w:rFonts w:ascii="Verdana" w:hAnsi="Verdana"/>
          <w:i/>
          <w:sz w:val="20"/>
          <w:szCs w:val="20"/>
          <w:lang w:val="pt-BR"/>
        </w:rPr>
      </w:pPr>
      <w:r w:rsidRPr="00C40BD9">
        <w:rPr>
          <w:rFonts w:ascii="Verdana" w:hAnsi="Verdana"/>
          <w:i/>
          <w:sz w:val="20"/>
          <w:szCs w:val="20"/>
          <w:lang w:val="pt-BR"/>
        </w:rPr>
        <w:t>D</w:t>
      </w:r>
      <w:r w:rsidR="0074017B" w:rsidRPr="00C40BD9">
        <w:rPr>
          <w:rFonts w:ascii="Verdana" w:hAnsi="Verdana"/>
          <w:i/>
          <w:sz w:val="20"/>
          <w:szCs w:val="20"/>
          <w:lang w:val="pt-BR"/>
        </w:rPr>
        <w:t xml:space="preserve">.3. </w:t>
      </w:r>
      <w:r w:rsidR="008E42A7">
        <w:rPr>
          <w:rFonts w:ascii="Verdana" w:hAnsi="Verdana"/>
          <w:i/>
          <w:sz w:val="20"/>
          <w:szCs w:val="20"/>
          <w:lang w:val="pt-BR"/>
        </w:rPr>
        <w:t>Juros</w:t>
      </w:r>
    </w:p>
    <w:p w:rsidR="0074017B" w:rsidRPr="00C40BD9" w:rsidRDefault="00FC2D19" w:rsidP="00A82FB4">
      <w:pPr>
        <w:pStyle w:val="ListParagraph"/>
        <w:spacing w:after="0" w:line="240" w:lineRule="auto"/>
        <w:ind w:left="0"/>
        <w:contextualSpacing w:val="0"/>
        <w:jc w:val="both"/>
        <w:rPr>
          <w:rFonts w:ascii="Verdana" w:hAnsi="Verdana"/>
          <w:sz w:val="20"/>
          <w:szCs w:val="20"/>
          <w:lang w:val="pt-BR"/>
        </w:rPr>
      </w:pPr>
      <w:r w:rsidRPr="00C40BD9">
        <w:rPr>
          <w:rFonts w:ascii="Verdana" w:hAnsi="Verdana"/>
          <w:sz w:val="20"/>
          <w:szCs w:val="20"/>
          <w:lang w:val="pt-BR"/>
        </w:rPr>
        <w:tab/>
      </w:r>
    </w:p>
    <w:p w:rsidR="00FC2D19" w:rsidRPr="00C40BD9" w:rsidRDefault="00FC2D19" w:rsidP="00A82FB4">
      <w:pPr>
        <w:pStyle w:val="ListParagraph"/>
        <w:spacing w:after="0" w:line="240" w:lineRule="auto"/>
        <w:ind w:left="0"/>
        <w:contextualSpacing w:val="0"/>
        <w:jc w:val="both"/>
        <w:rPr>
          <w:rFonts w:ascii="Verdana" w:hAnsi="Verdana"/>
          <w:i/>
          <w:sz w:val="20"/>
          <w:szCs w:val="20"/>
          <w:lang w:val="pt-BR"/>
        </w:rPr>
      </w:pPr>
      <w:r w:rsidRPr="00C40BD9">
        <w:rPr>
          <w:rFonts w:ascii="Verdana" w:hAnsi="Verdana"/>
          <w:sz w:val="20"/>
          <w:szCs w:val="20"/>
          <w:lang w:val="pt-BR"/>
        </w:rPr>
        <w:tab/>
      </w:r>
      <w:r w:rsidRPr="00C40BD9">
        <w:rPr>
          <w:rFonts w:ascii="Verdana" w:hAnsi="Verdana"/>
          <w:i/>
          <w:sz w:val="20"/>
          <w:szCs w:val="20"/>
          <w:lang w:val="pt-BR"/>
        </w:rPr>
        <w:t>D.3.1</w:t>
      </w:r>
      <w:r w:rsidRPr="00C40BD9">
        <w:rPr>
          <w:rFonts w:ascii="Verdana" w:hAnsi="Verdana"/>
          <w:sz w:val="20"/>
          <w:szCs w:val="20"/>
          <w:lang w:val="pt-BR"/>
        </w:rPr>
        <w:t xml:space="preserve">. </w:t>
      </w:r>
      <w:r w:rsidR="00FC4115" w:rsidRPr="00C40BD9">
        <w:rPr>
          <w:rFonts w:ascii="Verdana" w:hAnsi="Verdana"/>
          <w:i/>
          <w:sz w:val="20"/>
          <w:szCs w:val="20"/>
          <w:lang w:val="pt-BR"/>
        </w:rPr>
        <w:t xml:space="preserve">Argumentos </w:t>
      </w:r>
      <w:r w:rsidR="00C06A9B" w:rsidRPr="00C40BD9">
        <w:rPr>
          <w:rFonts w:ascii="Verdana" w:hAnsi="Verdana"/>
          <w:i/>
          <w:sz w:val="20"/>
          <w:szCs w:val="20"/>
          <w:lang w:val="pt-BR"/>
        </w:rPr>
        <w:t xml:space="preserve">das </w:t>
      </w:r>
      <w:r w:rsidR="00FC4115" w:rsidRPr="00C40BD9">
        <w:rPr>
          <w:rFonts w:ascii="Verdana" w:hAnsi="Verdana"/>
          <w:i/>
          <w:sz w:val="20"/>
          <w:szCs w:val="20"/>
          <w:lang w:val="pt-BR"/>
        </w:rPr>
        <w:t xml:space="preserve">partes </w:t>
      </w:r>
      <w:r w:rsidR="00F633DD" w:rsidRPr="00C40BD9">
        <w:rPr>
          <w:rFonts w:ascii="Verdana" w:hAnsi="Verdana"/>
          <w:i/>
          <w:sz w:val="20"/>
          <w:szCs w:val="20"/>
          <w:lang w:val="pt-BR"/>
        </w:rPr>
        <w:t>e</w:t>
      </w:r>
      <w:r w:rsidR="00DE316A">
        <w:rPr>
          <w:rFonts w:ascii="Verdana" w:hAnsi="Verdana"/>
          <w:i/>
          <w:sz w:val="20"/>
          <w:szCs w:val="20"/>
          <w:lang w:val="pt-BR"/>
        </w:rPr>
        <w:t xml:space="preserve"> </w:t>
      </w:r>
      <w:r w:rsidR="00F633DD" w:rsidRPr="00C40BD9">
        <w:rPr>
          <w:rFonts w:ascii="Verdana" w:hAnsi="Verdana"/>
          <w:i/>
          <w:sz w:val="20"/>
          <w:szCs w:val="20"/>
          <w:lang w:val="pt-BR"/>
        </w:rPr>
        <w:t xml:space="preserve">da </w:t>
      </w:r>
      <w:r w:rsidR="00C06A9B" w:rsidRPr="00C40BD9">
        <w:rPr>
          <w:rFonts w:ascii="Verdana" w:hAnsi="Verdana"/>
          <w:i/>
          <w:sz w:val="20"/>
          <w:szCs w:val="20"/>
          <w:lang w:val="pt-BR"/>
        </w:rPr>
        <w:t xml:space="preserve">Comissão </w:t>
      </w:r>
    </w:p>
    <w:p w:rsidR="00FC4115" w:rsidRPr="00C40BD9" w:rsidRDefault="00FC4115" w:rsidP="00A82FB4">
      <w:pPr>
        <w:pStyle w:val="ListParagraph"/>
        <w:spacing w:after="0" w:line="240" w:lineRule="auto"/>
        <w:ind w:left="0"/>
        <w:contextualSpacing w:val="0"/>
        <w:jc w:val="both"/>
        <w:rPr>
          <w:rFonts w:ascii="Verdana" w:hAnsi="Verdana"/>
          <w:sz w:val="20"/>
          <w:szCs w:val="20"/>
          <w:lang w:val="pt-BR"/>
        </w:rPr>
      </w:pPr>
    </w:p>
    <w:p w:rsidR="00446CF9" w:rsidRPr="00C40BD9" w:rsidRDefault="008E42A7" w:rsidP="00A82FB4">
      <w:pPr>
        <w:pStyle w:val="ListParagraph"/>
        <w:numPr>
          <w:ilvl w:val="0"/>
          <w:numId w:val="2"/>
        </w:numPr>
        <w:tabs>
          <w:tab w:val="clear" w:pos="1247"/>
        </w:tabs>
        <w:spacing w:after="0" w:line="240" w:lineRule="auto"/>
        <w:contextualSpacing w:val="0"/>
        <w:jc w:val="both"/>
        <w:rPr>
          <w:rFonts w:ascii="Verdana" w:hAnsi="Verdana"/>
          <w:sz w:val="20"/>
          <w:szCs w:val="20"/>
          <w:lang w:val="pt-BR"/>
        </w:rPr>
      </w:pPr>
      <w:r>
        <w:rPr>
          <w:rFonts w:ascii="Verdana" w:hAnsi="Verdana"/>
          <w:sz w:val="20"/>
          <w:szCs w:val="20"/>
          <w:lang w:val="pt-BR"/>
        </w:rPr>
        <w:t xml:space="preserve">No </w:t>
      </w:r>
      <w:r w:rsidR="00C06A9B" w:rsidRPr="00C40BD9">
        <w:rPr>
          <w:rFonts w:ascii="Verdana" w:hAnsi="Verdana"/>
          <w:sz w:val="20"/>
          <w:szCs w:val="20"/>
          <w:lang w:val="pt-BR"/>
        </w:rPr>
        <w:t>parágrafo</w:t>
      </w:r>
      <w:r w:rsidR="00DE316A">
        <w:rPr>
          <w:rFonts w:ascii="Verdana" w:hAnsi="Verdana"/>
          <w:sz w:val="20"/>
          <w:szCs w:val="20"/>
          <w:lang w:val="pt-BR"/>
        </w:rPr>
        <w:t xml:space="preserve"> </w:t>
      </w:r>
      <w:r w:rsidR="0074017B" w:rsidRPr="00C40BD9">
        <w:rPr>
          <w:rFonts w:ascii="Verdana" w:hAnsi="Verdana"/>
          <w:sz w:val="20"/>
          <w:szCs w:val="20"/>
          <w:lang w:val="pt-BR"/>
        </w:rPr>
        <w:t xml:space="preserve">368, a </w:t>
      </w:r>
      <w:r w:rsidR="00F633DD" w:rsidRPr="00C40BD9">
        <w:rPr>
          <w:rFonts w:ascii="Verdana" w:hAnsi="Verdana"/>
          <w:sz w:val="20"/>
          <w:szCs w:val="20"/>
          <w:lang w:val="pt-BR"/>
        </w:rPr>
        <w:t>Sentença</w:t>
      </w:r>
      <w:r w:rsidR="00DE316A">
        <w:rPr>
          <w:rFonts w:ascii="Verdana" w:hAnsi="Verdana"/>
          <w:sz w:val="20"/>
          <w:szCs w:val="20"/>
          <w:lang w:val="pt-BR"/>
        </w:rPr>
        <w:t xml:space="preserve"> </w:t>
      </w:r>
      <w:r w:rsidR="0074017B" w:rsidRPr="00C40BD9">
        <w:rPr>
          <w:rFonts w:ascii="Verdana" w:hAnsi="Verdana"/>
          <w:sz w:val="20"/>
          <w:szCs w:val="20"/>
          <w:lang w:val="pt-BR"/>
        </w:rPr>
        <w:t>estab</w:t>
      </w:r>
      <w:r>
        <w:rPr>
          <w:rFonts w:ascii="Verdana" w:hAnsi="Verdana"/>
          <w:sz w:val="20"/>
          <w:szCs w:val="20"/>
          <w:lang w:val="pt-BR"/>
        </w:rPr>
        <w:t>e</w:t>
      </w:r>
      <w:r w:rsidR="0074017B" w:rsidRPr="00C40BD9">
        <w:rPr>
          <w:rFonts w:ascii="Verdana" w:hAnsi="Verdana"/>
          <w:sz w:val="20"/>
          <w:szCs w:val="20"/>
          <w:lang w:val="pt-BR"/>
        </w:rPr>
        <w:t>lec</w:t>
      </w:r>
      <w:r>
        <w:rPr>
          <w:rFonts w:ascii="Verdana" w:hAnsi="Verdana"/>
          <w:sz w:val="20"/>
          <w:szCs w:val="20"/>
          <w:lang w:val="pt-BR"/>
        </w:rPr>
        <w:t xml:space="preserve">eu </w:t>
      </w:r>
      <w:r w:rsidR="0074017B" w:rsidRPr="00C40BD9">
        <w:rPr>
          <w:rFonts w:ascii="Verdana" w:hAnsi="Verdana"/>
          <w:sz w:val="20"/>
          <w:szCs w:val="20"/>
          <w:lang w:val="pt-BR"/>
        </w:rPr>
        <w:t>que</w:t>
      </w:r>
      <w:r>
        <w:rPr>
          <w:rFonts w:ascii="Verdana" w:hAnsi="Verdana"/>
          <w:sz w:val="20"/>
          <w:szCs w:val="20"/>
          <w:lang w:val="pt-BR"/>
        </w:rPr>
        <w:t xml:space="preserve">, caso o </w:t>
      </w:r>
      <w:r w:rsidR="0074017B" w:rsidRPr="00C40BD9">
        <w:rPr>
          <w:rFonts w:ascii="Verdana" w:hAnsi="Verdana"/>
          <w:sz w:val="20"/>
          <w:szCs w:val="20"/>
          <w:lang w:val="pt-BR"/>
        </w:rPr>
        <w:t>Estado inc</w:t>
      </w:r>
      <w:r>
        <w:rPr>
          <w:rFonts w:ascii="Verdana" w:hAnsi="Verdana"/>
          <w:sz w:val="20"/>
          <w:szCs w:val="20"/>
          <w:lang w:val="pt-BR"/>
        </w:rPr>
        <w:t>orr</w:t>
      </w:r>
      <w:r w:rsidR="00A961C9">
        <w:rPr>
          <w:rFonts w:ascii="Verdana" w:hAnsi="Verdana"/>
          <w:sz w:val="20"/>
          <w:szCs w:val="20"/>
          <w:lang w:val="pt-BR"/>
        </w:rPr>
        <w:t>a</w:t>
      </w:r>
      <w:r>
        <w:rPr>
          <w:rFonts w:ascii="Verdana" w:hAnsi="Verdana"/>
          <w:sz w:val="20"/>
          <w:szCs w:val="20"/>
          <w:lang w:val="pt-BR"/>
        </w:rPr>
        <w:t xml:space="preserve"> em </w:t>
      </w:r>
      <w:r w:rsidR="0074017B" w:rsidRPr="00C40BD9">
        <w:rPr>
          <w:rFonts w:ascii="Verdana" w:hAnsi="Verdana"/>
          <w:sz w:val="20"/>
          <w:szCs w:val="20"/>
          <w:lang w:val="pt-BR"/>
        </w:rPr>
        <w:t>mora, de</w:t>
      </w:r>
      <w:r w:rsidR="00BE4317">
        <w:rPr>
          <w:rFonts w:ascii="Verdana" w:hAnsi="Verdana"/>
          <w:sz w:val="20"/>
          <w:szCs w:val="20"/>
          <w:lang w:val="pt-BR"/>
        </w:rPr>
        <w:t>ver</w:t>
      </w:r>
      <w:r w:rsidR="00A961C9">
        <w:rPr>
          <w:rFonts w:ascii="Verdana" w:hAnsi="Verdana"/>
          <w:sz w:val="20"/>
          <w:szCs w:val="20"/>
          <w:lang w:val="pt-BR"/>
        </w:rPr>
        <w:t>á</w:t>
      </w:r>
      <w:r w:rsidR="00BE4317">
        <w:rPr>
          <w:rFonts w:ascii="Verdana" w:hAnsi="Verdana"/>
          <w:sz w:val="20"/>
          <w:szCs w:val="20"/>
          <w:lang w:val="pt-BR"/>
        </w:rPr>
        <w:t xml:space="preserve"> </w:t>
      </w:r>
      <w:r w:rsidR="0074017B" w:rsidRPr="00C40BD9">
        <w:rPr>
          <w:rFonts w:ascii="Verdana" w:hAnsi="Verdana"/>
          <w:sz w:val="20"/>
          <w:szCs w:val="20"/>
          <w:lang w:val="pt-BR"/>
        </w:rPr>
        <w:t xml:space="preserve">pagar </w:t>
      </w:r>
      <w:r w:rsidR="00BE4317">
        <w:rPr>
          <w:rFonts w:ascii="Verdana" w:hAnsi="Verdana"/>
          <w:sz w:val="20"/>
          <w:szCs w:val="20"/>
          <w:lang w:val="pt-BR"/>
        </w:rPr>
        <w:t xml:space="preserve">juros sobre a quantia devida, </w:t>
      </w:r>
      <w:r w:rsidR="0074017B" w:rsidRPr="00C40BD9">
        <w:rPr>
          <w:rFonts w:ascii="Verdana" w:hAnsi="Verdana"/>
          <w:sz w:val="20"/>
          <w:szCs w:val="20"/>
          <w:lang w:val="pt-BR"/>
        </w:rPr>
        <w:t>correspondente</w:t>
      </w:r>
      <w:r w:rsidR="008D3001">
        <w:rPr>
          <w:rFonts w:ascii="Verdana" w:hAnsi="Verdana"/>
          <w:sz w:val="20"/>
          <w:szCs w:val="20"/>
          <w:lang w:val="pt-BR"/>
        </w:rPr>
        <w:t>s</w:t>
      </w:r>
      <w:r w:rsidR="0074017B" w:rsidRPr="00C40BD9">
        <w:rPr>
          <w:rFonts w:ascii="Verdana" w:hAnsi="Verdana"/>
          <w:sz w:val="20"/>
          <w:szCs w:val="20"/>
          <w:lang w:val="pt-BR"/>
        </w:rPr>
        <w:t xml:space="preserve"> </w:t>
      </w:r>
      <w:r w:rsidR="00BE4317">
        <w:rPr>
          <w:rFonts w:ascii="Verdana" w:hAnsi="Verdana"/>
          <w:sz w:val="20"/>
          <w:szCs w:val="20"/>
          <w:lang w:val="pt-BR"/>
        </w:rPr>
        <w:t xml:space="preserve">aos juros de mora bancários vigentes na </w:t>
      </w:r>
      <w:r w:rsidR="0074017B" w:rsidRPr="00C40BD9">
        <w:rPr>
          <w:rFonts w:ascii="Verdana" w:hAnsi="Verdana"/>
          <w:sz w:val="20"/>
          <w:szCs w:val="20"/>
          <w:lang w:val="pt-BR"/>
        </w:rPr>
        <w:t>República Federativa d</w:t>
      </w:r>
      <w:r w:rsidR="00BE4317">
        <w:rPr>
          <w:rFonts w:ascii="Verdana" w:hAnsi="Verdana"/>
          <w:sz w:val="20"/>
          <w:szCs w:val="20"/>
          <w:lang w:val="pt-BR"/>
        </w:rPr>
        <w:t>o</w:t>
      </w:r>
      <w:r w:rsidR="0074017B" w:rsidRPr="00C40BD9">
        <w:rPr>
          <w:rFonts w:ascii="Verdana" w:hAnsi="Verdana"/>
          <w:sz w:val="20"/>
          <w:szCs w:val="20"/>
          <w:lang w:val="pt-BR"/>
        </w:rPr>
        <w:t xml:space="preserve"> Brasil</w:t>
      </w:r>
      <w:r w:rsidR="00BE4317">
        <w:rPr>
          <w:rFonts w:ascii="Verdana" w:hAnsi="Verdana"/>
          <w:sz w:val="20"/>
          <w:szCs w:val="20"/>
          <w:lang w:val="pt-BR"/>
        </w:rPr>
        <w:t>.</w:t>
      </w:r>
    </w:p>
    <w:p w:rsidR="00446CF9" w:rsidRPr="00C40BD9" w:rsidRDefault="00446CF9" w:rsidP="00A82FB4">
      <w:pPr>
        <w:pStyle w:val="ListParagraph"/>
        <w:spacing w:after="0" w:line="240" w:lineRule="auto"/>
        <w:ind w:left="0"/>
        <w:contextualSpacing w:val="0"/>
        <w:jc w:val="both"/>
        <w:rPr>
          <w:rFonts w:ascii="Verdana" w:hAnsi="Verdana"/>
          <w:sz w:val="20"/>
          <w:szCs w:val="20"/>
          <w:lang w:val="pt-BR"/>
        </w:rPr>
      </w:pPr>
    </w:p>
    <w:p w:rsidR="0074017B" w:rsidRPr="00C40BD9" w:rsidRDefault="00BE4317" w:rsidP="00A82FB4">
      <w:pPr>
        <w:pStyle w:val="ListParagraph"/>
        <w:numPr>
          <w:ilvl w:val="0"/>
          <w:numId w:val="2"/>
        </w:numPr>
        <w:tabs>
          <w:tab w:val="clear" w:pos="1247"/>
        </w:tabs>
        <w:spacing w:after="0" w:line="240" w:lineRule="auto"/>
        <w:contextualSpacing w:val="0"/>
        <w:jc w:val="both"/>
        <w:rPr>
          <w:rFonts w:ascii="Verdana" w:hAnsi="Verdana"/>
          <w:sz w:val="20"/>
          <w:szCs w:val="20"/>
          <w:lang w:val="pt-BR"/>
        </w:rPr>
      </w:pPr>
      <w:r>
        <w:rPr>
          <w:rFonts w:ascii="Verdana" w:hAnsi="Verdana"/>
          <w:sz w:val="20"/>
          <w:szCs w:val="20"/>
          <w:lang w:val="pt-BR"/>
        </w:rPr>
        <w:t xml:space="preserve">O </w:t>
      </w:r>
      <w:r w:rsidR="0074017B" w:rsidRPr="00C40BD9">
        <w:rPr>
          <w:rFonts w:ascii="Verdana" w:hAnsi="Verdana"/>
          <w:b/>
          <w:i/>
          <w:sz w:val="20"/>
          <w:szCs w:val="20"/>
          <w:lang w:val="pt-BR"/>
        </w:rPr>
        <w:t>Estado</w:t>
      </w:r>
      <w:r w:rsidR="0074017B" w:rsidRPr="00C40BD9">
        <w:rPr>
          <w:rFonts w:ascii="Verdana" w:hAnsi="Verdana"/>
          <w:sz w:val="20"/>
          <w:szCs w:val="20"/>
          <w:lang w:val="pt-BR"/>
        </w:rPr>
        <w:t xml:space="preserve"> solicit</w:t>
      </w:r>
      <w:r>
        <w:rPr>
          <w:rFonts w:ascii="Verdana" w:hAnsi="Verdana"/>
          <w:sz w:val="20"/>
          <w:szCs w:val="20"/>
          <w:lang w:val="pt-BR"/>
        </w:rPr>
        <w:t xml:space="preserve">ou que se esclarecesse se o pagamento dos juros de mora deveria incidir sobre o </w:t>
      </w:r>
      <w:r w:rsidR="0074017B" w:rsidRPr="00C40BD9">
        <w:rPr>
          <w:rFonts w:ascii="Verdana" w:hAnsi="Verdana"/>
          <w:sz w:val="20"/>
          <w:szCs w:val="20"/>
          <w:lang w:val="pt-BR"/>
        </w:rPr>
        <w:t xml:space="preserve">valor </w:t>
      </w:r>
      <w:r w:rsidR="00F633DD" w:rsidRPr="00C40BD9">
        <w:rPr>
          <w:rFonts w:ascii="Verdana" w:hAnsi="Verdana"/>
          <w:sz w:val="20"/>
          <w:szCs w:val="20"/>
          <w:lang w:val="pt-BR"/>
        </w:rPr>
        <w:t xml:space="preserve">da </w:t>
      </w:r>
      <w:r w:rsidR="0074017B" w:rsidRPr="00C40BD9">
        <w:rPr>
          <w:rFonts w:ascii="Verdana" w:hAnsi="Verdana"/>
          <w:sz w:val="20"/>
          <w:szCs w:val="20"/>
          <w:lang w:val="pt-BR"/>
        </w:rPr>
        <w:t>indeniza</w:t>
      </w:r>
      <w:r w:rsidR="00F633DD" w:rsidRPr="00C40BD9">
        <w:rPr>
          <w:rFonts w:ascii="Verdana" w:hAnsi="Verdana"/>
          <w:sz w:val="20"/>
          <w:szCs w:val="20"/>
          <w:lang w:val="pt-BR"/>
        </w:rPr>
        <w:t>ção</w:t>
      </w:r>
      <w:r w:rsidR="0074017B" w:rsidRPr="00C40BD9">
        <w:rPr>
          <w:rFonts w:ascii="Verdana" w:hAnsi="Verdana"/>
          <w:sz w:val="20"/>
          <w:szCs w:val="20"/>
          <w:lang w:val="pt-BR"/>
        </w:rPr>
        <w:t xml:space="preserve"> </w:t>
      </w:r>
      <w:r>
        <w:rPr>
          <w:rFonts w:ascii="Verdana" w:hAnsi="Verdana"/>
          <w:sz w:val="20"/>
          <w:szCs w:val="20"/>
          <w:lang w:val="pt-BR"/>
        </w:rPr>
        <w:t xml:space="preserve">já </w:t>
      </w:r>
      <w:r w:rsidR="0074017B" w:rsidRPr="00C40BD9">
        <w:rPr>
          <w:rFonts w:ascii="Verdana" w:hAnsi="Verdana"/>
          <w:sz w:val="20"/>
          <w:szCs w:val="20"/>
          <w:lang w:val="pt-BR"/>
        </w:rPr>
        <w:t>convertido a re</w:t>
      </w:r>
      <w:r w:rsidR="00C06A9B" w:rsidRPr="00C40BD9">
        <w:rPr>
          <w:rFonts w:ascii="Verdana" w:hAnsi="Verdana"/>
          <w:sz w:val="20"/>
          <w:szCs w:val="20"/>
          <w:lang w:val="pt-BR"/>
        </w:rPr>
        <w:t>ais</w:t>
      </w:r>
      <w:r w:rsidR="0074017B" w:rsidRPr="00C40BD9">
        <w:rPr>
          <w:rFonts w:ascii="Verdana" w:hAnsi="Verdana"/>
          <w:sz w:val="20"/>
          <w:szCs w:val="20"/>
          <w:lang w:val="pt-BR"/>
        </w:rPr>
        <w:t xml:space="preserve">, </w:t>
      </w:r>
      <w:r w:rsidR="000814BE" w:rsidRPr="00C40BD9">
        <w:rPr>
          <w:rFonts w:ascii="Verdana" w:hAnsi="Verdana"/>
          <w:sz w:val="20"/>
          <w:szCs w:val="20"/>
          <w:lang w:val="pt-BR"/>
        </w:rPr>
        <w:t xml:space="preserve">na </w:t>
      </w:r>
      <w:r>
        <w:rPr>
          <w:rFonts w:ascii="Verdana" w:hAnsi="Verdana"/>
          <w:sz w:val="20"/>
          <w:szCs w:val="20"/>
          <w:lang w:val="pt-BR"/>
        </w:rPr>
        <w:t xml:space="preserve">data em que </w:t>
      </w:r>
      <w:r w:rsidR="0074017B" w:rsidRPr="00C40BD9">
        <w:rPr>
          <w:rFonts w:ascii="Verdana" w:hAnsi="Verdana"/>
          <w:sz w:val="20"/>
          <w:szCs w:val="20"/>
          <w:lang w:val="pt-BR"/>
        </w:rPr>
        <w:t>se inicie a eventual mora</w:t>
      </w:r>
      <w:r>
        <w:rPr>
          <w:rFonts w:ascii="Verdana" w:hAnsi="Verdana"/>
          <w:sz w:val="20"/>
          <w:szCs w:val="20"/>
          <w:lang w:val="pt-BR"/>
        </w:rPr>
        <w:t xml:space="preserve">, aduzindo que se tratava de </w:t>
      </w:r>
      <w:r w:rsidR="006770ED" w:rsidRPr="00C40BD9">
        <w:rPr>
          <w:rFonts w:ascii="Verdana" w:hAnsi="Verdana"/>
          <w:sz w:val="20"/>
          <w:szCs w:val="20"/>
          <w:lang w:val="pt-BR"/>
        </w:rPr>
        <w:t>uma</w:t>
      </w:r>
      <w:r w:rsidR="00DE316A">
        <w:rPr>
          <w:rFonts w:ascii="Verdana" w:hAnsi="Verdana"/>
          <w:sz w:val="20"/>
          <w:szCs w:val="20"/>
          <w:lang w:val="pt-BR"/>
        </w:rPr>
        <w:t xml:space="preserve"> </w:t>
      </w:r>
      <w:r w:rsidR="00E66658" w:rsidRPr="00C40BD9">
        <w:rPr>
          <w:rFonts w:ascii="Verdana" w:hAnsi="Verdana"/>
          <w:sz w:val="20"/>
          <w:szCs w:val="20"/>
          <w:lang w:val="pt-BR"/>
        </w:rPr>
        <w:t>precau</w:t>
      </w:r>
      <w:r w:rsidR="00F633DD" w:rsidRPr="00C40BD9">
        <w:rPr>
          <w:rFonts w:ascii="Verdana" w:hAnsi="Verdana"/>
          <w:sz w:val="20"/>
          <w:szCs w:val="20"/>
          <w:lang w:val="pt-BR"/>
        </w:rPr>
        <w:t>ção</w:t>
      </w:r>
      <w:r>
        <w:rPr>
          <w:rFonts w:ascii="Verdana" w:hAnsi="Verdana"/>
          <w:sz w:val="20"/>
          <w:szCs w:val="20"/>
          <w:lang w:val="pt-BR"/>
        </w:rPr>
        <w:t xml:space="preserve">, cujo objetivo era </w:t>
      </w:r>
      <w:r w:rsidR="00E66658" w:rsidRPr="00C40BD9">
        <w:rPr>
          <w:rFonts w:ascii="Verdana" w:hAnsi="Verdana"/>
          <w:sz w:val="20"/>
          <w:szCs w:val="20"/>
          <w:lang w:val="pt-BR"/>
        </w:rPr>
        <w:t xml:space="preserve">evitar </w:t>
      </w:r>
      <w:r w:rsidR="006770ED" w:rsidRPr="00C40BD9">
        <w:rPr>
          <w:rFonts w:ascii="Verdana" w:hAnsi="Verdana"/>
          <w:sz w:val="20"/>
          <w:szCs w:val="20"/>
          <w:lang w:val="pt-BR"/>
        </w:rPr>
        <w:t>uma</w:t>
      </w:r>
      <w:r w:rsidR="00DE316A">
        <w:rPr>
          <w:rFonts w:ascii="Verdana" w:hAnsi="Verdana"/>
          <w:sz w:val="20"/>
          <w:szCs w:val="20"/>
          <w:lang w:val="pt-BR"/>
        </w:rPr>
        <w:t xml:space="preserve"> </w:t>
      </w:r>
      <w:r w:rsidR="00E66658" w:rsidRPr="00C40BD9">
        <w:rPr>
          <w:rFonts w:ascii="Verdana" w:hAnsi="Verdana"/>
          <w:sz w:val="20"/>
          <w:szCs w:val="20"/>
          <w:lang w:val="pt-BR"/>
        </w:rPr>
        <w:t>interpreta</w:t>
      </w:r>
      <w:r w:rsidR="00F633DD" w:rsidRPr="00C40BD9">
        <w:rPr>
          <w:rFonts w:ascii="Verdana" w:hAnsi="Verdana"/>
          <w:sz w:val="20"/>
          <w:szCs w:val="20"/>
          <w:lang w:val="pt-BR"/>
        </w:rPr>
        <w:t>ção</w:t>
      </w:r>
      <w:r w:rsidR="00E66658" w:rsidRPr="00C40BD9">
        <w:rPr>
          <w:rFonts w:ascii="Verdana" w:hAnsi="Verdana"/>
          <w:sz w:val="20"/>
          <w:szCs w:val="20"/>
          <w:lang w:val="pt-BR"/>
        </w:rPr>
        <w:t xml:space="preserve"> que result</w:t>
      </w:r>
      <w:r>
        <w:rPr>
          <w:rFonts w:ascii="Verdana" w:hAnsi="Verdana"/>
          <w:sz w:val="20"/>
          <w:szCs w:val="20"/>
          <w:lang w:val="pt-BR"/>
        </w:rPr>
        <w:t>ass</w:t>
      </w:r>
      <w:r w:rsidR="00E66658" w:rsidRPr="00C40BD9">
        <w:rPr>
          <w:rFonts w:ascii="Verdana" w:hAnsi="Verdana"/>
          <w:sz w:val="20"/>
          <w:szCs w:val="20"/>
          <w:lang w:val="pt-BR"/>
        </w:rPr>
        <w:t xml:space="preserve">e </w:t>
      </w:r>
      <w:r w:rsidR="000814BE" w:rsidRPr="00C40BD9">
        <w:rPr>
          <w:rFonts w:ascii="Verdana" w:hAnsi="Verdana"/>
          <w:sz w:val="20"/>
          <w:szCs w:val="20"/>
          <w:lang w:val="pt-BR"/>
        </w:rPr>
        <w:t xml:space="preserve">na </w:t>
      </w:r>
      <w:r w:rsidR="00E66658" w:rsidRPr="00C40BD9">
        <w:rPr>
          <w:rFonts w:ascii="Verdana" w:hAnsi="Verdana"/>
          <w:sz w:val="20"/>
          <w:szCs w:val="20"/>
          <w:lang w:val="pt-BR"/>
        </w:rPr>
        <w:t>aplica</w:t>
      </w:r>
      <w:r w:rsidR="00F633DD" w:rsidRPr="00C40BD9">
        <w:rPr>
          <w:rFonts w:ascii="Verdana" w:hAnsi="Verdana"/>
          <w:sz w:val="20"/>
          <w:szCs w:val="20"/>
          <w:lang w:val="pt-BR"/>
        </w:rPr>
        <w:t>ção</w:t>
      </w:r>
      <w:r w:rsidR="00E66658" w:rsidRPr="00C40BD9">
        <w:rPr>
          <w:rFonts w:ascii="Verdana" w:hAnsi="Verdana"/>
          <w:sz w:val="20"/>
          <w:szCs w:val="20"/>
          <w:lang w:val="pt-BR"/>
        </w:rPr>
        <w:t xml:space="preserve"> de </w:t>
      </w:r>
      <w:r>
        <w:rPr>
          <w:rFonts w:ascii="Verdana" w:hAnsi="Verdana"/>
          <w:sz w:val="20"/>
          <w:szCs w:val="20"/>
          <w:lang w:val="pt-BR"/>
        </w:rPr>
        <w:t xml:space="preserve">juros </w:t>
      </w:r>
      <w:r w:rsidR="00E66658" w:rsidRPr="00C40BD9">
        <w:rPr>
          <w:rFonts w:ascii="Verdana" w:hAnsi="Verdana"/>
          <w:sz w:val="20"/>
          <w:szCs w:val="20"/>
          <w:lang w:val="pt-BR"/>
        </w:rPr>
        <w:t>previstos para a moeda nacional a</w:t>
      </w:r>
      <w:r>
        <w:rPr>
          <w:rFonts w:ascii="Verdana" w:hAnsi="Verdana"/>
          <w:sz w:val="20"/>
          <w:szCs w:val="20"/>
          <w:lang w:val="pt-BR"/>
        </w:rPr>
        <w:t>o</w:t>
      </w:r>
      <w:r w:rsidR="00E66658" w:rsidRPr="00C40BD9">
        <w:rPr>
          <w:rFonts w:ascii="Verdana" w:hAnsi="Verdana"/>
          <w:sz w:val="20"/>
          <w:szCs w:val="20"/>
          <w:lang w:val="pt-BR"/>
        </w:rPr>
        <w:t xml:space="preserve"> dólar </w:t>
      </w:r>
      <w:r w:rsidR="00C06A9B" w:rsidRPr="00C40BD9">
        <w:rPr>
          <w:rFonts w:ascii="Verdana" w:hAnsi="Verdana"/>
          <w:sz w:val="20"/>
          <w:szCs w:val="20"/>
          <w:lang w:val="pt-BR"/>
        </w:rPr>
        <w:t xml:space="preserve">dos </w:t>
      </w:r>
      <w:r w:rsidR="00E66658" w:rsidRPr="00C40BD9">
        <w:rPr>
          <w:rFonts w:ascii="Verdana" w:hAnsi="Verdana"/>
          <w:sz w:val="20"/>
          <w:szCs w:val="20"/>
          <w:lang w:val="pt-BR"/>
        </w:rPr>
        <w:t>Estados Unidos d</w:t>
      </w:r>
      <w:r>
        <w:rPr>
          <w:rFonts w:ascii="Verdana" w:hAnsi="Verdana"/>
          <w:sz w:val="20"/>
          <w:szCs w:val="20"/>
          <w:lang w:val="pt-BR"/>
        </w:rPr>
        <w:t>a</w:t>
      </w:r>
      <w:r w:rsidR="00E66658" w:rsidRPr="00C40BD9">
        <w:rPr>
          <w:rFonts w:ascii="Verdana" w:hAnsi="Verdana"/>
          <w:sz w:val="20"/>
          <w:szCs w:val="20"/>
          <w:lang w:val="pt-BR"/>
        </w:rPr>
        <w:t xml:space="preserve"> América.</w:t>
      </w:r>
    </w:p>
    <w:p w:rsidR="0074017B" w:rsidRPr="00C40BD9" w:rsidRDefault="0074017B" w:rsidP="00A82FB4">
      <w:pPr>
        <w:pStyle w:val="ListParagraph"/>
        <w:spacing w:after="0" w:line="240" w:lineRule="auto"/>
        <w:ind w:left="0"/>
        <w:contextualSpacing w:val="0"/>
        <w:jc w:val="both"/>
        <w:rPr>
          <w:rFonts w:ascii="Verdana" w:hAnsi="Verdana"/>
          <w:sz w:val="20"/>
          <w:szCs w:val="20"/>
          <w:lang w:val="pt-BR"/>
        </w:rPr>
      </w:pPr>
    </w:p>
    <w:p w:rsidR="0074017B" w:rsidRPr="00C40BD9" w:rsidRDefault="0074017B" w:rsidP="00A82FB4">
      <w:pPr>
        <w:pStyle w:val="ListParagraph"/>
        <w:numPr>
          <w:ilvl w:val="0"/>
          <w:numId w:val="2"/>
        </w:numPr>
        <w:tabs>
          <w:tab w:val="clear" w:pos="1247"/>
        </w:tabs>
        <w:spacing w:after="0" w:line="240" w:lineRule="auto"/>
        <w:contextualSpacing w:val="0"/>
        <w:jc w:val="both"/>
        <w:rPr>
          <w:rFonts w:ascii="Verdana" w:hAnsi="Verdana"/>
          <w:sz w:val="20"/>
          <w:szCs w:val="20"/>
          <w:lang w:val="pt-BR"/>
        </w:rPr>
      </w:pPr>
      <w:r w:rsidRPr="00C40BD9">
        <w:rPr>
          <w:rFonts w:ascii="Verdana" w:hAnsi="Verdana"/>
          <w:sz w:val="20"/>
          <w:szCs w:val="20"/>
          <w:lang w:val="pt-BR"/>
        </w:rPr>
        <w:t>També</w:t>
      </w:r>
      <w:r w:rsidR="00BE4317">
        <w:rPr>
          <w:rFonts w:ascii="Verdana" w:hAnsi="Verdana"/>
          <w:sz w:val="20"/>
          <w:szCs w:val="20"/>
          <w:lang w:val="pt-BR"/>
        </w:rPr>
        <w:t>m</w:t>
      </w:r>
      <w:r w:rsidRPr="00C40BD9">
        <w:rPr>
          <w:rFonts w:ascii="Verdana" w:hAnsi="Verdana"/>
          <w:sz w:val="20"/>
          <w:szCs w:val="20"/>
          <w:lang w:val="pt-BR"/>
        </w:rPr>
        <w:t xml:space="preserve"> sobre </w:t>
      </w:r>
      <w:r w:rsidR="00BE4317">
        <w:rPr>
          <w:rFonts w:ascii="Verdana" w:hAnsi="Verdana"/>
          <w:sz w:val="20"/>
          <w:szCs w:val="20"/>
          <w:lang w:val="pt-BR"/>
        </w:rPr>
        <w:t xml:space="preserve">os juros, </w:t>
      </w:r>
      <w:r w:rsidR="008D3001">
        <w:rPr>
          <w:rFonts w:ascii="Verdana" w:hAnsi="Verdana"/>
          <w:sz w:val="20"/>
          <w:szCs w:val="20"/>
          <w:lang w:val="pt-BR"/>
        </w:rPr>
        <w:t xml:space="preserve">o </w:t>
      </w:r>
      <w:r w:rsidRPr="00C40BD9">
        <w:rPr>
          <w:rFonts w:ascii="Verdana" w:hAnsi="Verdana"/>
          <w:sz w:val="20"/>
          <w:szCs w:val="20"/>
          <w:lang w:val="pt-BR"/>
        </w:rPr>
        <w:t xml:space="preserve">Estado </w:t>
      </w:r>
      <w:r w:rsidR="00BE4317">
        <w:rPr>
          <w:rFonts w:ascii="Verdana" w:hAnsi="Verdana"/>
          <w:sz w:val="20"/>
          <w:szCs w:val="20"/>
          <w:lang w:val="pt-BR"/>
        </w:rPr>
        <w:t xml:space="preserve">observou que o </w:t>
      </w:r>
      <w:r w:rsidR="00F633DD" w:rsidRPr="00C40BD9">
        <w:rPr>
          <w:rFonts w:ascii="Verdana" w:hAnsi="Verdana"/>
          <w:sz w:val="20"/>
          <w:szCs w:val="20"/>
          <w:lang w:val="pt-BR"/>
        </w:rPr>
        <w:t xml:space="preserve">artigo </w:t>
      </w:r>
      <w:r w:rsidRPr="00C40BD9">
        <w:rPr>
          <w:rFonts w:ascii="Verdana" w:hAnsi="Verdana"/>
          <w:sz w:val="20"/>
          <w:szCs w:val="20"/>
          <w:lang w:val="pt-BR"/>
        </w:rPr>
        <w:t xml:space="preserve">68.2 </w:t>
      </w:r>
      <w:r w:rsidR="00F633DD" w:rsidRPr="00C40BD9">
        <w:rPr>
          <w:rFonts w:ascii="Verdana" w:hAnsi="Verdana"/>
          <w:sz w:val="20"/>
          <w:szCs w:val="20"/>
          <w:lang w:val="pt-BR"/>
        </w:rPr>
        <w:t xml:space="preserve">da </w:t>
      </w:r>
      <w:r w:rsidRPr="00C40BD9">
        <w:rPr>
          <w:rFonts w:ascii="Verdana" w:hAnsi="Verdana"/>
          <w:sz w:val="20"/>
          <w:szCs w:val="20"/>
          <w:lang w:val="pt-BR"/>
        </w:rPr>
        <w:t>Conven</w:t>
      </w:r>
      <w:r w:rsidR="00F633DD" w:rsidRPr="00C40BD9">
        <w:rPr>
          <w:rFonts w:ascii="Verdana" w:hAnsi="Verdana"/>
          <w:sz w:val="20"/>
          <w:szCs w:val="20"/>
          <w:lang w:val="pt-BR"/>
        </w:rPr>
        <w:t>ção</w:t>
      </w:r>
      <w:r w:rsidRPr="00C40BD9">
        <w:rPr>
          <w:rFonts w:ascii="Verdana" w:hAnsi="Verdana"/>
          <w:sz w:val="20"/>
          <w:szCs w:val="20"/>
          <w:lang w:val="pt-BR"/>
        </w:rPr>
        <w:t xml:space="preserve"> Americana </w:t>
      </w:r>
      <w:r w:rsidR="00BE4317">
        <w:rPr>
          <w:rFonts w:ascii="Verdana" w:hAnsi="Verdana"/>
          <w:sz w:val="20"/>
          <w:szCs w:val="20"/>
          <w:lang w:val="pt-BR"/>
        </w:rPr>
        <w:t xml:space="preserve">determina que </w:t>
      </w:r>
      <w:r w:rsidR="00F64C88">
        <w:rPr>
          <w:rFonts w:ascii="Verdana" w:hAnsi="Verdana"/>
          <w:sz w:val="20"/>
          <w:szCs w:val="20"/>
          <w:lang w:val="pt-BR"/>
        </w:rPr>
        <w:t>é</w:t>
      </w:r>
      <w:r w:rsidR="00BE4317">
        <w:rPr>
          <w:rFonts w:ascii="Verdana" w:hAnsi="Verdana"/>
          <w:sz w:val="20"/>
          <w:szCs w:val="20"/>
          <w:lang w:val="pt-BR"/>
        </w:rPr>
        <w:t xml:space="preserve"> possível executar </w:t>
      </w:r>
      <w:r w:rsidR="00A961C9">
        <w:rPr>
          <w:rFonts w:ascii="Verdana" w:hAnsi="Verdana"/>
          <w:sz w:val="20"/>
          <w:szCs w:val="20"/>
          <w:lang w:val="pt-BR"/>
        </w:rPr>
        <w:t xml:space="preserve">no respectivo país </w:t>
      </w:r>
      <w:r w:rsidR="00BE4317">
        <w:rPr>
          <w:rFonts w:ascii="Verdana" w:hAnsi="Verdana"/>
          <w:sz w:val="20"/>
          <w:szCs w:val="20"/>
          <w:lang w:val="pt-BR"/>
        </w:rPr>
        <w:t xml:space="preserve">a </w:t>
      </w:r>
      <w:r w:rsidRPr="00C40BD9">
        <w:rPr>
          <w:rFonts w:ascii="Verdana" w:hAnsi="Verdana"/>
          <w:sz w:val="20"/>
          <w:szCs w:val="20"/>
          <w:lang w:val="pt-BR"/>
        </w:rPr>
        <w:t>parte d</w:t>
      </w:r>
      <w:r w:rsidR="00BE4317">
        <w:rPr>
          <w:rFonts w:ascii="Verdana" w:hAnsi="Verdana"/>
          <w:sz w:val="20"/>
          <w:szCs w:val="20"/>
          <w:lang w:val="pt-BR"/>
        </w:rPr>
        <w:t>a</w:t>
      </w:r>
      <w:r w:rsidRPr="00C40BD9">
        <w:rPr>
          <w:rFonts w:ascii="Verdana" w:hAnsi="Verdana"/>
          <w:sz w:val="20"/>
          <w:szCs w:val="20"/>
          <w:lang w:val="pt-BR"/>
        </w:rPr>
        <w:t xml:space="preserve"> </w:t>
      </w:r>
      <w:r w:rsidR="00BE4317">
        <w:rPr>
          <w:rFonts w:ascii="Verdana" w:hAnsi="Verdana"/>
          <w:sz w:val="20"/>
          <w:szCs w:val="20"/>
          <w:lang w:val="pt-BR"/>
        </w:rPr>
        <w:t xml:space="preserve">sentença </w:t>
      </w:r>
      <w:r w:rsidRPr="00C40BD9">
        <w:rPr>
          <w:rFonts w:ascii="Verdana" w:hAnsi="Verdana"/>
          <w:sz w:val="20"/>
          <w:szCs w:val="20"/>
          <w:lang w:val="pt-BR"/>
        </w:rPr>
        <w:t xml:space="preserve">que </w:t>
      </w:r>
      <w:r w:rsidR="00BE4317">
        <w:rPr>
          <w:rFonts w:ascii="Verdana" w:hAnsi="Verdana"/>
          <w:sz w:val="20"/>
          <w:szCs w:val="20"/>
          <w:lang w:val="pt-BR"/>
        </w:rPr>
        <w:t xml:space="preserve">disponha </w:t>
      </w:r>
      <w:r w:rsidRPr="00C40BD9">
        <w:rPr>
          <w:rFonts w:ascii="Verdana" w:hAnsi="Verdana"/>
          <w:sz w:val="20"/>
          <w:szCs w:val="20"/>
          <w:lang w:val="pt-BR"/>
        </w:rPr>
        <w:t>indeniza</w:t>
      </w:r>
      <w:r w:rsidR="00F633DD" w:rsidRPr="00C40BD9">
        <w:rPr>
          <w:rFonts w:ascii="Verdana" w:hAnsi="Verdana"/>
          <w:sz w:val="20"/>
          <w:szCs w:val="20"/>
          <w:lang w:val="pt-BR"/>
        </w:rPr>
        <w:t>ção</w:t>
      </w:r>
      <w:r w:rsidRPr="00C40BD9">
        <w:rPr>
          <w:rFonts w:ascii="Verdana" w:hAnsi="Verdana"/>
          <w:sz w:val="20"/>
          <w:szCs w:val="20"/>
          <w:lang w:val="pt-BR"/>
        </w:rPr>
        <w:t xml:space="preserve"> compensat</w:t>
      </w:r>
      <w:r w:rsidR="00BE4317">
        <w:rPr>
          <w:rFonts w:ascii="Verdana" w:hAnsi="Verdana"/>
          <w:sz w:val="20"/>
          <w:szCs w:val="20"/>
          <w:lang w:val="pt-BR"/>
        </w:rPr>
        <w:t>ó</w:t>
      </w:r>
      <w:r w:rsidRPr="00C40BD9">
        <w:rPr>
          <w:rFonts w:ascii="Verdana" w:hAnsi="Verdana"/>
          <w:sz w:val="20"/>
          <w:szCs w:val="20"/>
          <w:lang w:val="pt-BR"/>
        </w:rPr>
        <w:t>ria</w:t>
      </w:r>
      <w:r w:rsidR="00BE4317">
        <w:rPr>
          <w:rFonts w:ascii="Verdana" w:hAnsi="Verdana"/>
          <w:sz w:val="20"/>
          <w:szCs w:val="20"/>
          <w:lang w:val="pt-BR"/>
        </w:rPr>
        <w:t xml:space="preserve">, mediante o </w:t>
      </w:r>
      <w:r w:rsidR="00A961C9">
        <w:rPr>
          <w:rFonts w:ascii="Verdana" w:hAnsi="Verdana"/>
          <w:sz w:val="20"/>
          <w:szCs w:val="20"/>
          <w:lang w:val="pt-BR"/>
        </w:rPr>
        <w:t>processo</w:t>
      </w:r>
      <w:r w:rsidR="00BE4317">
        <w:rPr>
          <w:rFonts w:ascii="Verdana" w:hAnsi="Verdana"/>
          <w:sz w:val="20"/>
          <w:szCs w:val="20"/>
          <w:lang w:val="pt-BR"/>
        </w:rPr>
        <w:t xml:space="preserve"> </w:t>
      </w:r>
      <w:r w:rsidRPr="00C40BD9">
        <w:rPr>
          <w:rFonts w:ascii="Verdana" w:hAnsi="Verdana"/>
          <w:sz w:val="20"/>
          <w:szCs w:val="20"/>
          <w:lang w:val="pt-BR"/>
        </w:rPr>
        <w:t>interno vigente para a e</w:t>
      </w:r>
      <w:r w:rsidR="00BE4317">
        <w:rPr>
          <w:rFonts w:ascii="Verdana" w:hAnsi="Verdana"/>
          <w:sz w:val="20"/>
          <w:szCs w:val="20"/>
          <w:lang w:val="pt-BR"/>
        </w:rPr>
        <w:t>x</w:t>
      </w:r>
      <w:r w:rsidRPr="00C40BD9">
        <w:rPr>
          <w:rFonts w:ascii="Verdana" w:hAnsi="Verdana"/>
          <w:sz w:val="20"/>
          <w:szCs w:val="20"/>
          <w:lang w:val="pt-BR"/>
        </w:rPr>
        <w:t>ecu</w:t>
      </w:r>
      <w:r w:rsidR="00F633DD" w:rsidRPr="00C40BD9">
        <w:rPr>
          <w:rFonts w:ascii="Verdana" w:hAnsi="Verdana"/>
          <w:sz w:val="20"/>
          <w:szCs w:val="20"/>
          <w:lang w:val="pt-BR"/>
        </w:rPr>
        <w:t>ção</w:t>
      </w:r>
      <w:r w:rsidRPr="00C40BD9">
        <w:rPr>
          <w:rFonts w:ascii="Verdana" w:hAnsi="Verdana"/>
          <w:sz w:val="20"/>
          <w:szCs w:val="20"/>
          <w:lang w:val="pt-BR"/>
        </w:rPr>
        <w:t xml:space="preserve"> de senten</w:t>
      </w:r>
      <w:r w:rsidR="00BE4317">
        <w:rPr>
          <w:rFonts w:ascii="Verdana" w:hAnsi="Verdana"/>
          <w:sz w:val="20"/>
          <w:szCs w:val="20"/>
          <w:lang w:val="pt-BR"/>
        </w:rPr>
        <w:t>ç</w:t>
      </w:r>
      <w:r w:rsidRPr="00C40BD9">
        <w:rPr>
          <w:rFonts w:ascii="Verdana" w:hAnsi="Verdana"/>
          <w:sz w:val="20"/>
          <w:szCs w:val="20"/>
          <w:lang w:val="pt-BR"/>
        </w:rPr>
        <w:t xml:space="preserve">as contra </w:t>
      </w:r>
      <w:r w:rsidR="00BE4317">
        <w:rPr>
          <w:rFonts w:ascii="Verdana" w:hAnsi="Verdana"/>
          <w:sz w:val="20"/>
          <w:szCs w:val="20"/>
          <w:lang w:val="pt-BR"/>
        </w:rPr>
        <w:t>o</w:t>
      </w:r>
      <w:r w:rsidRPr="00C40BD9">
        <w:rPr>
          <w:rFonts w:ascii="Verdana" w:hAnsi="Verdana"/>
          <w:sz w:val="20"/>
          <w:szCs w:val="20"/>
          <w:lang w:val="pt-BR"/>
        </w:rPr>
        <w:t xml:space="preserve"> Estado</w:t>
      </w:r>
      <w:r w:rsidR="00BE4317">
        <w:rPr>
          <w:rFonts w:ascii="Verdana" w:hAnsi="Verdana"/>
          <w:sz w:val="20"/>
          <w:szCs w:val="20"/>
          <w:lang w:val="pt-BR"/>
        </w:rPr>
        <w:t>,</w:t>
      </w:r>
      <w:r w:rsidRPr="00C40BD9">
        <w:rPr>
          <w:rFonts w:ascii="Verdana" w:hAnsi="Verdana"/>
          <w:sz w:val="20"/>
          <w:szCs w:val="20"/>
          <w:lang w:val="pt-BR"/>
        </w:rPr>
        <w:t xml:space="preserve"> </w:t>
      </w:r>
      <w:r w:rsidR="00F633DD" w:rsidRPr="00C40BD9">
        <w:rPr>
          <w:rFonts w:ascii="Verdana" w:hAnsi="Verdana"/>
          <w:sz w:val="20"/>
          <w:szCs w:val="20"/>
          <w:lang w:val="pt-BR"/>
        </w:rPr>
        <w:t>e</w:t>
      </w:r>
      <w:r w:rsidR="00DE316A">
        <w:rPr>
          <w:rFonts w:ascii="Verdana" w:hAnsi="Verdana"/>
          <w:sz w:val="20"/>
          <w:szCs w:val="20"/>
          <w:lang w:val="pt-BR"/>
        </w:rPr>
        <w:t xml:space="preserve"> </w:t>
      </w:r>
      <w:r w:rsidRPr="00C40BD9">
        <w:rPr>
          <w:rFonts w:ascii="Verdana" w:hAnsi="Verdana"/>
          <w:sz w:val="20"/>
          <w:szCs w:val="20"/>
          <w:lang w:val="pt-BR"/>
        </w:rPr>
        <w:t>que, ne</w:t>
      </w:r>
      <w:r w:rsidR="00BE4317">
        <w:rPr>
          <w:rFonts w:ascii="Verdana" w:hAnsi="Verdana"/>
          <w:sz w:val="20"/>
          <w:szCs w:val="20"/>
          <w:lang w:val="pt-BR"/>
        </w:rPr>
        <w:t>s</w:t>
      </w:r>
      <w:r w:rsidRPr="00C40BD9">
        <w:rPr>
          <w:rFonts w:ascii="Verdana" w:hAnsi="Verdana"/>
          <w:sz w:val="20"/>
          <w:szCs w:val="20"/>
          <w:lang w:val="pt-BR"/>
        </w:rPr>
        <w:t xml:space="preserve">se </w:t>
      </w:r>
      <w:r w:rsidR="008F2740">
        <w:rPr>
          <w:rFonts w:ascii="Verdana" w:hAnsi="Verdana"/>
          <w:sz w:val="20"/>
          <w:szCs w:val="20"/>
          <w:lang w:val="pt-BR"/>
        </w:rPr>
        <w:t>processo</w:t>
      </w:r>
      <w:r w:rsidR="00DE316A">
        <w:rPr>
          <w:rFonts w:ascii="Verdana" w:hAnsi="Verdana"/>
          <w:sz w:val="20"/>
          <w:szCs w:val="20"/>
          <w:lang w:val="pt-BR"/>
        </w:rPr>
        <w:t xml:space="preserve"> </w:t>
      </w:r>
      <w:r w:rsidRPr="00C40BD9">
        <w:rPr>
          <w:rFonts w:ascii="Verdana" w:hAnsi="Verdana"/>
          <w:sz w:val="20"/>
          <w:szCs w:val="20"/>
          <w:lang w:val="pt-BR"/>
        </w:rPr>
        <w:t xml:space="preserve">interno, </w:t>
      </w:r>
      <w:r w:rsidR="00BE4317">
        <w:rPr>
          <w:rFonts w:ascii="Verdana" w:hAnsi="Verdana"/>
          <w:sz w:val="20"/>
          <w:szCs w:val="20"/>
          <w:lang w:val="pt-BR"/>
        </w:rPr>
        <w:t xml:space="preserve">o </w:t>
      </w:r>
      <w:r w:rsidRPr="00C40BD9">
        <w:rPr>
          <w:rFonts w:ascii="Verdana" w:hAnsi="Verdana"/>
          <w:sz w:val="20"/>
          <w:szCs w:val="20"/>
          <w:lang w:val="pt-BR"/>
        </w:rPr>
        <w:t>ente público (</w:t>
      </w:r>
      <w:r w:rsidR="00BE4317">
        <w:rPr>
          <w:rFonts w:ascii="Verdana" w:hAnsi="Verdana"/>
          <w:sz w:val="20"/>
          <w:szCs w:val="20"/>
          <w:lang w:val="pt-BR"/>
        </w:rPr>
        <w:t>Fazenda</w:t>
      </w:r>
      <w:r w:rsidRPr="00C40BD9">
        <w:rPr>
          <w:rFonts w:ascii="Verdana" w:hAnsi="Verdana"/>
          <w:sz w:val="20"/>
          <w:szCs w:val="20"/>
          <w:lang w:val="pt-BR"/>
        </w:rPr>
        <w:t xml:space="preserve"> Pública) fi</w:t>
      </w:r>
      <w:r w:rsidR="00BE4317">
        <w:rPr>
          <w:rFonts w:ascii="Verdana" w:hAnsi="Verdana"/>
          <w:sz w:val="20"/>
          <w:szCs w:val="20"/>
          <w:lang w:val="pt-BR"/>
        </w:rPr>
        <w:t>x</w:t>
      </w:r>
      <w:r w:rsidRPr="00C40BD9">
        <w:rPr>
          <w:rFonts w:ascii="Verdana" w:hAnsi="Verdana"/>
          <w:sz w:val="20"/>
          <w:szCs w:val="20"/>
          <w:lang w:val="pt-BR"/>
        </w:rPr>
        <w:t xml:space="preserve">a </w:t>
      </w:r>
      <w:r w:rsidR="00BE4317">
        <w:rPr>
          <w:rFonts w:ascii="Verdana" w:hAnsi="Verdana"/>
          <w:sz w:val="20"/>
          <w:szCs w:val="20"/>
          <w:lang w:val="pt-BR"/>
        </w:rPr>
        <w:t xml:space="preserve">os juros de mora segundo a </w:t>
      </w:r>
      <w:r w:rsidRPr="00C40BD9">
        <w:rPr>
          <w:rFonts w:ascii="Verdana" w:hAnsi="Verdana"/>
          <w:sz w:val="20"/>
          <w:szCs w:val="20"/>
          <w:lang w:val="pt-BR"/>
        </w:rPr>
        <w:t>remunera</w:t>
      </w:r>
      <w:r w:rsidR="00F633DD" w:rsidRPr="00C40BD9">
        <w:rPr>
          <w:rFonts w:ascii="Verdana" w:hAnsi="Verdana"/>
          <w:sz w:val="20"/>
          <w:szCs w:val="20"/>
          <w:lang w:val="pt-BR"/>
        </w:rPr>
        <w:t>ção</w:t>
      </w:r>
      <w:r w:rsidRPr="00C40BD9">
        <w:rPr>
          <w:rFonts w:ascii="Verdana" w:hAnsi="Verdana"/>
          <w:sz w:val="20"/>
          <w:szCs w:val="20"/>
          <w:lang w:val="pt-BR"/>
        </w:rPr>
        <w:t xml:space="preserve"> </w:t>
      </w:r>
      <w:r w:rsidR="00F633DD" w:rsidRPr="00C40BD9">
        <w:rPr>
          <w:rFonts w:ascii="Verdana" w:hAnsi="Verdana"/>
          <w:sz w:val="20"/>
          <w:szCs w:val="20"/>
          <w:lang w:val="pt-BR"/>
        </w:rPr>
        <w:t xml:space="preserve">da </w:t>
      </w:r>
      <w:r w:rsidR="00BE4317">
        <w:rPr>
          <w:rFonts w:ascii="Verdana" w:hAnsi="Verdana"/>
          <w:sz w:val="20"/>
          <w:szCs w:val="20"/>
          <w:lang w:val="pt-BR"/>
        </w:rPr>
        <w:t xml:space="preserve">conta de poupança, em </w:t>
      </w:r>
      <w:r w:rsidR="00F633DD" w:rsidRPr="00C40BD9">
        <w:rPr>
          <w:rFonts w:ascii="Verdana" w:hAnsi="Verdana"/>
          <w:sz w:val="20"/>
          <w:szCs w:val="20"/>
          <w:lang w:val="pt-BR"/>
        </w:rPr>
        <w:t xml:space="preserve">conformidade com o artigo </w:t>
      </w:r>
      <w:r w:rsidRPr="00C40BD9">
        <w:rPr>
          <w:rFonts w:ascii="Verdana" w:hAnsi="Verdana"/>
          <w:sz w:val="20"/>
          <w:szCs w:val="20"/>
          <w:lang w:val="pt-BR"/>
        </w:rPr>
        <w:t xml:space="preserve">1-F </w:t>
      </w:r>
      <w:r w:rsidR="00F633DD" w:rsidRPr="00C40BD9">
        <w:rPr>
          <w:rFonts w:ascii="Verdana" w:hAnsi="Verdana"/>
          <w:sz w:val="20"/>
          <w:szCs w:val="20"/>
          <w:lang w:val="pt-BR"/>
        </w:rPr>
        <w:t xml:space="preserve">da </w:t>
      </w:r>
      <w:r w:rsidRPr="00C40BD9">
        <w:rPr>
          <w:rFonts w:ascii="Verdana" w:hAnsi="Verdana"/>
          <w:sz w:val="20"/>
          <w:szCs w:val="20"/>
          <w:lang w:val="pt-BR"/>
        </w:rPr>
        <w:t>Le</w:t>
      </w:r>
      <w:r w:rsidR="00BE4317">
        <w:rPr>
          <w:rFonts w:ascii="Verdana" w:hAnsi="Verdana"/>
          <w:sz w:val="20"/>
          <w:szCs w:val="20"/>
          <w:lang w:val="pt-BR"/>
        </w:rPr>
        <w:t>i</w:t>
      </w:r>
      <w:r w:rsidRPr="00C40BD9">
        <w:rPr>
          <w:rFonts w:ascii="Verdana" w:hAnsi="Verdana"/>
          <w:sz w:val="20"/>
          <w:szCs w:val="20"/>
          <w:lang w:val="pt-BR"/>
        </w:rPr>
        <w:t xml:space="preserve"> 9.494/1997. E</w:t>
      </w:r>
      <w:r w:rsidR="00BE4317">
        <w:rPr>
          <w:rFonts w:ascii="Verdana" w:hAnsi="Verdana"/>
          <w:sz w:val="20"/>
          <w:szCs w:val="20"/>
          <w:lang w:val="pt-BR"/>
        </w:rPr>
        <w:t xml:space="preserve">m visto do exposto, o </w:t>
      </w:r>
      <w:r w:rsidRPr="00C40BD9">
        <w:rPr>
          <w:rFonts w:ascii="Verdana" w:hAnsi="Verdana"/>
          <w:sz w:val="20"/>
          <w:szCs w:val="20"/>
          <w:lang w:val="pt-BR"/>
        </w:rPr>
        <w:t>Estado també</w:t>
      </w:r>
      <w:r w:rsidR="00BE4317">
        <w:rPr>
          <w:rFonts w:ascii="Verdana" w:hAnsi="Verdana"/>
          <w:sz w:val="20"/>
          <w:szCs w:val="20"/>
          <w:lang w:val="pt-BR"/>
        </w:rPr>
        <w:t xml:space="preserve">m solicitou que se esclarecesse que a expressão </w:t>
      </w:r>
      <w:r w:rsidRPr="00C40BD9">
        <w:rPr>
          <w:rFonts w:ascii="Verdana" w:hAnsi="Verdana"/>
          <w:sz w:val="20"/>
          <w:szCs w:val="20"/>
          <w:lang w:val="pt-BR"/>
        </w:rPr>
        <w:t>“</w:t>
      </w:r>
      <w:r w:rsidR="00BE4317">
        <w:rPr>
          <w:rFonts w:ascii="Verdana" w:hAnsi="Verdana"/>
          <w:sz w:val="20"/>
          <w:szCs w:val="20"/>
          <w:lang w:val="pt-BR"/>
        </w:rPr>
        <w:t xml:space="preserve">juros </w:t>
      </w:r>
      <w:r w:rsidR="008B0095" w:rsidRPr="00C40BD9">
        <w:rPr>
          <w:rFonts w:ascii="Verdana" w:hAnsi="Verdana"/>
          <w:sz w:val="20"/>
          <w:szCs w:val="20"/>
          <w:lang w:val="pt-BR"/>
        </w:rPr>
        <w:t xml:space="preserve">de mora </w:t>
      </w:r>
      <w:r w:rsidRPr="00C40BD9">
        <w:rPr>
          <w:rFonts w:ascii="Verdana" w:hAnsi="Verdana"/>
          <w:sz w:val="20"/>
          <w:szCs w:val="20"/>
          <w:lang w:val="pt-BR"/>
        </w:rPr>
        <w:t>banc</w:t>
      </w:r>
      <w:r w:rsidR="00BE4317">
        <w:rPr>
          <w:rFonts w:ascii="Verdana" w:hAnsi="Verdana"/>
          <w:sz w:val="20"/>
          <w:szCs w:val="20"/>
          <w:lang w:val="pt-BR"/>
        </w:rPr>
        <w:t>ários</w:t>
      </w:r>
      <w:r w:rsidRPr="00C40BD9">
        <w:rPr>
          <w:rFonts w:ascii="Verdana" w:hAnsi="Verdana"/>
          <w:sz w:val="20"/>
          <w:szCs w:val="20"/>
          <w:lang w:val="pt-BR"/>
        </w:rPr>
        <w:t xml:space="preserve">”, citada </w:t>
      </w:r>
      <w:r w:rsidR="00BE4317">
        <w:rPr>
          <w:rFonts w:ascii="Verdana" w:hAnsi="Verdana"/>
          <w:sz w:val="20"/>
          <w:szCs w:val="20"/>
          <w:lang w:val="pt-BR"/>
        </w:rPr>
        <w:t xml:space="preserve">no mesmo </w:t>
      </w:r>
      <w:r w:rsidR="00C06A9B" w:rsidRPr="00C40BD9">
        <w:rPr>
          <w:rFonts w:ascii="Verdana" w:hAnsi="Verdana"/>
          <w:sz w:val="20"/>
          <w:szCs w:val="20"/>
          <w:lang w:val="pt-BR"/>
        </w:rPr>
        <w:t>parágrafo</w:t>
      </w:r>
      <w:r w:rsidR="00DE316A">
        <w:rPr>
          <w:rFonts w:ascii="Verdana" w:hAnsi="Verdana"/>
          <w:sz w:val="20"/>
          <w:szCs w:val="20"/>
          <w:lang w:val="pt-BR"/>
        </w:rPr>
        <w:t xml:space="preserve"> </w:t>
      </w:r>
      <w:r w:rsidR="008B0095" w:rsidRPr="00C40BD9">
        <w:rPr>
          <w:rFonts w:ascii="Verdana" w:hAnsi="Verdana"/>
          <w:sz w:val="20"/>
          <w:szCs w:val="20"/>
          <w:lang w:val="pt-BR"/>
        </w:rPr>
        <w:t xml:space="preserve">368 </w:t>
      </w:r>
      <w:r w:rsidR="00F633DD" w:rsidRPr="00C40BD9">
        <w:rPr>
          <w:rFonts w:ascii="Verdana" w:hAnsi="Verdana"/>
          <w:sz w:val="20"/>
          <w:szCs w:val="20"/>
          <w:lang w:val="pt-BR"/>
        </w:rPr>
        <w:t>da Sentença</w:t>
      </w:r>
      <w:r w:rsidRPr="00C40BD9">
        <w:rPr>
          <w:rFonts w:ascii="Verdana" w:hAnsi="Verdana"/>
          <w:sz w:val="20"/>
          <w:szCs w:val="20"/>
          <w:lang w:val="pt-BR"/>
        </w:rPr>
        <w:t>, de</w:t>
      </w:r>
      <w:r w:rsidR="00BE4317">
        <w:rPr>
          <w:rFonts w:ascii="Verdana" w:hAnsi="Verdana"/>
          <w:sz w:val="20"/>
          <w:szCs w:val="20"/>
          <w:lang w:val="pt-BR"/>
        </w:rPr>
        <w:t>v</w:t>
      </w:r>
      <w:r w:rsidR="00A961C9">
        <w:rPr>
          <w:rFonts w:ascii="Verdana" w:hAnsi="Verdana"/>
          <w:sz w:val="20"/>
          <w:szCs w:val="20"/>
          <w:lang w:val="pt-BR"/>
        </w:rPr>
        <w:t>e</w:t>
      </w:r>
      <w:r w:rsidRPr="00C40BD9">
        <w:rPr>
          <w:rFonts w:ascii="Verdana" w:hAnsi="Verdana"/>
          <w:sz w:val="20"/>
          <w:szCs w:val="20"/>
          <w:lang w:val="pt-BR"/>
        </w:rPr>
        <w:t xml:space="preserve"> ser interpretada e</w:t>
      </w:r>
      <w:r w:rsidR="00BE4317">
        <w:rPr>
          <w:rFonts w:ascii="Verdana" w:hAnsi="Verdana"/>
          <w:sz w:val="20"/>
          <w:szCs w:val="20"/>
          <w:lang w:val="pt-BR"/>
        </w:rPr>
        <w:t xml:space="preserve">m consonância com </w:t>
      </w:r>
      <w:r w:rsidRPr="00C40BD9">
        <w:rPr>
          <w:rFonts w:ascii="Verdana" w:hAnsi="Verdana"/>
          <w:sz w:val="20"/>
          <w:szCs w:val="20"/>
          <w:lang w:val="pt-BR"/>
        </w:rPr>
        <w:t>a legisla</w:t>
      </w:r>
      <w:r w:rsidR="00F633DD" w:rsidRPr="00C40BD9">
        <w:rPr>
          <w:rFonts w:ascii="Verdana" w:hAnsi="Verdana"/>
          <w:sz w:val="20"/>
          <w:szCs w:val="20"/>
          <w:lang w:val="pt-BR"/>
        </w:rPr>
        <w:t>ção</w:t>
      </w:r>
      <w:r w:rsidRPr="00C40BD9">
        <w:rPr>
          <w:rFonts w:ascii="Verdana" w:hAnsi="Verdana"/>
          <w:sz w:val="20"/>
          <w:szCs w:val="20"/>
          <w:lang w:val="pt-BR"/>
        </w:rPr>
        <w:t xml:space="preserve"> interna aplic</w:t>
      </w:r>
      <w:r w:rsidR="00BE4317">
        <w:rPr>
          <w:rFonts w:ascii="Verdana" w:hAnsi="Verdana"/>
          <w:sz w:val="20"/>
          <w:szCs w:val="20"/>
          <w:lang w:val="pt-BR"/>
        </w:rPr>
        <w:t xml:space="preserve">ável às </w:t>
      </w:r>
      <w:r w:rsidRPr="00C40BD9">
        <w:rPr>
          <w:rFonts w:ascii="Verdana" w:hAnsi="Verdana"/>
          <w:sz w:val="20"/>
          <w:szCs w:val="20"/>
          <w:lang w:val="pt-BR"/>
        </w:rPr>
        <w:t>entidades públicas.</w:t>
      </w:r>
    </w:p>
    <w:p w:rsidR="0074017B" w:rsidRPr="00C40BD9" w:rsidRDefault="0074017B" w:rsidP="00A82FB4">
      <w:pPr>
        <w:pStyle w:val="ListParagraph"/>
        <w:rPr>
          <w:rFonts w:ascii="Verdana" w:hAnsi="Verdana"/>
          <w:sz w:val="20"/>
          <w:szCs w:val="20"/>
          <w:lang w:val="pt-BR"/>
        </w:rPr>
      </w:pPr>
      <w:r w:rsidRPr="00C40BD9">
        <w:rPr>
          <w:rFonts w:ascii="Verdana" w:hAnsi="Verdana"/>
          <w:sz w:val="20"/>
          <w:szCs w:val="20"/>
          <w:lang w:val="pt-BR"/>
        </w:rPr>
        <w:tab/>
      </w:r>
    </w:p>
    <w:p w:rsidR="008B0095" w:rsidRPr="00C40BD9" w:rsidRDefault="00BE4317" w:rsidP="00A82FB4">
      <w:pPr>
        <w:pStyle w:val="ListParagraph"/>
        <w:numPr>
          <w:ilvl w:val="0"/>
          <w:numId w:val="2"/>
        </w:numPr>
        <w:tabs>
          <w:tab w:val="clear" w:pos="1247"/>
        </w:tabs>
        <w:spacing w:after="0" w:line="240" w:lineRule="auto"/>
        <w:contextualSpacing w:val="0"/>
        <w:jc w:val="both"/>
        <w:rPr>
          <w:rFonts w:ascii="Verdana" w:hAnsi="Verdana"/>
          <w:sz w:val="20"/>
          <w:szCs w:val="20"/>
          <w:lang w:val="pt-BR"/>
        </w:rPr>
      </w:pPr>
      <w:r>
        <w:rPr>
          <w:rFonts w:ascii="Verdana" w:hAnsi="Verdana"/>
          <w:sz w:val="20"/>
          <w:szCs w:val="20"/>
          <w:lang w:val="pt-BR"/>
        </w:rPr>
        <w:t xml:space="preserve">Os </w:t>
      </w:r>
      <w:r w:rsidR="0074017B" w:rsidRPr="00C40BD9">
        <w:rPr>
          <w:rFonts w:ascii="Verdana" w:hAnsi="Verdana"/>
          <w:b/>
          <w:i/>
          <w:sz w:val="20"/>
          <w:szCs w:val="20"/>
          <w:lang w:val="pt-BR"/>
        </w:rPr>
        <w:t>representantes</w:t>
      </w:r>
      <w:r w:rsidR="0074017B" w:rsidRPr="00C40BD9">
        <w:rPr>
          <w:rFonts w:ascii="Verdana" w:hAnsi="Verdana"/>
          <w:sz w:val="20"/>
          <w:szCs w:val="20"/>
          <w:lang w:val="pt-BR"/>
        </w:rPr>
        <w:t xml:space="preserve"> </w:t>
      </w:r>
      <w:r w:rsidR="00F633DD" w:rsidRPr="00C40BD9">
        <w:rPr>
          <w:rFonts w:ascii="Verdana" w:hAnsi="Verdana"/>
          <w:sz w:val="20"/>
          <w:szCs w:val="20"/>
          <w:lang w:val="pt-BR"/>
        </w:rPr>
        <w:t>e</w:t>
      </w:r>
      <w:r w:rsidR="00DE316A">
        <w:rPr>
          <w:rFonts w:ascii="Verdana" w:hAnsi="Verdana"/>
          <w:sz w:val="20"/>
          <w:szCs w:val="20"/>
          <w:lang w:val="pt-BR"/>
        </w:rPr>
        <w:t xml:space="preserve"> </w:t>
      </w:r>
      <w:r w:rsidR="0074017B" w:rsidRPr="00C40BD9">
        <w:rPr>
          <w:rFonts w:ascii="Verdana" w:hAnsi="Verdana"/>
          <w:sz w:val="20"/>
          <w:szCs w:val="20"/>
          <w:lang w:val="pt-BR"/>
        </w:rPr>
        <w:t xml:space="preserve">a </w:t>
      </w:r>
      <w:r w:rsidR="00C06A9B" w:rsidRPr="00C40BD9">
        <w:rPr>
          <w:rFonts w:ascii="Verdana" w:hAnsi="Verdana"/>
          <w:b/>
          <w:i/>
          <w:sz w:val="20"/>
          <w:szCs w:val="20"/>
          <w:lang w:val="pt-BR"/>
        </w:rPr>
        <w:t>Comissão</w:t>
      </w:r>
      <w:r w:rsidR="00DE316A">
        <w:rPr>
          <w:rFonts w:ascii="Verdana" w:hAnsi="Verdana"/>
          <w:b/>
          <w:i/>
          <w:sz w:val="20"/>
          <w:szCs w:val="20"/>
          <w:lang w:val="pt-BR"/>
        </w:rPr>
        <w:t xml:space="preserve"> </w:t>
      </w:r>
      <w:r>
        <w:rPr>
          <w:rFonts w:ascii="Verdana" w:hAnsi="Verdana"/>
          <w:sz w:val="20"/>
          <w:szCs w:val="20"/>
          <w:lang w:val="pt-BR"/>
        </w:rPr>
        <w:t xml:space="preserve">reiteraram que a </w:t>
      </w:r>
      <w:r w:rsidR="00036A1B" w:rsidRPr="00C40BD9">
        <w:rPr>
          <w:rFonts w:ascii="Verdana" w:hAnsi="Verdana"/>
          <w:sz w:val="20"/>
          <w:szCs w:val="20"/>
          <w:lang w:val="pt-BR"/>
        </w:rPr>
        <w:t xml:space="preserve">Corte </w:t>
      </w:r>
      <w:r>
        <w:rPr>
          <w:rFonts w:ascii="Verdana" w:hAnsi="Verdana"/>
          <w:sz w:val="20"/>
          <w:szCs w:val="20"/>
          <w:lang w:val="pt-BR"/>
        </w:rPr>
        <w:t xml:space="preserve">decidiu sobre o mesmo questionamento </w:t>
      </w:r>
      <w:r w:rsidR="00970B13" w:rsidRPr="00C40BD9">
        <w:rPr>
          <w:rFonts w:ascii="Verdana" w:hAnsi="Verdana"/>
          <w:sz w:val="20"/>
          <w:szCs w:val="20"/>
          <w:lang w:val="pt-BR"/>
        </w:rPr>
        <w:t xml:space="preserve">do Estado </w:t>
      </w:r>
      <w:r w:rsidR="000814BE" w:rsidRPr="00C40BD9">
        <w:rPr>
          <w:rFonts w:ascii="Verdana" w:hAnsi="Verdana"/>
          <w:sz w:val="20"/>
          <w:szCs w:val="20"/>
          <w:lang w:val="pt-BR"/>
        </w:rPr>
        <w:t xml:space="preserve">na </w:t>
      </w:r>
      <w:r w:rsidR="00F633DD" w:rsidRPr="00C40BD9">
        <w:rPr>
          <w:rFonts w:ascii="Verdana" w:hAnsi="Verdana"/>
          <w:sz w:val="20"/>
          <w:szCs w:val="20"/>
          <w:lang w:val="pt-BR"/>
        </w:rPr>
        <w:t>Sentença</w:t>
      </w:r>
      <w:r w:rsidR="00DE316A">
        <w:rPr>
          <w:rFonts w:ascii="Verdana" w:hAnsi="Verdana"/>
          <w:sz w:val="20"/>
          <w:szCs w:val="20"/>
          <w:lang w:val="pt-BR"/>
        </w:rPr>
        <w:t xml:space="preserve"> </w:t>
      </w:r>
      <w:r w:rsidR="005E5AAB" w:rsidRPr="00C40BD9">
        <w:rPr>
          <w:rFonts w:ascii="Verdana" w:hAnsi="Verdana"/>
          <w:sz w:val="20"/>
          <w:szCs w:val="20"/>
          <w:lang w:val="pt-BR"/>
        </w:rPr>
        <w:t>de Interpreta</w:t>
      </w:r>
      <w:r w:rsidR="00F633DD" w:rsidRPr="00C40BD9">
        <w:rPr>
          <w:rFonts w:ascii="Verdana" w:hAnsi="Verdana"/>
          <w:sz w:val="20"/>
          <w:szCs w:val="20"/>
          <w:lang w:val="pt-BR"/>
        </w:rPr>
        <w:t>ção</w:t>
      </w:r>
      <w:r w:rsidR="005E5AAB" w:rsidRPr="00C40BD9">
        <w:rPr>
          <w:rFonts w:ascii="Verdana" w:hAnsi="Verdana"/>
          <w:sz w:val="20"/>
          <w:szCs w:val="20"/>
          <w:lang w:val="pt-BR"/>
        </w:rPr>
        <w:t xml:space="preserve"> d</w:t>
      </w:r>
      <w:r>
        <w:rPr>
          <w:rFonts w:ascii="Verdana" w:hAnsi="Verdana"/>
          <w:sz w:val="20"/>
          <w:szCs w:val="20"/>
          <w:lang w:val="pt-BR"/>
        </w:rPr>
        <w:t xml:space="preserve">o </w:t>
      </w:r>
      <w:r w:rsidR="00C26035" w:rsidRPr="00C40BD9">
        <w:rPr>
          <w:rFonts w:ascii="Verdana" w:hAnsi="Verdana"/>
          <w:sz w:val="20"/>
          <w:szCs w:val="20"/>
          <w:lang w:val="pt-BR"/>
        </w:rPr>
        <w:t xml:space="preserve">Caso </w:t>
      </w:r>
      <w:r>
        <w:rPr>
          <w:rFonts w:ascii="Verdana" w:hAnsi="Verdana"/>
          <w:sz w:val="20"/>
          <w:szCs w:val="20"/>
          <w:lang w:val="pt-BR"/>
        </w:rPr>
        <w:t xml:space="preserve">Trabalhadores da Fazenda </w:t>
      </w:r>
      <w:r w:rsidR="005E5AAB" w:rsidRPr="00C40BD9">
        <w:rPr>
          <w:rFonts w:ascii="Verdana" w:hAnsi="Verdana"/>
          <w:sz w:val="20"/>
          <w:szCs w:val="20"/>
          <w:lang w:val="pt-BR"/>
        </w:rPr>
        <w:t>Brasil Verde</w:t>
      </w:r>
      <w:r w:rsidR="00C26035" w:rsidRPr="00C40BD9">
        <w:rPr>
          <w:rFonts w:ascii="Verdana" w:hAnsi="Verdana"/>
          <w:sz w:val="20"/>
          <w:szCs w:val="20"/>
          <w:lang w:val="pt-BR"/>
        </w:rPr>
        <w:t>, de mane</w:t>
      </w:r>
      <w:r>
        <w:rPr>
          <w:rFonts w:ascii="Verdana" w:hAnsi="Verdana"/>
          <w:sz w:val="20"/>
          <w:szCs w:val="20"/>
          <w:lang w:val="pt-BR"/>
        </w:rPr>
        <w:t>i</w:t>
      </w:r>
      <w:r w:rsidR="00C26035" w:rsidRPr="00C40BD9">
        <w:rPr>
          <w:rFonts w:ascii="Verdana" w:hAnsi="Verdana"/>
          <w:sz w:val="20"/>
          <w:szCs w:val="20"/>
          <w:lang w:val="pt-BR"/>
        </w:rPr>
        <w:t>ra que pod</w:t>
      </w:r>
      <w:r>
        <w:rPr>
          <w:rFonts w:ascii="Verdana" w:hAnsi="Verdana"/>
          <w:sz w:val="20"/>
          <w:szCs w:val="20"/>
          <w:lang w:val="pt-BR"/>
        </w:rPr>
        <w:t xml:space="preserve">eria </w:t>
      </w:r>
      <w:r w:rsidR="00C26035" w:rsidRPr="00C40BD9">
        <w:rPr>
          <w:rFonts w:ascii="Verdana" w:hAnsi="Verdana"/>
          <w:sz w:val="20"/>
          <w:szCs w:val="20"/>
          <w:lang w:val="pt-BR"/>
        </w:rPr>
        <w:t>reiterar su</w:t>
      </w:r>
      <w:r>
        <w:rPr>
          <w:rFonts w:ascii="Verdana" w:hAnsi="Verdana"/>
          <w:sz w:val="20"/>
          <w:szCs w:val="20"/>
          <w:lang w:val="pt-BR"/>
        </w:rPr>
        <w:t>a</w:t>
      </w:r>
      <w:r w:rsidR="00C26035" w:rsidRPr="00C40BD9">
        <w:rPr>
          <w:rFonts w:ascii="Verdana" w:hAnsi="Verdana"/>
          <w:sz w:val="20"/>
          <w:szCs w:val="20"/>
          <w:lang w:val="pt-BR"/>
        </w:rPr>
        <w:t>s considera</w:t>
      </w:r>
      <w:r w:rsidR="00F633DD" w:rsidRPr="00C40BD9">
        <w:rPr>
          <w:rFonts w:ascii="Verdana" w:hAnsi="Verdana"/>
          <w:sz w:val="20"/>
          <w:szCs w:val="20"/>
          <w:lang w:val="pt-BR"/>
        </w:rPr>
        <w:t>ções</w:t>
      </w:r>
      <w:r w:rsidR="00C26035" w:rsidRPr="00C40BD9">
        <w:rPr>
          <w:rFonts w:ascii="Verdana" w:hAnsi="Verdana"/>
          <w:sz w:val="20"/>
          <w:szCs w:val="20"/>
          <w:lang w:val="pt-BR"/>
        </w:rPr>
        <w:t xml:space="preserve"> a</w:t>
      </w:r>
      <w:r>
        <w:rPr>
          <w:rFonts w:ascii="Verdana" w:hAnsi="Verdana"/>
          <w:sz w:val="20"/>
          <w:szCs w:val="20"/>
          <w:lang w:val="pt-BR"/>
        </w:rPr>
        <w:t xml:space="preserve"> esse respeito</w:t>
      </w:r>
      <w:r w:rsidR="00C26035" w:rsidRPr="00C40BD9">
        <w:rPr>
          <w:rFonts w:ascii="Verdana" w:hAnsi="Verdana"/>
          <w:sz w:val="20"/>
          <w:szCs w:val="20"/>
          <w:lang w:val="pt-BR"/>
        </w:rPr>
        <w:t>.</w:t>
      </w:r>
    </w:p>
    <w:p w:rsidR="0074017B" w:rsidRPr="00C40BD9" w:rsidRDefault="0074017B" w:rsidP="00A82FB4">
      <w:pPr>
        <w:pStyle w:val="ListParagraph"/>
        <w:spacing w:after="0" w:line="240" w:lineRule="auto"/>
        <w:ind w:left="0"/>
        <w:contextualSpacing w:val="0"/>
        <w:jc w:val="both"/>
        <w:rPr>
          <w:rFonts w:ascii="Verdana" w:hAnsi="Verdana"/>
          <w:i/>
          <w:color w:val="FF0000"/>
          <w:sz w:val="20"/>
          <w:szCs w:val="20"/>
          <w:lang w:val="pt-BR"/>
        </w:rPr>
      </w:pPr>
    </w:p>
    <w:p w:rsidR="0074017B" w:rsidRPr="00C40BD9" w:rsidRDefault="00FC2D19" w:rsidP="00A82FB4">
      <w:pPr>
        <w:pStyle w:val="ListParagraph"/>
        <w:spacing w:after="0" w:line="240" w:lineRule="auto"/>
        <w:ind w:left="0" w:firstLine="708"/>
        <w:contextualSpacing w:val="0"/>
        <w:jc w:val="both"/>
        <w:rPr>
          <w:rFonts w:ascii="Verdana" w:hAnsi="Verdana"/>
          <w:i/>
          <w:sz w:val="20"/>
          <w:szCs w:val="20"/>
          <w:lang w:val="pt-BR"/>
        </w:rPr>
      </w:pPr>
      <w:r w:rsidRPr="00C40BD9">
        <w:rPr>
          <w:rFonts w:ascii="Verdana" w:hAnsi="Verdana"/>
          <w:i/>
          <w:sz w:val="20"/>
          <w:szCs w:val="20"/>
          <w:lang w:val="pt-BR"/>
        </w:rPr>
        <w:t xml:space="preserve">D.3.2. </w:t>
      </w:r>
      <w:r w:rsidR="0074017B" w:rsidRPr="00C40BD9">
        <w:rPr>
          <w:rFonts w:ascii="Verdana" w:hAnsi="Verdana"/>
          <w:i/>
          <w:sz w:val="20"/>
          <w:szCs w:val="20"/>
          <w:lang w:val="pt-BR"/>
        </w:rPr>
        <w:t>Considera</w:t>
      </w:r>
      <w:r w:rsidR="00F633DD" w:rsidRPr="00C40BD9">
        <w:rPr>
          <w:rFonts w:ascii="Verdana" w:hAnsi="Verdana"/>
          <w:i/>
          <w:sz w:val="20"/>
          <w:szCs w:val="20"/>
          <w:lang w:val="pt-BR"/>
        </w:rPr>
        <w:t>ções</w:t>
      </w:r>
      <w:r w:rsidR="0074017B" w:rsidRPr="00C40BD9">
        <w:rPr>
          <w:rFonts w:ascii="Verdana" w:hAnsi="Verdana"/>
          <w:i/>
          <w:sz w:val="20"/>
          <w:szCs w:val="20"/>
          <w:lang w:val="pt-BR"/>
        </w:rPr>
        <w:t xml:space="preserve"> </w:t>
      </w:r>
      <w:r w:rsidR="00F633DD" w:rsidRPr="00C40BD9">
        <w:rPr>
          <w:rFonts w:ascii="Verdana" w:hAnsi="Verdana"/>
          <w:i/>
          <w:sz w:val="20"/>
          <w:szCs w:val="20"/>
          <w:lang w:val="pt-BR"/>
        </w:rPr>
        <w:t xml:space="preserve">da </w:t>
      </w:r>
      <w:r w:rsidR="0074017B" w:rsidRPr="00C40BD9">
        <w:rPr>
          <w:rFonts w:ascii="Verdana" w:hAnsi="Verdana"/>
          <w:i/>
          <w:sz w:val="20"/>
          <w:szCs w:val="20"/>
          <w:lang w:val="pt-BR"/>
        </w:rPr>
        <w:t>Corte</w:t>
      </w:r>
    </w:p>
    <w:p w:rsidR="0074017B" w:rsidRPr="00C40BD9" w:rsidRDefault="0074017B" w:rsidP="00A82FB4">
      <w:pPr>
        <w:pStyle w:val="ListParagraph"/>
        <w:spacing w:after="0" w:line="240" w:lineRule="auto"/>
        <w:ind w:left="0"/>
        <w:contextualSpacing w:val="0"/>
        <w:jc w:val="both"/>
        <w:rPr>
          <w:rFonts w:ascii="Verdana" w:hAnsi="Verdana"/>
          <w:sz w:val="20"/>
          <w:szCs w:val="20"/>
          <w:lang w:val="pt-BR"/>
        </w:rPr>
      </w:pPr>
    </w:p>
    <w:p w:rsidR="00DD19A2" w:rsidRPr="00C40BD9" w:rsidRDefault="0074017B" w:rsidP="00A82FB4">
      <w:pPr>
        <w:pStyle w:val="ListParagraph"/>
        <w:numPr>
          <w:ilvl w:val="0"/>
          <w:numId w:val="2"/>
        </w:numPr>
        <w:tabs>
          <w:tab w:val="clear" w:pos="1247"/>
        </w:tabs>
        <w:spacing w:after="0" w:line="240" w:lineRule="auto"/>
        <w:contextualSpacing w:val="0"/>
        <w:jc w:val="both"/>
        <w:rPr>
          <w:rFonts w:ascii="Verdana" w:hAnsi="Verdana"/>
          <w:sz w:val="20"/>
          <w:szCs w:val="20"/>
          <w:lang w:val="pt-BR"/>
        </w:rPr>
      </w:pPr>
      <w:r w:rsidRPr="00C40BD9">
        <w:rPr>
          <w:rFonts w:ascii="Verdana" w:hAnsi="Verdana"/>
          <w:sz w:val="20"/>
          <w:szCs w:val="20"/>
          <w:lang w:val="pt-BR"/>
        </w:rPr>
        <w:t xml:space="preserve">De </w:t>
      </w:r>
      <w:r w:rsidR="00340D1C" w:rsidRPr="00C40BD9">
        <w:rPr>
          <w:rFonts w:ascii="Verdana" w:hAnsi="Verdana"/>
          <w:sz w:val="20"/>
          <w:szCs w:val="20"/>
          <w:lang w:val="pt-BR"/>
        </w:rPr>
        <w:t>acordo</w:t>
      </w:r>
      <w:r w:rsidR="00DE316A">
        <w:rPr>
          <w:rFonts w:ascii="Verdana" w:hAnsi="Verdana"/>
          <w:sz w:val="20"/>
          <w:szCs w:val="20"/>
          <w:lang w:val="pt-BR"/>
        </w:rPr>
        <w:t xml:space="preserve"> </w:t>
      </w:r>
      <w:r w:rsidRPr="00C40BD9">
        <w:rPr>
          <w:rFonts w:ascii="Verdana" w:hAnsi="Verdana"/>
          <w:sz w:val="20"/>
          <w:szCs w:val="20"/>
          <w:lang w:val="pt-BR"/>
        </w:rPr>
        <w:t>co</w:t>
      </w:r>
      <w:r w:rsidR="00BE4317">
        <w:rPr>
          <w:rFonts w:ascii="Verdana" w:hAnsi="Verdana"/>
          <w:sz w:val="20"/>
          <w:szCs w:val="20"/>
          <w:lang w:val="pt-BR"/>
        </w:rPr>
        <w:t xml:space="preserve">m o </w:t>
      </w:r>
      <w:r w:rsidR="00C06A9B" w:rsidRPr="00C40BD9">
        <w:rPr>
          <w:rFonts w:ascii="Verdana" w:hAnsi="Verdana"/>
          <w:sz w:val="20"/>
          <w:szCs w:val="20"/>
          <w:lang w:val="pt-BR"/>
        </w:rPr>
        <w:t>parágrafo</w:t>
      </w:r>
      <w:r w:rsidR="00DE316A">
        <w:rPr>
          <w:rFonts w:ascii="Verdana" w:hAnsi="Verdana"/>
          <w:sz w:val="20"/>
          <w:szCs w:val="20"/>
          <w:lang w:val="pt-BR"/>
        </w:rPr>
        <w:t xml:space="preserve"> </w:t>
      </w:r>
      <w:r w:rsidRPr="00C40BD9">
        <w:rPr>
          <w:rFonts w:ascii="Verdana" w:hAnsi="Verdana"/>
          <w:sz w:val="20"/>
          <w:szCs w:val="20"/>
          <w:lang w:val="pt-BR"/>
        </w:rPr>
        <w:t xml:space="preserve">368 </w:t>
      </w:r>
      <w:r w:rsidR="00F633DD" w:rsidRPr="00C40BD9">
        <w:rPr>
          <w:rFonts w:ascii="Verdana" w:hAnsi="Verdana"/>
          <w:sz w:val="20"/>
          <w:szCs w:val="20"/>
          <w:lang w:val="pt-BR"/>
        </w:rPr>
        <w:t>da Sentença</w:t>
      </w:r>
      <w:r w:rsidR="00DE316A">
        <w:rPr>
          <w:rFonts w:ascii="Verdana" w:hAnsi="Verdana"/>
          <w:sz w:val="20"/>
          <w:szCs w:val="20"/>
          <w:lang w:val="pt-BR"/>
        </w:rPr>
        <w:t xml:space="preserve"> </w:t>
      </w:r>
      <w:r w:rsidR="00F633DD" w:rsidRPr="00C40BD9">
        <w:rPr>
          <w:rFonts w:ascii="Verdana" w:hAnsi="Verdana"/>
          <w:sz w:val="20"/>
          <w:szCs w:val="20"/>
          <w:lang w:val="pt-BR"/>
        </w:rPr>
        <w:t xml:space="preserve">da </w:t>
      </w:r>
      <w:r w:rsidRPr="00C40BD9">
        <w:rPr>
          <w:rFonts w:ascii="Verdana" w:hAnsi="Verdana"/>
          <w:sz w:val="20"/>
          <w:szCs w:val="20"/>
          <w:lang w:val="pt-BR"/>
        </w:rPr>
        <w:t>Corte:</w:t>
      </w:r>
    </w:p>
    <w:p w:rsidR="0074017B" w:rsidRPr="00C40BD9" w:rsidRDefault="0074017B" w:rsidP="00A82FB4">
      <w:pPr>
        <w:pStyle w:val="ListParagraph"/>
        <w:autoSpaceDE w:val="0"/>
        <w:autoSpaceDN w:val="0"/>
        <w:adjustRightInd w:val="0"/>
        <w:spacing w:after="0" w:line="240" w:lineRule="auto"/>
        <w:ind w:left="0"/>
        <w:contextualSpacing w:val="0"/>
        <w:jc w:val="both"/>
        <w:rPr>
          <w:rFonts w:ascii="Verdana" w:eastAsiaTheme="minorHAnsi" w:hAnsi="Verdana" w:cs="Verdana"/>
          <w:sz w:val="18"/>
          <w:szCs w:val="18"/>
          <w:lang w:val="pt-BR"/>
        </w:rPr>
      </w:pPr>
    </w:p>
    <w:p w:rsidR="00E66658" w:rsidRPr="00C40BD9" w:rsidRDefault="00BE4317" w:rsidP="00A82FB4">
      <w:pPr>
        <w:pStyle w:val="ListParagraph"/>
        <w:spacing w:after="0" w:line="240" w:lineRule="auto"/>
        <w:jc w:val="both"/>
        <w:rPr>
          <w:rFonts w:ascii="Verdana" w:hAnsi="Verdana"/>
          <w:b/>
          <w:sz w:val="20"/>
          <w:szCs w:val="20"/>
          <w:lang w:val="pt-BR"/>
        </w:rPr>
      </w:pPr>
      <w:r w:rsidRPr="00BE4317">
        <w:rPr>
          <w:rFonts w:ascii="Verdana" w:hAnsi="Verdana"/>
          <w:sz w:val="20"/>
          <w:szCs w:val="20"/>
          <w:lang w:val="pt-BR"/>
        </w:rPr>
        <w:t>Caso o Estado incorra em mora, deverá pagar juros sobre a quantia devida, correspondente aos juros de mora bancários vigentes na República Federativa do Brasil</w:t>
      </w:r>
      <w:r w:rsidR="00140630">
        <w:rPr>
          <w:rFonts w:ascii="Verdana" w:hAnsi="Verdana"/>
          <w:sz w:val="20"/>
          <w:szCs w:val="20"/>
          <w:lang w:val="pt-BR"/>
        </w:rPr>
        <w:t>.</w:t>
      </w:r>
    </w:p>
    <w:p w:rsidR="00E66658" w:rsidRPr="00C40BD9" w:rsidRDefault="00E66658" w:rsidP="00A82FB4">
      <w:pPr>
        <w:pStyle w:val="ListParagraph"/>
        <w:spacing w:after="0" w:line="240" w:lineRule="auto"/>
        <w:jc w:val="both"/>
        <w:rPr>
          <w:rFonts w:ascii="Verdana" w:hAnsi="Verdana"/>
          <w:b/>
          <w:sz w:val="20"/>
          <w:szCs w:val="20"/>
          <w:lang w:val="pt-BR"/>
        </w:rPr>
      </w:pPr>
    </w:p>
    <w:p w:rsidR="00E66658" w:rsidRPr="00C40BD9" w:rsidRDefault="00BE4317" w:rsidP="00A82FB4">
      <w:pPr>
        <w:pStyle w:val="ListParagraph"/>
        <w:numPr>
          <w:ilvl w:val="0"/>
          <w:numId w:val="2"/>
        </w:numPr>
        <w:tabs>
          <w:tab w:val="clear" w:pos="1247"/>
        </w:tabs>
        <w:spacing w:after="0" w:line="240" w:lineRule="auto"/>
        <w:jc w:val="both"/>
        <w:rPr>
          <w:rFonts w:ascii="Verdana" w:hAnsi="Verdana"/>
          <w:sz w:val="20"/>
          <w:szCs w:val="20"/>
          <w:lang w:val="pt-BR"/>
        </w:rPr>
      </w:pPr>
      <w:r w:rsidRPr="00BE4317">
        <w:rPr>
          <w:rFonts w:ascii="Verdana" w:hAnsi="Verdana"/>
          <w:sz w:val="20"/>
          <w:szCs w:val="20"/>
          <w:lang w:val="pt-BR"/>
        </w:rPr>
        <w:lastRenderedPageBreak/>
        <w:t xml:space="preserve">No que se refere à primeira </w:t>
      </w:r>
      <w:r w:rsidR="0074017B" w:rsidRPr="00BE4317">
        <w:rPr>
          <w:rFonts w:ascii="Verdana" w:eastAsiaTheme="minorHAnsi" w:hAnsi="Verdana" w:cs="Verdana"/>
          <w:color w:val="000000"/>
          <w:sz w:val="20"/>
          <w:szCs w:val="20"/>
          <w:lang w:val="pt-BR"/>
        </w:rPr>
        <w:t xml:space="preserve">parte </w:t>
      </w:r>
      <w:r w:rsidR="00F633DD" w:rsidRPr="00BE4317">
        <w:rPr>
          <w:rFonts w:ascii="Verdana" w:eastAsiaTheme="minorHAnsi" w:hAnsi="Verdana" w:cs="Verdana"/>
          <w:color w:val="000000"/>
          <w:sz w:val="20"/>
          <w:szCs w:val="20"/>
          <w:lang w:val="pt-BR"/>
        </w:rPr>
        <w:t xml:space="preserve">da </w:t>
      </w:r>
      <w:r w:rsidR="0074017B" w:rsidRPr="00BE4317">
        <w:rPr>
          <w:rFonts w:ascii="Verdana" w:eastAsiaTheme="minorHAnsi" w:hAnsi="Verdana" w:cs="Verdana"/>
          <w:color w:val="000000"/>
          <w:sz w:val="20"/>
          <w:szCs w:val="20"/>
          <w:lang w:val="pt-BR"/>
        </w:rPr>
        <w:t>consulta d</w:t>
      </w:r>
      <w:r w:rsidRPr="00BE4317">
        <w:rPr>
          <w:rFonts w:ascii="Verdana" w:eastAsiaTheme="minorHAnsi" w:hAnsi="Verdana" w:cs="Verdana"/>
          <w:color w:val="000000"/>
          <w:sz w:val="20"/>
          <w:szCs w:val="20"/>
          <w:lang w:val="pt-BR"/>
        </w:rPr>
        <w:t>o</w:t>
      </w:r>
      <w:r w:rsidR="0074017B" w:rsidRPr="00BE4317">
        <w:rPr>
          <w:rFonts w:ascii="Verdana" w:eastAsiaTheme="minorHAnsi" w:hAnsi="Verdana" w:cs="Verdana"/>
          <w:color w:val="000000"/>
          <w:sz w:val="20"/>
          <w:szCs w:val="20"/>
          <w:lang w:val="pt-BR"/>
        </w:rPr>
        <w:t xml:space="preserve"> Estado, </w:t>
      </w:r>
      <w:r w:rsidR="00036A1B" w:rsidRPr="00BE4317">
        <w:rPr>
          <w:rFonts w:ascii="Verdana" w:eastAsiaTheme="minorHAnsi" w:hAnsi="Verdana" w:cs="Verdana"/>
          <w:color w:val="000000"/>
          <w:sz w:val="20"/>
          <w:szCs w:val="20"/>
          <w:lang w:val="pt-BR"/>
        </w:rPr>
        <w:t xml:space="preserve">a Corte </w:t>
      </w:r>
      <w:r w:rsidRPr="00BE4317">
        <w:rPr>
          <w:rFonts w:ascii="Verdana" w:eastAsiaTheme="minorHAnsi" w:hAnsi="Verdana" w:cs="Verdana"/>
          <w:color w:val="000000"/>
          <w:sz w:val="20"/>
          <w:szCs w:val="20"/>
          <w:lang w:val="pt-BR"/>
        </w:rPr>
        <w:t xml:space="preserve">esclarece que o </w:t>
      </w:r>
      <w:r w:rsidR="00C06A9B" w:rsidRPr="00BE4317">
        <w:rPr>
          <w:rFonts w:ascii="Verdana" w:eastAsiaTheme="minorHAnsi" w:hAnsi="Verdana" w:cs="Verdana"/>
          <w:color w:val="000000"/>
          <w:sz w:val="20"/>
          <w:szCs w:val="20"/>
          <w:lang w:val="pt-BR"/>
        </w:rPr>
        <w:t>parágrafo</w:t>
      </w:r>
      <w:r w:rsidR="00DE316A">
        <w:rPr>
          <w:rFonts w:ascii="Verdana" w:eastAsiaTheme="minorHAnsi" w:hAnsi="Verdana" w:cs="Verdana"/>
          <w:color w:val="000000"/>
          <w:sz w:val="20"/>
          <w:szCs w:val="20"/>
          <w:lang w:val="pt-BR"/>
        </w:rPr>
        <w:t xml:space="preserve"> </w:t>
      </w:r>
      <w:r w:rsidR="0074017B" w:rsidRPr="00BE4317">
        <w:rPr>
          <w:rFonts w:ascii="Verdana" w:eastAsiaTheme="minorHAnsi" w:hAnsi="Verdana" w:cs="Verdana"/>
          <w:color w:val="000000"/>
          <w:sz w:val="20"/>
          <w:szCs w:val="20"/>
          <w:lang w:val="pt-BR"/>
        </w:rPr>
        <w:t xml:space="preserve">368 </w:t>
      </w:r>
      <w:r w:rsidR="006770ED" w:rsidRPr="00BE4317">
        <w:rPr>
          <w:rFonts w:ascii="Verdana" w:eastAsiaTheme="minorHAnsi" w:hAnsi="Verdana" w:cs="Verdana"/>
          <w:color w:val="000000"/>
          <w:sz w:val="20"/>
          <w:szCs w:val="20"/>
          <w:lang w:val="pt-BR"/>
        </w:rPr>
        <w:t>deve</w:t>
      </w:r>
      <w:r w:rsidR="00DE316A">
        <w:rPr>
          <w:rFonts w:ascii="Verdana" w:eastAsiaTheme="minorHAnsi" w:hAnsi="Verdana" w:cs="Verdana"/>
          <w:color w:val="000000"/>
          <w:sz w:val="20"/>
          <w:szCs w:val="20"/>
          <w:lang w:val="pt-BR"/>
        </w:rPr>
        <w:t xml:space="preserve"> </w:t>
      </w:r>
      <w:r w:rsidR="0074017B" w:rsidRPr="00BE4317">
        <w:rPr>
          <w:rFonts w:ascii="Verdana" w:eastAsiaTheme="minorHAnsi" w:hAnsi="Verdana" w:cs="Verdana"/>
          <w:color w:val="000000"/>
          <w:sz w:val="20"/>
          <w:szCs w:val="20"/>
          <w:lang w:val="pt-BR"/>
        </w:rPr>
        <w:t>ser interpretado e</w:t>
      </w:r>
      <w:r>
        <w:rPr>
          <w:rFonts w:ascii="Verdana" w:eastAsiaTheme="minorHAnsi" w:hAnsi="Verdana" w:cs="Verdana"/>
          <w:color w:val="000000"/>
          <w:sz w:val="20"/>
          <w:szCs w:val="20"/>
          <w:lang w:val="pt-BR"/>
        </w:rPr>
        <w:t xml:space="preserve">m consonância com o </w:t>
      </w:r>
      <w:r w:rsidR="00C06A9B" w:rsidRPr="00BE4317">
        <w:rPr>
          <w:rFonts w:ascii="Verdana" w:eastAsiaTheme="minorHAnsi" w:hAnsi="Verdana" w:cs="Verdana"/>
          <w:color w:val="000000"/>
          <w:sz w:val="20"/>
          <w:szCs w:val="20"/>
          <w:lang w:val="pt-BR"/>
        </w:rPr>
        <w:t>parágrafo</w:t>
      </w:r>
      <w:r w:rsidR="00DE316A">
        <w:rPr>
          <w:rFonts w:ascii="Verdana" w:eastAsiaTheme="minorHAnsi" w:hAnsi="Verdana" w:cs="Verdana"/>
          <w:color w:val="000000"/>
          <w:sz w:val="20"/>
          <w:szCs w:val="20"/>
          <w:lang w:val="pt-BR"/>
        </w:rPr>
        <w:t xml:space="preserve"> </w:t>
      </w:r>
      <w:r w:rsidR="0074017B" w:rsidRPr="00BE4317">
        <w:rPr>
          <w:rFonts w:ascii="Verdana" w:eastAsiaTheme="minorHAnsi" w:hAnsi="Verdana" w:cs="Verdana"/>
          <w:color w:val="000000"/>
          <w:sz w:val="20"/>
          <w:szCs w:val="20"/>
          <w:lang w:val="pt-BR"/>
        </w:rPr>
        <w:t xml:space="preserve">365, </w:t>
      </w:r>
      <w:r>
        <w:rPr>
          <w:rFonts w:ascii="Verdana" w:eastAsiaTheme="minorHAnsi" w:hAnsi="Verdana" w:cs="Verdana"/>
          <w:color w:val="000000"/>
          <w:sz w:val="20"/>
          <w:szCs w:val="20"/>
          <w:lang w:val="pt-BR"/>
        </w:rPr>
        <w:t xml:space="preserve">que </w:t>
      </w:r>
      <w:r w:rsidR="0074017B" w:rsidRPr="00BE4317">
        <w:rPr>
          <w:rFonts w:ascii="Verdana" w:eastAsiaTheme="minorHAnsi" w:hAnsi="Verdana" w:cs="Verdana"/>
          <w:color w:val="000000"/>
          <w:sz w:val="20"/>
          <w:szCs w:val="20"/>
          <w:lang w:val="pt-BR"/>
        </w:rPr>
        <w:t>determina c</w:t>
      </w:r>
      <w:r>
        <w:rPr>
          <w:rFonts w:ascii="Verdana" w:eastAsiaTheme="minorHAnsi" w:hAnsi="Verdana" w:cs="Verdana"/>
          <w:color w:val="000000"/>
          <w:sz w:val="20"/>
          <w:szCs w:val="20"/>
          <w:lang w:val="pt-BR"/>
        </w:rPr>
        <w:t>o</w:t>
      </w:r>
      <w:r w:rsidR="0074017B" w:rsidRPr="00BE4317">
        <w:rPr>
          <w:rFonts w:ascii="Verdana" w:eastAsiaTheme="minorHAnsi" w:hAnsi="Verdana" w:cs="Verdana"/>
          <w:color w:val="000000"/>
          <w:sz w:val="20"/>
          <w:szCs w:val="20"/>
          <w:lang w:val="pt-BR"/>
        </w:rPr>
        <w:t xml:space="preserve">mo será efetuado </w:t>
      </w:r>
      <w:r>
        <w:rPr>
          <w:rFonts w:ascii="Verdana" w:eastAsiaTheme="minorHAnsi" w:hAnsi="Verdana" w:cs="Verdana"/>
          <w:color w:val="000000"/>
          <w:sz w:val="20"/>
          <w:szCs w:val="20"/>
          <w:lang w:val="pt-BR"/>
        </w:rPr>
        <w:t xml:space="preserve">o pagamento </w:t>
      </w:r>
      <w:r w:rsidR="00F633DD" w:rsidRPr="00BE4317">
        <w:rPr>
          <w:rFonts w:ascii="Verdana" w:eastAsiaTheme="minorHAnsi" w:hAnsi="Verdana" w:cs="Verdana"/>
          <w:color w:val="000000"/>
          <w:sz w:val="20"/>
          <w:szCs w:val="20"/>
          <w:lang w:val="pt-BR"/>
        </w:rPr>
        <w:t xml:space="preserve">da </w:t>
      </w:r>
      <w:r w:rsidR="0074017B" w:rsidRPr="00BE4317">
        <w:rPr>
          <w:rFonts w:ascii="Verdana" w:eastAsiaTheme="minorHAnsi" w:hAnsi="Verdana" w:cs="Verdana"/>
          <w:color w:val="000000"/>
          <w:sz w:val="20"/>
          <w:szCs w:val="20"/>
          <w:lang w:val="pt-BR"/>
        </w:rPr>
        <w:t>indeniza</w:t>
      </w:r>
      <w:r w:rsidR="00F633DD" w:rsidRPr="00BE4317">
        <w:rPr>
          <w:rFonts w:ascii="Verdana" w:eastAsiaTheme="minorHAnsi" w:hAnsi="Verdana" w:cs="Verdana"/>
          <w:color w:val="000000"/>
          <w:sz w:val="20"/>
          <w:szCs w:val="20"/>
          <w:lang w:val="pt-BR"/>
        </w:rPr>
        <w:t>ção</w:t>
      </w:r>
      <w:r w:rsidR="0074017B" w:rsidRPr="00BE4317">
        <w:rPr>
          <w:rFonts w:ascii="Verdana" w:eastAsiaTheme="minorHAnsi" w:hAnsi="Verdana" w:cs="Verdana"/>
          <w:color w:val="000000"/>
          <w:sz w:val="20"/>
          <w:szCs w:val="20"/>
          <w:lang w:val="pt-BR"/>
        </w:rPr>
        <w:t xml:space="preserve"> e</w:t>
      </w:r>
      <w:r>
        <w:rPr>
          <w:rFonts w:ascii="Verdana" w:eastAsiaTheme="minorHAnsi" w:hAnsi="Verdana" w:cs="Verdana"/>
          <w:color w:val="000000"/>
          <w:sz w:val="20"/>
          <w:szCs w:val="20"/>
          <w:lang w:val="pt-BR"/>
        </w:rPr>
        <w:t>m</w:t>
      </w:r>
      <w:r w:rsidR="007D110F" w:rsidRPr="00BE4317">
        <w:rPr>
          <w:rFonts w:ascii="Verdana" w:eastAsiaTheme="minorHAnsi" w:hAnsi="Verdana" w:cs="Verdana"/>
          <w:color w:val="000000"/>
          <w:sz w:val="20"/>
          <w:szCs w:val="20"/>
          <w:lang w:val="pt-BR"/>
        </w:rPr>
        <w:t xml:space="preserve"> </w:t>
      </w:r>
      <w:r w:rsidR="0074017B" w:rsidRPr="00BE4317">
        <w:rPr>
          <w:rFonts w:ascii="Verdana" w:eastAsiaTheme="minorHAnsi" w:hAnsi="Verdana" w:cs="Verdana"/>
          <w:color w:val="000000"/>
          <w:sz w:val="20"/>
          <w:szCs w:val="20"/>
          <w:lang w:val="pt-BR"/>
        </w:rPr>
        <w:t>moeda brasile</w:t>
      </w:r>
      <w:r>
        <w:rPr>
          <w:rFonts w:ascii="Verdana" w:eastAsiaTheme="minorHAnsi" w:hAnsi="Verdana" w:cs="Verdana"/>
          <w:color w:val="000000"/>
          <w:sz w:val="20"/>
          <w:szCs w:val="20"/>
          <w:lang w:val="pt-BR"/>
        </w:rPr>
        <w:t>ir</w:t>
      </w:r>
      <w:r w:rsidR="0074017B" w:rsidRPr="00BE4317">
        <w:rPr>
          <w:rFonts w:ascii="Verdana" w:eastAsiaTheme="minorHAnsi" w:hAnsi="Verdana" w:cs="Verdana"/>
          <w:color w:val="000000"/>
          <w:sz w:val="20"/>
          <w:szCs w:val="20"/>
          <w:lang w:val="pt-BR"/>
        </w:rPr>
        <w:t xml:space="preserve">a. </w:t>
      </w:r>
      <w:r w:rsidR="0074017B" w:rsidRPr="00C40BD9">
        <w:rPr>
          <w:rFonts w:ascii="Verdana" w:eastAsiaTheme="minorHAnsi" w:hAnsi="Verdana" w:cs="Verdana"/>
          <w:color w:val="000000"/>
          <w:sz w:val="20"/>
          <w:szCs w:val="20"/>
          <w:lang w:val="pt-BR"/>
        </w:rPr>
        <w:t>De</w:t>
      </w:r>
      <w:r>
        <w:rPr>
          <w:rFonts w:ascii="Verdana" w:eastAsiaTheme="minorHAnsi" w:hAnsi="Verdana" w:cs="Verdana"/>
          <w:color w:val="000000"/>
          <w:sz w:val="20"/>
          <w:szCs w:val="20"/>
          <w:lang w:val="pt-BR"/>
        </w:rPr>
        <w:t>ssa</w:t>
      </w:r>
      <w:r w:rsidR="0074017B" w:rsidRPr="00C40BD9">
        <w:rPr>
          <w:rFonts w:ascii="Verdana" w:eastAsiaTheme="minorHAnsi" w:hAnsi="Verdana" w:cs="Verdana"/>
          <w:color w:val="000000"/>
          <w:sz w:val="20"/>
          <w:szCs w:val="20"/>
          <w:lang w:val="pt-BR"/>
        </w:rPr>
        <w:t xml:space="preserve"> forma, </w:t>
      </w:r>
      <w:r>
        <w:rPr>
          <w:rFonts w:ascii="Verdana" w:eastAsiaTheme="minorHAnsi" w:hAnsi="Verdana" w:cs="Verdana"/>
          <w:color w:val="000000"/>
          <w:sz w:val="20"/>
          <w:szCs w:val="20"/>
          <w:lang w:val="pt-BR"/>
        </w:rPr>
        <w:t xml:space="preserve">o pagamento dos juros de mora será </w:t>
      </w:r>
      <w:r w:rsidR="0074017B" w:rsidRPr="00C40BD9">
        <w:rPr>
          <w:rFonts w:ascii="Verdana" w:eastAsiaTheme="minorHAnsi" w:hAnsi="Verdana" w:cs="Verdana"/>
          <w:color w:val="000000"/>
          <w:sz w:val="20"/>
          <w:szCs w:val="20"/>
          <w:lang w:val="pt-BR"/>
        </w:rPr>
        <w:t>calculado sobre</w:t>
      </w:r>
      <w:r w:rsidR="002D3285" w:rsidRPr="00C40BD9">
        <w:rPr>
          <w:rFonts w:ascii="Verdana" w:eastAsiaTheme="minorHAnsi" w:hAnsi="Verdana" w:cs="Verdana"/>
          <w:color w:val="000000"/>
          <w:sz w:val="20"/>
          <w:szCs w:val="20"/>
          <w:lang w:val="pt-BR"/>
        </w:rPr>
        <w:t xml:space="preserve"> </w:t>
      </w:r>
      <w:r>
        <w:rPr>
          <w:rFonts w:ascii="Verdana" w:eastAsiaTheme="minorHAnsi" w:hAnsi="Verdana" w:cs="Verdana"/>
          <w:color w:val="000000"/>
          <w:sz w:val="20"/>
          <w:szCs w:val="20"/>
          <w:lang w:val="pt-BR"/>
        </w:rPr>
        <w:t xml:space="preserve">o </w:t>
      </w:r>
      <w:r w:rsidR="0074017B" w:rsidRPr="00C40BD9">
        <w:rPr>
          <w:rFonts w:ascii="Verdana" w:eastAsiaTheme="minorHAnsi" w:hAnsi="Verdana" w:cs="Verdana"/>
          <w:color w:val="000000"/>
          <w:sz w:val="20"/>
          <w:szCs w:val="20"/>
          <w:lang w:val="pt-BR"/>
        </w:rPr>
        <w:t>valor e</w:t>
      </w:r>
      <w:r>
        <w:rPr>
          <w:rFonts w:ascii="Verdana" w:eastAsiaTheme="minorHAnsi" w:hAnsi="Verdana" w:cs="Verdana"/>
          <w:color w:val="000000"/>
          <w:sz w:val="20"/>
          <w:szCs w:val="20"/>
          <w:lang w:val="pt-BR"/>
        </w:rPr>
        <w:t>m</w:t>
      </w:r>
      <w:r w:rsidR="0074017B" w:rsidRPr="00C40BD9">
        <w:rPr>
          <w:rFonts w:ascii="Verdana" w:eastAsiaTheme="minorHAnsi" w:hAnsi="Verdana" w:cs="Verdana"/>
          <w:color w:val="000000"/>
          <w:sz w:val="20"/>
          <w:szCs w:val="20"/>
          <w:lang w:val="pt-BR"/>
        </w:rPr>
        <w:t xml:space="preserve"> re</w:t>
      </w:r>
      <w:r w:rsidR="00C06A9B" w:rsidRPr="00C40BD9">
        <w:rPr>
          <w:rFonts w:ascii="Verdana" w:eastAsiaTheme="minorHAnsi" w:hAnsi="Verdana" w:cs="Verdana"/>
          <w:color w:val="000000"/>
          <w:sz w:val="20"/>
          <w:szCs w:val="20"/>
          <w:lang w:val="pt-BR"/>
        </w:rPr>
        <w:t>ais</w:t>
      </w:r>
      <w:r w:rsidR="0074017B" w:rsidRPr="00C40BD9">
        <w:rPr>
          <w:rFonts w:ascii="Verdana" w:eastAsiaTheme="minorHAnsi" w:hAnsi="Verdana" w:cs="Verdana"/>
          <w:color w:val="000000"/>
          <w:sz w:val="20"/>
          <w:szCs w:val="20"/>
          <w:lang w:val="pt-BR"/>
        </w:rPr>
        <w:t xml:space="preserve">, </w:t>
      </w:r>
      <w:r w:rsidR="006770ED" w:rsidRPr="00C40BD9">
        <w:rPr>
          <w:rFonts w:ascii="Verdana" w:eastAsiaTheme="minorHAnsi" w:hAnsi="Verdana" w:cs="Verdana"/>
          <w:color w:val="000000"/>
          <w:sz w:val="20"/>
          <w:szCs w:val="20"/>
          <w:lang w:val="pt-BR"/>
        </w:rPr>
        <w:t>uma</w:t>
      </w:r>
      <w:r w:rsidR="00DE316A">
        <w:rPr>
          <w:rFonts w:ascii="Verdana" w:eastAsiaTheme="minorHAnsi" w:hAnsi="Verdana" w:cs="Verdana"/>
          <w:color w:val="000000"/>
          <w:sz w:val="20"/>
          <w:szCs w:val="20"/>
          <w:lang w:val="pt-BR"/>
        </w:rPr>
        <w:t xml:space="preserve"> </w:t>
      </w:r>
      <w:r w:rsidR="0074017B" w:rsidRPr="00C40BD9">
        <w:rPr>
          <w:rFonts w:ascii="Verdana" w:eastAsiaTheme="minorHAnsi" w:hAnsi="Verdana" w:cs="Verdana"/>
          <w:color w:val="000000"/>
          <w:sz w:val="20"/>
          <w:szCs w:val="20"/>
          <w:lang w:val="pt-BR"/>
        </w:rPr>
        <w:t xml:space="preserve">vez que os valores determinados </w:t>
      </w:r>
      <w:r w:rsidR="000814BE" w:rsidRPr="00C40BD9">
        <w:rPr>
          <w:rFonts w:ascii="Verdana" w:eastAsiaTheme="minorHAnsi" w:hAnsi="Verdana" w:cs="Verdana"/>
          <w:color w:val="000000"/>
          <w:sz w:val="20"/>
          <w:szCs w:val="20"/>
          <w:lang w:val="pt-BR"/>
        </w:rPr>
        <w:t xml:space="preserve">na </w:t>
      </w:r>
      <w:r w:rsidR="00F633DD" w:rsidRPr="00C40BD9">
        <w:rPr>
          <w:rFonts w:ascii="Verdana" w:eastAsiaTheme="minorHAnsi" w:hAnsi="Verdana" w:cs="Verdana"/>
          <w:color w:val="000000"/>
          <w:sz w:val="20"/>
          <w:szCs w:val="20"/>
          <w:lang w:val="pt-BR"/>
        </w:rPr>
        <w:t>Sentença</w:t>
      </w:r>
      <w:r w:rsidR="00DE316A">
        <w:rPr>
          <w:rFonts w:ascii="Verdana" w:eastAsiaTheme="minorHAnsi" w:hAnsi="Verdana" w:cs="Verdana"/>
          <w:color w:val="000000"/>
          <w:sz w:val="20"/>
          <w:szCs w:val="20"/>
          <w:lang w:val="pt-BR"/>
        </w:rPr>
        <w:t xml:space="preserve"> </w:t>
      </w:r>
      <w:r>
        <w:rPr>
          <w:rFonts w:ascii="Verdana" w:eastAsiaTheme="minorHAnsi" w:hAnsi="Verdana" w:cs="Verdana"/>
          <w:color w:val="000000"/>
          <w:sz w:val="20"/>
          <w:szCs w:val="20"/>
          <w:lang w:val="pt-BR"/>
        </w:rPr>
        <w:t xml:space="preserve">tenham </w:t>
      </w:r>
      <w:r w:rsidR="0074017B" w:rsidRPr="00C40BD9">
        <w:rPr>
          <w:rFonts w:ascii="Verdana" w:eastAsiaTheme="minorHAnsi" w:hAnsi="Verdana" w:cs="Verdana"/>
          <w:color w:val="000000"/>
          <w:sz w:val="20"/>
          <w:szCs w:val="20"/>
          <w:lang w:val="pt-BR"/>
        </w:rPr>
        <w:t xml:space="preserve">sido convertidos de dólar estadunidense </w:t>
      </w:r>
      <w:r>
        <w:rPr>
          <w:rFonts w:ascii="Verdana" w:eastAsiaTheme="minorHAnsi" w:hAnsi="Verdana" w:cs="Verdana"/>
          <w:color w:val="000000"/>
          <w:sz w:val="20"/>
          <w:szCs w:val="20"/>
          <w:lang w:val="pt-BR"/>
        </w:rPr>
        <w:t>par</w:t>
      </w:r>
      <w:r w:rsidR="0074017B" w:rsidRPr="00C40BD9">
        <w:rPr>
          <w:rFonts w:ascii="Verdana" w:eastAsiaTheme="minorHAnsi" w:hAnsi="Verdana" w:cs="Verdana"/>
          <w:color w:val="000000"/>
          <w:sz w:val="20"/>
          <w:szCs w:val="20"/>
          <w:lang w:val="pt-BR"/>
        </w:rPr>
        <w:t xml:space="preserve">a real </w:t>
      </w:r>
      <w:r>
        <w:rPr>
          <w:rFonts w:ascii="Verdana" w:eastAsiaTheme="minorHAnsi" w:hAnsi="Verdana" w:cs="Verdana"/>
          <w:color w:val="000000"/>
          <w:sz w:val="20"/>
          <w:szCs w:val="20"/>
          <w:lang w:val="pt-BR"/>
        </w:rPr>
        <w:t>brasileiro</w:t>
      </w:r>
      <w:r w:rsidR="0074017B" w:rsidRPr="00C40BD9">
        <w:rPr>
          <w:rFonts w:ascii="Verdana" w:eastAsiaTheme="minorHAnsi" w:hAnsi="Verdana" w:cs="Verdana"/>
          <w:color w:val="000000"/>
          <w:sz w:val="20"/>
          <w:szCs w:val="20"/>
          <w:lang w:val="pt-BR"/>
        </w:rPr>
        <w:t xml:space="preserve">. </w:t>
      </w:r>
    </w:p>
    <w:p w:rsidR="00E66658" w:rsidRPr="00C40BD9" w:rsidRDefault="00E66658" w:rsidP="00A82FB4">
      <w:pPr>
        <w:pStyle w:val="ListParagraph"/>
        <w:spacing w:after="0" w:line="240" w:lineRule="auto"/>
        <w:ind w:left="0"/>
        <w:jc w:val="both"/>
        <w:rPr>
          <w:rFonts w:ascii="Verdana" w:hAnsi="Verdana"/>
          <w:sz w:val="20"/>
          <w:szCs w:val="20"/>
          <w:lang w:val="pt-BR"/>
        </w:rPr>
      </w:pPr>
    </w:p>
    <w:p w:rsidR="00456D6E" w:rsidRPr="00C40BD9" w:rsidRDefault="0074017B" w:rsidP="00A82FB4">
      <w:pPr>
        <w:pStyle w:val="ListParagraph"/>
        <w:numPr>
          <w:ilvl w:val="0"/>
          <w:numId w:val="2"/>
        </w:numPr>
        <w:tabs>
          <w:tab w:val="clear" w:pos="1247"/>
        </w:tabs>
        <w:spacing w:after="0" w:line="240" w:lineRule="auto"/>
        <w:jc w:val="both"/>
        <w:rPr>
          <w:rFonts w:ascii="Verdana" w:hAnsi="Verdana"/>
          <w:sz w:val="20"/>
          <w:szCs w:val="20"/>
          <w:lang w:val="pt-BR"/>
        </w:rPr>
      </w:pPr>
      <w:r w:rsidRPr="00C40BD9">
        <w:rPr>
          <w:rFonts w:ascii="Verdana" w:hAnsi="Verdana"/>
          <w:sz w:val="20"/>
          <w:szCs w:val="20"/>
          <w:lang w:val="pt-BR"/>
        </w:rPr>
        <w:t>S</w:t>
      </w:r>
      <w:r w:rsidR="00BE4317">
        <w:rPr>
          <w:rFonts w:ascii="Verdana" w:hAnsi="Verdana"/>
          <w:sz w:val="20"/>
          <w:szCs w:val="20"/>
          <w:lang w:val="pt-BR"/>
        </w:rPr>
        <w:t xml:space="preserve">em prejuízo do exposto, </w:t>
      </w:r>
      <w:r w:rsidR="00036A1B" w:rsidRPr="00C40BD9">
        <w:rPr>
          <w:rFonts w:ascii="Verdana" w:hAnsi="Verdana"/>
          <w:sz w:val="20"/>
          <w:szCs w:val="20"/>
          <w:lang w:val="pt-BR"/>
        </w:rPr>
        <w:t xml:space="preserve">a Corte </w:t>
      </w:r>
      <w:r w:rsidRPr="00C40BD9">
        <w:rPr>
          <w:rFonts w:ascii="Verdana" w:hAnsi="Verdana"/>
          <w:sz w:val="20"/>
          <w:szCs w:val="20"/>
          <w:lang w:val="pt-BR"/>
        </w:rPr>
        <w:t xml:space="preserve">considera que a segunda parte </w:t>
      </w:r>
      <w:r w:rsidR="00F633DD" w:rsidRPr="00C40BD9">
        <w:rPr>
          <w:rFonts w:ascii="Verdana" w:hAnsi="Verdana"/>
          <w:sz w:val="20"/>
          <w:szCs w:val="20"/>
          <w:lang w:val="pt-BR"/>
        </w:rPr>
        <w:t xml:space="preserve">da </w:t>
      </w:r>
      <w:r w:rsidR="00C06A9B" w:rsidRPr="00C40BD9">
        <w:rPr>
          <w:rFonts w:ascii="Verdana" w:hAnsi="Verdana"/>
          <w:sz w:val="20"/>
          <w:szCs w:val="20"/>
          <w:lang w:val="pt-BR"/>
        </w:rPr>
        <w:t>solicitação</w:t>
      </w:r>
      <w:r w:rsidR="00DE316A">
        <w:rPr>
          <w:rFonts w:ascii="Verdana" w:hAnsi="Verdana"/>
          <w:sz w:val="20"/>
          <w:szCs w:val="20"/>
          <w:lang w:val="pt-BR"/>
        </w:rPr>
        <w:t xml:space="preserve"> </w:t>
      </w:r>
      <w:r w:rsidRPr="00C40BD9">
        <w:rPr>
          <w:rFonts w:ascii="Verdana" w:hAnsi="Verdana"/>
          <w:sz w:val="20"/>
          <w:szCs w:val="20"/>
          <w:lang w:val="pt-BR"/>
        </w:rPr>
        <w:t>d</w:t>
      </w:r>
      <w:r w:rsidR="00BE4317">
        <w:rPr>
          <w:rFonts w:ascii="Verdana" w:hAnsi="Verdana"/>
          <w:sz w:val="20"/>
          <w:szCs w:val="20"/>
          <w:lang w:val="pt-BR"/>
        </w:rPr>
        <w:t>o</w:t>
      </w:r>
      <w:r w:rsidRPr="00C40BD9">
        <w:rPr>
          <w:rFonts w:ascii="Verdana" w:hAnsi="Verdana"/>
          <w:sz w:val="20"/>
          <w:szCs w:val="20"/>
          <w:lang w:val="pt-BR"/>
        </w:rPr>
        <w:t xml:space="preserve"> Estado, e</w:t>
      </w:r>
      <w:r w:rsidR="00BE4317">
        <w:rPr>
          <w:rFonts w:ascii="Verdana" w:hAnsi="Verdana"/>
          <w:sz w:val="20"/>
          <w:szCs w:val="20"/>
          <w:lang w:val="pt-BR"/>
        </w:rPr>
        <w:t>m</w:t>
      </w:r>
      <w:r w:rsidRPr="00C40BD9">
        <w:rPr>
          <w:rFonts w:ascii="Verdana" w:hAnsi="Verdana"/>
          <w:sz w:val="20"/>
          <w:szCs w:val="20"/>
          <w:lang w:val="pt-BR"/>
        </w:rPr>
        <w:t xml:space="preserve"> rela</w:t>
      </w:r>
      <w:r w:rsidR="00F633DD" w:rsidRPr="00C40BD9">
        <w:rPr>
          <w:rFonts w:ascii="Verdana" w:hAnsi="Verdana"/>
          <w:sz w:val="20"/>
          <w:szCs w:val="20"/>
          <w:lang w:val="pt-BR"/>
        </w:rPr>
        <w:t>ção</w:t>
      </w:r>
      <w:r w:rsidRPr="00C40BD9">
        <w:rPr>
          <w:rFonts w:ascii="Verdana" w:hAnsi="Verdana"/>
          <w:sz w:val="20"/>
          <w:szCs w:val="20"/>
          <w:lang w:val="pt-BR"/>
        </w:rPr>
        <w:t xml:space="preserve"> a</w:t>
      </w:r>
      <w:r w:rsidR="00BE4317">
        <w:rPr>
          <w:rFonts w:ascii="Verdana" w:hAnsi="Verdana"/>
          <w:sz w:val="20"/>
          <w:szCs w:val="20"/>
          <w:lang w:val="pt-BR"/>
        </w:rPr>
        <w:t>o</w:t>
      </w:r>
      <w:r w:rsidRPr="00C40BD9">
        <w:rPr>
          <w:rFonts w:ascii="Verdana" w:hAnsi="Verdana"/>
          <w:sz w:val="20"/>
          <w:szCs w:val="20"/>
          <w:lang w:val="pt-BR"/>
        </w:rPr>
        <w:t xml:space="preserve"> tipo de </w:t>
      </w:r>
      <w:r w:rsidR="00BE4317">
        <w:rPr>
          <w:rFonts w:ascii="Verdana" w:hAnsi="Verdana"/>
          <w:sz w:val="20"/>
          <w:szCs w:val="20"/>
          <w:lang w:val="pt-BR"/>
        </w:rPr>
        <w:t xml:space="preserve">juro bancário aplicável sobre o </w:t>
      </w:r>
      <w:r w:rsidRPr="00C40BD9">
        <w:rPr>
          <w:rFonts w:ascii="Verdana" w:hAnsi="Verdana"/>
          <w:sz w:val="20"/>
          <w:szCs w:val="20"/>
          <w:lang w:val="pt-BR"/>
        </w:rPr>
        <w:t>valor e</w:t>
      </w:r>
      <w:r w:rsidR="00BE4317">
        <w:rPr>
          <w:rFonts w:ascii="Verdana" w:hAnsi="Verdana"/>
          <w:sz w:val="20"/>
          <w:szCs w:val="20"/>
          <w:lang w:val="pt-BR"/>
        </w:rPr>
        <w:t xml:space="preserve">m </w:t>
      </w:r>
      <w:r w:rsidRPr="00C40BD9">
        <w:rPr>
          <w:rFonts w:ascii="Verdana" w:hAnsi="Verdana"/>
          <w:sz w:val="20"/>
          <w:szCs w:val="20"/>
          <w:lang w:val="pt-BR"/>
        </w:rPr>
        <w:t>mora</w:t>
      </w:r>
      <w:r w:rsidR="00F64C88">
        <w:rPr>
          <w:rFonts w:ascii="Verdana" w:hAnsi="Verdana"/>
          <w:sz w:val="20"/>
          <w:szCs w:val="20"/>
          <w:lang w:val="pt-BR"/>
        </w:rPr>
        <w:t>,</w:t>
      </w:r>
      <w:r w:rsidRPr="00C40BD9">
        <w:rPr>
          <w:rFonts w:ascii="Verdana" w:hAnsi="Verdana"/>
          <w:sz w:val="20"/>
          <w:szCs w:val="20"/>
          <w:lang w:val="pt-BR"/>
        </w:rPr>
        <w:t xml:space="preserve"> </w:t>
      </w:r>
      <w:r w:rsidR="00EE7D27">
        <w:rPr>
          <w:rFonts w:ascii="Verdana" w:hAnsi="Verdana"/>
          <w:sz w:val="20"/>
          <w:szCs w:val="20"/>
          <w:lang w:val="pt-BR"/>
        </w:rPr>
        <w:t xml:space="preserve">é um </w:t>
      </w:r>
      <w:r w:rsidRPr="00C40BD9">
        <w:rPr>
          <w:rFonts w:ascii="Verdana" w:hAnsi="Verdana"/>
          <w:sz w:val="20"/>
          <w:szCs w:val="20"/>
          <w:lang w:val="pt-BR"/>
        </w:rPr>
        <w:t xml:space="preserve">aspecto referente </w:t>
      </w:r>
      <w:r w:rsidR="00EE7D27">
        <w:rPr>
          <w:rFonts w:ascii="Verdana" w:hAnsi="Verdana"/>
          <w:sz w:val="20"/>
          <w:szCs w:val="20"/>
          <w:lang w:val="pt-BR"/>
        </w:rPr>
        <w:t xml:space="preserve">à supervisão do </w:t>
      </w:r>
      <w:r w:rsidR="00C06A9B" w:rsidRPr="00C40BD9">
        <w:rPr>
          <w:rFonts w:ascii="Verdana" w:hAnsi="Verdana"/>
          <w:sz w:val="20"/>
          <w:szCs w:val="20"/>
          <w:lang w:val="pt-BR"/>
        </w:rPr>
        <w:t>cumprimento</w:t>
      </w:r>
      <w:r w:rsidR="00DE316A">
        <w:rPr>
          <w:rFonts w:ascii="Verdana" w:hAnsi="Verdana"/>
          <w:sz w:val="20"/>
          <w:szCs w:val="20"/>
          <w:lang w:val="pt-BR"/>
        </w:rPr>
        <w:t xml:space="preserve"> </w:t>
      </w:r>
      <w:r w:rsidR="00F633DD" w:rsidRPr="00C40BD9">
        <w:rPr>
          <w:rFonts w:ascii="Verdana" w:hAnsi="Verdana"/>
          <w:sz w:val="20"/>
          <w:szCs w:val="20"/>
          <w:lang w:val="pt-BR"/>
        </w:rPr>
        <w:t>da Sentença</w:t>
      </w:r>
      <w:r w:rsidR="00DE316A">
        <w:rPr>
          <w:rFonts w:ascii="Verdana" w:hAnsi="Verdana"/>
          <w:sz w:val="20"/>
          <w:szCs w:val="20"/>
          <w:lang w:val="pt-BR"/>
        </w:rPr>
        <w:t xml:space="preserve"> </w:t>
      </w:r>
      <w:r w:rsidR="00F633DD" w:rsidRPr="00C40BD9">
        <w:rPr>
          <w:rFonts w:ascii="Verdana" w:hAnsi="Verdana"/>
          <w:sz w:val="20"/>
          <w:szCs w:val="20"/>
          <w:lang w:val="pt-BR"/>
        </w:rPr>
        <w:t>e</w:t>
      </w:r>
      <w:r w:rsidR="00DE316A">
        <w:rPr>
          <w:rFonts w:ascii="Verdana" w:hAnsi="Verdana"/>
          <w:sz w:val="20"/>
          <w:szCs w:val="20"/>
          <w:lang w:val="pt-BR"/>
        </w:rPr>
        <w:t xml:space="preserve"> </w:t>
      </w:r>
      <w:r w:rsidRPr="00C40BD9">
        <w:rPr>
          <w:rFonts w:ascii="Verdana" w:hAnsi="Verdana"/>
          <w:sz w:val="20"/>
          <w:szCs w:val="20"/>
          <w:lang w:val="pt-BR"/>
        </w:rPr>
        <w:t>n</w:t>
      </w:r>
      <w:r w:rsidR="00EE7D27">
        <w:rPr>
          <w:rFonts w:ascii="Verdana" w:hAnsi="Verdana"/>
          <w:sz w:val="20"/>
          <w:szCs w:val="20"/>
          <w:lang w:val="pt-BR"/>
        </w:rPr>
        <w:t>ã</w:t>
      </w:r>
      <w:r w:rsidRPr="00C40BD9">
        <w:rPr>
          <w:rFonts w:ascii="Verdana" w:hAnsi="Verdana"/>
          <w:sz w:val="20"/>
          <w:szCs w:val="20"/>
          <w:lang w:val="pt-BR"/>
        </w:rPr>
        <w:t xml:space="preserve">o </w:t>
      </w:r>
      <w:r w:rsidR="006770ED" w:rsidRPr="00C40BD9">
        <w:rPr>
          <w:rFonts w:ascii="Verdana" w:hAnsi="Verdana"/>
          <w:sz w:val="20"/>
          <w:szCs w:val="20"/>
          <w:lang w:val="pt-BR"/>
        </w:rPr>
        <w:t>deve</w:t>
      </w:r>
      <w:r w:rsidR="00DE316A">
        <w:rPr>
          <w:rFonts w:ascii="Verdana" w:hAnsi="Verdana"/>
          <w:sz w:val="20"/>
          <w:szCs w:val="20"/>
          <w:lang w:val="pt-BR"/>
        </w:rPr>
        <w:t xml:space="preserve"> </w:t>
      </w:r>
      <w:r w:rsidRPr="00C40BD9">
        <w:rPr>
          <w:rFonts w:ascii="Verdana" w:hAnsi="Verdana"/>
          <w:sz w:val="20"/>
          <w:szCs w:val="20"/>
          <w:lang w:val="pt-BR"/>
        </w:rPr>
        <w:t>ser objeto de interpreta</w:t>
      </w:r>
      <w:r w:rsidR="00F633DD" w:rsidRPr="00C40BD9">
        <w:rPr>
          <w:rFonts w:ascii="Verdana" w:hAnsi="Verdana"/>
          <w:sz w:val="20"/>
          <w:szCs w:val="20"/>
          <w:lang w:val="pt-BR"/>
        </w:rPr>
        <w:t>ção</w:t>
      </w:r>
      <w:r w:rsidRPr="00C40BD9">
        <w:rPr>
          <w:rFonts w:ascii="Verdana" w:hAnsi="Verdana"/>
          <w:sz w:val="20"/>
          <w:szCs w:val="20"/>
          <w:lang w:val="pt-BR"/>
        </w:rPr>
        <w:t xml:space="preserve"> e</w:t>
      </w:r>
      <w:r w:rsidR="00EE7D27">
        <w:rPr>
          <w:rFonts w:ascii="Verdana" w:hAnsi="Verdana"/>
          <w:sz w:val="20"/>
          <w:szCs w:val="20"/>
          <w:lang w:val="pt-BR"/>
        </w:rPr>
        <w:t>m</w:t>
      </w:r>
      <w:r w:rsidRPr="00C40BD9">
        <w:rPr>
          <w:rFonts w:ascii="Verdana" w:hAnsi="Verdana"/>
          <w:sz w:val="20"/>
          <w:szCs w:val="20"/>
          <w:lang w:val="pt-BR"/>
        </w:rPr>
        <w:t xml:space="preserve"> abstrato por parte </w:t>
      </w:r>
      <w:r w:rsidR="00F633DD" w:rsidRPr="00C40BD9">
        <w:rPr>
          <w:rFonts w:ascii="Verdana" w:hAnsi="Verdana"/>
          <w:sz w:val="20"/>
          <w:szCs w:val="20"/>
          <w:lang w:val="pt-BR"/>
        </w:rPr>
        <w:t xml:space="preserve">da </w:t>
      </w:r>
      <w:r w:rsidRPr="00C40BD9">
        <w:rPr>
          <w:rFonts w:ascii="Verdana" w:hAnsi="Verdana"/>
          <w:sz w:val="20"/>
          <w:szCs w:val="20"/>
          <w:lang w:val="pt-BR"/>
        </w:rPr>
        <w:t xml:space="preserve">Corte Interamericana nesta </w:t>
      </w:r>
      <w:r w:rsidR="00F633DD" w:rsidRPr="00C40BD9">
        <w:rPr>
          <w:rFonts w:ascii="Verdana" w:hAnsi="Verdana"/>
          <w:sz w:val="20"/>
          <w:szCs w:val="20"/>
          <w:lang w:val="pt-BR"/>
        </w:rPr>
        <w:t>Sentença</w:t>
      </w:r>
      <w:r w:rsidR="00EE7D27">
        <w:rPr>
          <w:rFonts w:ascii="Verdana" w:hAnsi="Verdana"/>
          <w:sz w:val="20"/>
          <w:szCs w:val="20"/>
          <w:lang w:val="pt-BR"/>
        </w:rPr>
        <w:t>.</w:t>
      </w:r>
      <w:r w:rsidR="00E66658" w:rsidRPr="00C40BD9">
        <w:rPr>
          <w:rStyle w:val="FootnoteReference"/>
          <w:sz w:val="20"/>
          <w:szCs w:val="20"/>
          <w:lang w:val="pt-BR"/>
        </w:rPr>
        <w:footnoteReference w:id="14"/>
      </w:r>
      <w:r w:rsidRPr="00C40BD9">
        <w:rPr>
          <w:rFonts w:ascii="Verdana" w:hAnsi="Verdana"/>
          <w:sz w:val="20"/>
          <w:szCs w:val="20"/>
          <w:lang w:val="pt-BR"/>
        </w:rPr>
        <w:t xml:space="preserve"> </w:t>
      </w:r>
    </w:p>
    <w:p w:rsidR="00AE01F8" w:rsidRPr="00C40BD9" w:rsidRDefault="00AE01F8" w:rsidP="00A82FB4">
      <w:pPr>
        <w:autoSpaceDE w:val="0"/>
        <w:autoSpaceDN w:val="0"/>
        <w:adjustRightInd w:val="0"/>
        <w:spacing w:after="0" w:line="240" w:lineRule="auto"/>
        <w:jc w:val="both"/>
        <w:rPr>
          <w:rFonts w:ascii="Verdana" w:hAnsi="Verdana" w:cs="Verdana"/>
          <w:sz w:val="20"/>
          <w:szCs w:val="20"/>
          <w:lang w:val="pt-BR"/>
        </w:rPr>
      </w:pPr>
    </w:p>
    <w:p w:rsidR="00AE01F8" w:rsidRPr="00C40BD9" w:rsidRDefault="00AE01F8" w:rsidP="00A82FB4">
      <w:pPr>
        <w:autoSpaceDE w:val="0"/>
        <w:autoSpaceDN w:val="0"/>
        <w:adjustRightInd w:val="0"/>
        <w:spacing w:after="0" w:line="240" w:lineRule="auto"/>
        <w:jc w:val="center"/>
        <w:rPr>
          <w:rFonts w:ascii="Verdana" w:hAnsi="Verdana" w:cs="Verdana"/>
          <w:b/>
          <w:sz w:val="20"/>
          <w:szCs w:val="20"/>
          <w:lang w:val="pt-BR"/>
        </w:rPr>
      </w:pPr>
      <w:r w:rsidRPr="00C40BD9">
        <w:rPr>
          <w:rFonts w:ascii="Verdana" w:hAnsi="Verdana" w:cs="Verdana"/>
          <w:b/>
          <w:sz w:val="20"/>
          <w:szCs w:val="20"/>
          <w:lang w:val="pt-BR"/>
        </w:rPr>
        <w:t>V</w:t>
      </w:r>
    </w:p>
    <w:p w:rsidR="00AE01F8" w:rsidRPr="00C40BD9" w:rsidRDefault="00AE01F8" w:rsidP="00A82FB4">
      <w:pPr>
        <w:autoSpaceDE w:val="0"/>
        <w:autoSpaceDN w:val="0"/>
        <w:adjustRightInd w:val="0"/>
        <w:spacing w:after="0" w:line="240" w:lineRule="auto"/>
        <w:jc w:val="center"/>
        <w:rPr>
          <w:rFonts w:ascii="Verdana" w:hAnsi="Verdana" w:cs="Verdana"/>
          <w:b/>
          <w:sz w:val="20"/>
          <w:szCs w:val="20"/>
          <w:lang w:val="pt-BR"/>
        </w:rPr>
      </w:pPr>
      <w:r w:rsidRPr="00C40BD9">
        <w:rPr>
          <w:rFonts w:ascii="Verdana" w:hAnsi="Verdana" w:cs="Verdana"/>
          <w:b/>
          <w:sz w:val="20"/>
          <w:szCs w:val="20"/>
          <w:lang w:val="pt-BR"/>
        </w:rPr>
        <w:t>P</w:t>
      </w:r>
      <w:r w:rsidR="00EE7D27">
        <w:rPr>
          <w:rFonts w:ascii="Verdana" w:hAnsi="Verdana" w:cs="Verdana"/>
          <w:b/>
          <w:sz w:val="20"/>
          <w:szCs w:val="20"/>
          <w:lang w:val="pt-BR"/>
        </w:rPr>
        <w:t>O</w:t>
      </w:r>
      <w:r w:rsidRPr="00C40BD9">
        <w:rPr>
          <w:rFonts w:ascii="Verdana" w:hAnsi="Verdana" w:cs="Verdana"/>
          <w:b/>
          <w:sz w:val="20"/>
          <w:szCs w:val="20"/>
          <w:lang w:val="pt-BR"/>
        </w:rPr>
        <w:t xml:space="preserve">NTOS RESOLUTIVOS </w:t>
      </w:r>
    </w:p>
    <w:p w:rsidR="00417352" w:rsidRPr="00C40BD9" w:rsidRDefault="00417352" w:rsidP="00CC395C">
      <w:pPr>
        <w:spacing w:after="0" w:line="240" w:lineRule="auto"/>
        <w:rPr>
          <w:rFonts w:ascii="Verdana" w:hAnsi="Verdana"/>
          <w:sz w:val="20"/>
          <w:szCs w:val="20"/>
          <w:lang w:val="pt-BR"/>
        </w:rPr>
      </w:pPr>
    </w:p>
    <w:p w:rsidR="00417352" w:rsidRPr="00C40BD9" w:rsidRDefault="00417352" w:rsidP="00CC395C">
      <w:pPr>
        <w:pStyle w:val="CommentText"/>
        <w:numPr>
          <w:ilvl w:val="0"/>
          <w:numId w:val="2"/>
        </w:numPr>
        <w:tabs>
          <w:tab w:val="clear" w:pos="1247"/>
          <w:tab w:val="num" w:pos="0"/>
        </w:tabs>
        <w:spacing w:after="0"/>
        <w:rPr>
          <w:rFonts w:ascii="Verdana" w:hAnsi="Verdana"/>
          <w:lang w:val="pt-BR"/>
        </w:rPr>
      </w:pPr>
      <w:r w:rsidRPr="00C40BD9">
        <w:rPr>
          <w:rFonts w:ascii="Verdana" w:hAnsi="Verdana"/>
          <w:lang w:val="pt-BR"/>
        </w:rPr>
        <w:t xml:space="preserve">Portanto, </w:t>
      </w:r>
    </w:p>
    <w:p w:rsidR="00CC395C" w:rsidRPr="00C40BD9" w:rsidRDefault="00CC395C" w:rsidP="00CC395C">
      <w:pPr>
        <w:spacing w:after="0" w:line="240" w:lineRule="auto"/>
        <w:rPr>
          <w:rFonts w:ascii="Verdana" w:hAnsi="Verdana"/>
          <w:sz w:val="20"/>
          <w:szCs w:val="20"/>
          <w:lang w:val="pt-BR"/>
        </w:rPr>
      </w:pPr>
    </w:p>
    <w:p w:rsidR="00417352" w:rsidRPr="00C40BD9" w:rsidRDefault="00417352" w:rsidP="00CC395C">
      <w:pPr>
        <w:spacing w:after="0" w:line="240" w:lineRule="auto"/>
        <w:rPr>
          <w:rFonts w:ascii="Verdana" w:hAnsi="Verdana"/>
          <w:b/>
          <w:sz w:val="20"/>
          <w:szCs w:val="20"/>
          <w:lang w:val="pt-BR"/>
        </w:rPr>
      </w:pPr>
      <w:r w:rsidRPr="00C40BD9">
        <w:rPr>
          <w:rFonts w:ascii="Verdana" w:hAnsi="Verdana"/>
          <w:b/>
          <w:sz w:val="20"/>
          <w:szCs w:val="20"/>
          <w:lang w:val="pt-BR"/>
        </w:rPr>
        <w:t>A CORTE,</w:t>
      </w:r>
    </w:p>
    <w:p w:rsidR="00CC395C" w:rsidRPr="00C40BD9" w:rsidRDefault="00CC395C" w:rsidP="00CC395C">
      <w:pPr>
        <w:spacing w:after="0" w:line="240" w:lineRule="auto"/>
        <w:rPr>
          <w:rFonts w:ascii="Verdana" w:hAnsi="Verdana"/>
          <w:sz w:val="20"/>
          <w:szCs w:val="20"/>
          <w:lang w:val="pt-BR"/>
        </w:rPr>
      </w:pPr>
    </w:p>
    <w:p w:rsidR="00417352" w:rsidRPr="00C40BD9" w:rsidRDefault="00F633DD" w:rsidP="00CC395C">
      <w:pPr>
        <w:spacing w:after="0" w:line="240" w:lineRule="auto"/>
        <w:rPr>
          <w:rFonts w:ascii="Verdana" w:hAnsi="Verdana"/>
          <w:sz w:val="20"/>
          <w:szCs w:val="20"/>
          <w:lang w:val="pt-BR"/>
        </w:rPr>
      </w:pPr>
      <w:r w:rsidRPr="00C40BD9">
        <w:rPr>
          <w:rFonts w:ascii="Verdana" w:hAnsi="Verdana"/>
          <w:sz w:val="20"/>
          <w:szCs w:val="20"/>
          <w:lang w:val="pt-BR"/>
        </w:rPr>
        <w:t xml:space="preserve">em conformidade com o artigo </w:t>
      </w:r>
      <w:r w:rsidR="00417352" w:rsidRPr="00C40BD9">
        <w:rPr>
          <w:rFonts w:ascii="Verdana" w:hAnsi="Verdana"/>
          <w:sz w:val="20"/>
          <w:szCs w:val="20"/>
          <w:lang w:val="pt-BR"/>
        </w:rPr>
        <w:t xml:space="preserve">67 </w:t>
      </w:r>
      <w:r w:rsidRPr="00C40BD9">
        <w:rPr>
          <w:rFonts w:ascii="Verdana" w:hAnsi="Verdana"/>
          <w:sz w:val="20"/>
          <w:szCs w:val="20"/>
          <w:lang w:val="pt-BR"/>
        </w:rPr>
        <w:t xml:space="preserve">da </w:t>
      </w:r>
      <w:r w:rsidR="00417352" w:rsidRPr="00C40BD9">
        <w:rPr>
          <w:rFonts w:ascii="Verdana" w:hAnsi="Verdana"/>
          <w:sz w:val="20"/>
          <w:szCs w:val="20"/>
          <w:lang w:val="pt-BR"/>
        </w:rPr>
        <w:t>Conven</w:t>
      </w:r>
      <w:r w:rsidRPr="00C40BD9">
        <w:rPr>
          <w:rFonts w:ascii="Verdana" w:hAnsi="Verdana"/>
          <w:sz w:val="20"/>
          <w:szCs w:val="20"/>
          <w:lang w:val="pt-BR"/>
        </w:rPr>
        <w:t>ção</w:t>
      </w:r>
      <w:r w:rsidR="00417352" w:rsidRPr="00C40BD9">
        <w:rPr>
          <w:rFonts w:ascii="Verdana" w:hAnsi="Verdana"/>
          <w:sz w:val="20"/>
          <w:szCs w:val="20"/>
          <w:lang w:val="pt-BR"/>
        </w:rPr>
        <w:t xml:space="preserve"> Americana sobre </w:t>
      </w:r>
      <w:r w:rsidRPr="00C40BD9">
        <w:rPr>
          <w:rFonts w:ascii="Verdana" w:hAnsi="Verdana"/>
          <w:sz w:val="20"/>
          <w:szCs w:val="20"/>
          <w:lang w:val="pt-BR"/>
        </w:rPr>
        <w:t>Direitos</w:t>
      </w:r>
      <w:r w:rsidR="00DE316A">
        <w:rPr>
          <w:rFonts w:ascii="Verdana" w:hAnsi="Verdana"/>
          <w:sz w:val="20"/>
          <w:szCs w:val="20"/>
          <w:lang w:val="pt-BR"/>
        </w:rPr>
        <w:t xml:space="preserve"> </w:t>
      </w:r>
      <w:r w:rsidR="00417352" w:rsidRPr="00C40BD9">
        <w:rPr>
          <w:rFonts w:ascii="Verdana" w:hAnsi="Verdana"/>
          <w:sz w:val="20"/>
          <w:szCs w:val="20"/>
          <w:lang w:val="pt-BR"/>
        </w:rPr>
        <w:t xml:space="preserve">Humanos </w:t>
      </w:r>
      <w:r w:rsidRPr="00C40BD9">
        <w:rPr>
          <w:rFonts w:ascii="Verdana" w:hAnsi="Verdana"/>
          <w:sz w:val="20"/>
          <w:szCs w:val="20"/>
          <w:lang w:val="pt-BR"/>
        </w:rPr>
        <w:t>e</w:t>
      </w:r>
      <w:r w:rsidR="00DE316A">
        <w:rPr>
          <w:rFonts w:ascii="Verdana" w:hAnsi="Verdana"/>
          <w:sz w:val="20"/>
          <w:szCs w:val="20"/>
          <w:lang w:val="pt-BR"/>
        </w:rPr>
        <w:t xml:space="preserve"> </w:t>
      </w:r>
      <w:r w:rsidR="00C06A9B" w:rsidRPr="00C40BD9">
        <w:rPr>
          <w:rFonts w:ascii="Verdana" w:hAnsi="Verdana"/>
          <w:sz w:val="20"/>
          <w:szCs w:val="20"/>
          <w:lang w:val="pt-BR"/>
        </w:rPr>
        <w:t xml:space="preserve">os artigos </w:t>
      </w:r>
      <w:r w:rsidR="00417352" w:rsidRPr="00C40BD9">
        <w:rPr>
          <w:rFonts w:ascii="Verdana" w:hAnsi="Verdana"/>
          <w:sz w:val="20"/>
          <w:szCs w:val="20"/>
          <w:lang w:val="pt-BR"/>
        </w:rPr>
        <w:t xml:space="preserve">31.3 </w:t>
      </w:r>
      <w:r w:rsidRPr="00C40BD9">
        <w:rPr>
          <w:rFonts w:ascii="Verdana" w:hAnsi="Verdana"/>
          <w:sz w:val="20"/>
          <w:szCs w:val="20"/>
          <w:lang w:val="pt-BR"/>
        </w:rPr>
        <w:t>e</w:t>
      </w:r>
      <w:r w:rsidR="00DE316A">
        <w:rPr>
          <w:rFonts w:ascii="Verdana" w:hAnsi="Verdana"/>
          <w:sz w:val="20"/>
          <w:szCs w:val="20"/>
          <w:lang w:val="pt-BR"/>
        </w:rPr>
        <w:t xml:space="preserve"> </w:t>
      </w:r>
      <w:r w:rsidR="00417352" w:rsidRPr="00C40BD9">
        <w:rPr>
          <w:rFonts w:ascii="Verdana" w:hAnsi="Verdana"/>
          <w:sz w:val="20"/>
          <w:szCs w:val="20"/>
          <w:lang w:val="pt-BR"/>
        </w:rPr>
        <w:t xml:space="preserve">68 </w:t>
      </w:r>
      <w:r w:rsidR="006770ED" w:rsidRPr="00C40BD9">
        <w:rPr>
          <w:rFonts w:ascii="Verdana" w:hAnsi="Verdana"/>
          <w:sz w:val="20"/>
          <w:szCs w:val="20"/>
          <w:lang w:val="pt-BR"/>
        </w:rPr>
        <w:t>do Regulamento</w:t>
      </w:r>
      <w:r w:rsidR="00417352" w:rsidRPr="00C40BD9">
        <w:rPr>
          <w:rFonts w:ascii="Verdana" w:hAnsi="Verdana"/>
          <w:sz w:val="20"/>
          <w:szCs w:val="20"/>
          <w:lang w:val="pt-BR"/>
        </w:rPr>
        <w:t>,</w:t>
      </w:r>
    </w:p>
    <w:p w:rsidR="00CC395C" w:rsidRPr="00C40BD9" w:rsidRDefault="00CC395C" w:rsidP="00CC395C">
      <w:pPr>
        <w:spacing w:after="0" w:line="240" w:lineRule="auto"/>
        <w:rPr>
          <w:rFonts w:ascii="Verdana" w:hAnsi="Verdana"/>
          <w:sz w:val="20"/>
          <w:szCs w:val="20"/>
          <w:lang w:val="pt-BR"/>
        </w:rPr>
      </w:pPr>
    </w:p>
    <w:p w:rsidR="00456D6E" w:rsidRPr="00C40BD9" w:rsidRDefault="00417352" w:rsidP="00CC395C">
      <w:pPr>
        <w:spacing w:after="0" w:line="240" w:lineRule="auto"/>
        <w:jc w:val="both"/>
        <w:rPr>
          <w:rFonts w:ascii="Verdana" w:hAnsi="Verdana"/>
          <w:b/>
          <w:sz w:val="20"/>
          <w:szCs w:val="20"/>
          <w:lang w:val="pt-BR"/>
        </w:rPr>
      </w:pPr>
      <w:r w:rsidRPr="00C40BD9">
        <w:rPr>
          <w:rFonts w:ascii="Verdana" w:hAnsi="Verdana"/>
          <w:b/>
          <w:sz w:val="20"/>
          <w:szCs w:val="20"/>
          <w:lang w:val="pt-BR"/>
        </w:rPr>
        <w:t>DECIDE:</w:t>
      </w:r>
    </w:p>
    <w:p w:rsidR="00CC395C" w:rsidRPr="00C40BD9" w:rsidRDefault="00CC395C" w:rsidP="00CC395C">
      <w:pPr>
        <w:spacing w:after="0" w:line="240" w:lineRule="auto"/>
        <w:jc w:val="both"/>
        <w:rPr>
          <w:rFonts w:ascii="Verdana" w:hAnsi="Verdana"/>
          <w:sz w:val="20"/>
          <w:szCs w:val="20"/>
          <w:lang w:val="pt-BR"/>
        </w:rPr>
      </w:pPr>
    </w:p>
    <w:p w:rsidR="00F86BC7" w:rsidRPr="00C40BD9" w:rsidRDefault="00F86BC7" w:rsidP="00CC395C">
      <w:pPr>
        <w:spacing w:after="0" w:line="240" w:lineRule="auto"/>
        <w:jc w:val="both"/>
        <w:rPr>
          <w:rFonts w:ascii="Verdana" w:hAnsi="Verdana"/>
          <w:sz w:val="20"/>
          <w:szCs w:val="20"/>
          <w:lang w:val="pt-BR"/>
        </w:rPr>
      </w:pPr>
      <w:r w:rsidRPr="00C40BD9">
        <w:rPr>
          <w:rFonts w:ascii="Verdana" w:hAnsi="Verdana"/>
          <w:sz w:val="20"/>
          <w:szCs w:val="20"/>
          <w:lang w:val="pt-BR"/>
        </w:rPr>
        <w:t>Por unanimidad</w:t>
      </w:r>
      <w:r w:rsidR="00EE7D27">
        <w:rPr>
          <w:rFonts w:ascii="Verdana" w:hAnsi="Verdana"/>
          <w:sz w:val="20"/>
          <w:szCs w:val="20"/>
          <w:lang w:val="pt-BR"/>
        </w:rPr>
        <w:t>e</w:t>
      </w:r>
      <w:r w:rsidRPr="00C40BD9">
        <w:rPr>
          <w:rFonts w:ascii="Verdana" w:hAnsi="Verdana"/>
          <w:sz w:val="20"/>
          <w:szCs w:val="20"/>
          <w:lang w:val="pt-BR"/>
        </w:rPr>
        <w:t>,</w:t>
      </w:r>
    </w:p>
    <w:p w:rsidR="00F86BC7" w:rsidRPr="00C40BD9" w:rsidRDefault="00F86BC7" w:rsidP="00CC395C">
      <w:pPr>
        <w:spacing w:after="0" w:line="240" w:lineRule="auto"/>
        <w:jc w:val="both"/>
        <w:rPr>
          <w:rFonts w:ascii="Verdana" w:hAnsi="Verdana"/>
          <w:sz w:val="20"/>
          <w:szCs w:val="20"/>
          <w:lang w:val="pt-BR"/>
        </w:rPr>
      </w:pPr>
    </w:p>
    <w:p w:rsidR="00F24042" w:rsidRPr="00C40BD9" w:rsidRDefault="00F24042" w:rsidP="00CC395C">
      <w:pPr>
        <w:pStyle w:val="ListParagraph"/>
        <w:numPr>
          <w:ilvl w:val="0"/>
          <w:numId w:val="18"/>
        </w:numPr>
        <w:spacing w:after="0" w:line="240" w:lineRule="auto"/>
        <w:ind w:left="0" w:firstLine="0"/>
        <w:jc w:val="both"/>
        <w:rPr>
          <w:rFonts w:ascii="Verdana" w:hAnsi="Verdana"/>
          <w:sz w:val="20"/>
          <w:szCs w:val="20"/>
          <w:lang w:val="pt-BR"/>
        </w:rPr>
      </w:pPr>
      <w:r w:rsidRPr="00C40BD9">
        <w:rPr>
          <w:rFonts w:ascii="Verdana" w:hAnsi="Verdana"/>
          <w:sz w:val="20"/>
          <w:szCs w:val="20"/>
          <w:lang w:val="pt-BR"/>
        </w:rPr>
        <w:t>Declarar admis</w:t>
      </w:r>
      <w:r w:rsidR="00EE7D27">
        <w:rPr>
          <w:rFonts w:ascii="Verdana" w:hAnsi="Verdana"/>
          <w:sz w:val="20"/>
          <w:szCs w:val="20"/>
          <w:lang w:val="pt-BR"/>
        </w:rPr>
        <w:t xml:space="preserve">síveis as </w:t>
      </w:r>
      <w:r w:rsidR="00635878" w:rsidRPr="00C40BD9">
        <w:rPr>
          <w:rFonts w:ascii="Verdana" w:hAnsi="Verdana"/>
          <w:sz w:val="20"/>
          <w:szCs w:val="20"/>
          <w:lang w:val="pt-BR"/>
        </w:rPr>
        <w:t>solicitações</w:t>
      </w:r>
      <w:r w:rsidR="00DE316A">
        <w:rPr>
          <w:rFonts w:ascii="Verdana" w:hAnsi="Verdana"/>
          <w:sz w:val="20"/>
          <w:szCs w:val="20"/>
          <w:lang w:val="pt-BR"/>
        </w:rPr>
        <w:t xml:space="preserve"> </w:t>
      </w:r>
      <w:r w:rsidRPr="00C40BD9">
        <w:rPr>
          <w:rFonts w:ascii="Verdana" w:hAnsi="Verdana"/>
          <w:sz w:val="20"/>
          <w:szCs w:val="20"/>
          <w:lang w:val="pt-BR"/>
        </w:rPr>
        <w:t>de interpreta</w:t>
      </w:r>
      <w:r w:rsidR="00F633DD" w:rsidRPr="00C40BD9">
        <w:rPr>
          <w:rFonts w:ascii="Verdana" w:hAnsi="Verdana"/>
          <w:sz w:val="20"/>
          <w:szCs w:val="20"/>
          <w:lang w:val="pt-BR"/>
        </w:rPr>
        <w:t>ção</w:t>
      </w:r>
      <w:r w:rsidRPr="00C40BD9">
        <w:rPr>
          <w:rFonts w:ascii="Verdana" w:hAnsi="Verdana"/>
          <w:sz w:val="20"/>
          <w:szCs w:val="20"/>
          <w:lang w:val="pt-BR"/>
        </w:rPr>
        <w:t xml:space="preserve"> </w:t>
      </w:r>
      <w:r w:rsidR="00F633DD" w:rsidRPr="00C40BD9">
        <w:rPr>
          <w:rFonts w:ascii="Verdana" w:hAnsi="Verdana"/>
          <w:sz w:val="20"/>
          <w:szCs w:val="20"/>
          <w:lang w:val="pt-BR"/>
        </w:rPr>
        <w:t>da Sentença</w:t>
      </w:r>
      <w:r w:rsidR="00DE316A">
        <w:rPr>
          <w:rFonts w:ascii="Verdana" w:hAnsi="Verdana"/>
          <w:sz w:val="20"/>
          <w:szCs w:val="20"/>
          <w:lang w:val="pt-BR"/>
        </w:rPr>
        <w:t xml:space="preserve"> </w:t>
      </w:r>
      <w:r w:rsidRPr="00C40BD9">
        <w:rPr>
          <w:rFonts w:ascii="Verdana" w:hAnsi="Verdana"/>
          <w:sz w:val="20"/>
          <w:szCs w:val="20"/>
          <w:lang w:val="pt-BR"/>
        </w:rPr>
        <w:t>de Exce</w:t>
      </w:r>
      <w:r w:rsidR="00F633DD" w:rsidRPr="00C40BD9">
        <w:rPr>
          <w:rFonts w:ascii="Verdana" w:hAnsi="Verdana"/>
          <w:sz w:val="20"/>
          <w:szCs w:val="20"/>
          <w:lang w:val="pt-BR"/>
        </w:rPr>
        <w:t>ções</w:t>
      </w:r>
      <w:r w:rsidRPr="00C40BD9">
        <w:rPr>
          <w:rFonts w:ascii="Verdana" w:hAnsi="Verdana"/>
          <w:sz w:val="20"/>
          <w:szCs w:val="20"/>
          <w:lang w:val="pt-BR"/>
        </w:rPr>
        <w:t xml:space="preserve"> Preliminares, </w:t>
      </w:r>
      <w:r w:rsidR="00EE7D27">
        <w:rPr>
          <w:rFonts w:ascii="Verdana" w:hAnsi="Verdana"/>
          <w:sz w:val="20"/>
          <w:szCs w:val="20"/>
          <w:lang w:val="pt-BR"/>
        </w:rPr>
        <w:t>Mérito</w:t>
      </w:r>
      <w:r w:rsidRPr="00C40BD9">
        <w:rPr>
          <w:rFonts w:ascii="Verdana" w:hAnsi="Verdana"/>
          <w:sz w:val="20"/>
          <w:szCs w:val="20"/>
          <w:lang w:val="pt-BR"/>
        </w:rPr>
        <w:t>, Repara</w:t>
      </w:r>
      <w:r w:rsidR="00F633DD" w:rsidRPr="00C40BD9">
        <w:rPr>
          <w:rFonts w:ascii="Verdana" w:hAnsi="Verdana"/>
          <w:sz w:val="20"/>
          <w:szCs w:val="20"/>
          <w:lang w:val="pt-BR"/>
        </w:rPr>
        <w:t>ções</w:t>
      </w:r>
      <w:r w:rsidRPr="00C40BD9">
        <w:rPr>
          <w:rFonts w:ascii="Verdana" w:hAnsi="Verdana"/>
          <w:sz w:val="20"/>
          <w:szCs w:val="20"/>
          <w:lang w:val="pt-BR"/>
        </w:rPr>
        <w:t xml:space="preserve"> </w:t>
      </w:r>
      <w:r w:rsidR="00F633DD" w:rsidRPr="00C40BD9">
        <w:rPr>
          <w:rFonts w:ascii="Verdana" w:hAnsi="Verdana"/>
          <w:sz w:val="20"/>
          <w:szCs w:val="20"/>
          <w:lang w:val="pt-BR"/>
        </w:rPr>
        <w:t>e</w:t>
      </w:r>
      <w:r w:rsidR="00DE316A">
        <w:rPr>
          <w:rFonts w:ascii="Verdana" w:hAnsi="Verdana"/>
          <w:sz w:val="20"/>
          <w:szCs w:val="20"/>
          <w:lang w:val="pt-BR"/>
        </w:rPr>
        <w:t xml:space="preserve"> </w:t>
      </w:r>
      <w:r w:rsidRPr="00C40BD9">
        <w:rPr>
          <w:rFonts w:ascii="Verdana" w:hAnsi="Verdana"/>
          <w:sz w:val="20"/>
          <w:szCs w:val="20"/>
          <w:lang w:val="pt-BR"/>
        </w:rPr>
        <w:t>C</w:t>
      </w:r>
      <w:r w:rsidR="00EE7D27">
        <w:rPr>
          <w:rFonts w:ascii="Verdana" w:hAnsi="Verdana"/>
          <w:sz w:val="20"/>
          <w:szCs w:val="20"/>
          <w:lang w:val="pt-BR"/>
        </w:rPr>
        <w:t>u</w:t>
      </w:r>
      <w:r w:rsidRPr="00C40BD9">
        <w:rPr>
          <w:rFonts w:ascii="Verdana" w:hAnsi="Verdana"/>
          <w:sz w:val="20"/>
          <w:szCs w:val="20"/>
          <w:lang w:val="pt-BR"/>
        </w:rPr>
        <w:t xml:space="preserve">stas </w:t>
      </w:r>
      <w:r w:rsidR="00EE7D27">
        <w:rPr>
          <w:rFonts w:ascii="Verdana" w:hAnsi="Verdana"/>
          <w:sz w:val="20"/>
          <w:szCs w:val="20"/>
          <w:lang w:val="pt-BR"/>
        </w:rPr>
        <w:t xml:space="preserve">no </w:t>
      </w:r>
      <w:r w:rsidRPr="00C40BD9">
        <w:rPr>
          <w:rFonts w:ascii="Verdana" w:hAnsi="Verdana"/>
          <w:sz w:val="20"/>
          <w:szCs w:val="20"/>
          <w:lang w:val="pt-BR"/>
        </w:rPr>
        <w:t>presente caso, interp</w:t>
      </w:r>
      <w:r w:rsidR="00EE7D27">
        <w:rPr>
          <w:rFonts w:ascii="Verdana" w:hAnsi="Verdana"/>
          <w:sz w:val="20"/>
          <w:szCs w:val="20"/>
          <w:lang w:val="pt-BR"/>
        </w:rPr>
        <w:t>o</w:t>
      </w:r>
      <w:r w:rsidRPr="00C40BD9">
        <w:rPr>
          <w:rFonts w:ascii="Verdana" w:hAnsi="Verdana"/>
          <w:sz w:val="20"/>
          <w:szCs w:val="20"/>
          <w:lang w:val="pt-BR"/>
        </w:rPr>
        <w:t>sta</w:t>
      </w:r>
      <w:r w:rsidR="00DD19A2" w:rsidRPr="00C40BD9">
        <w:rPr>
          <w:rFonts w:ascii="Verdana" w:hAnsi="Verdana"/>
          <w:sz w:val="20"/>
          <w:szCs w:val="20"/>
          <w:lang w:val="pt-BR"/>
        </w:rPr>
        <w:t>s</w:t>
      </w:r>
      <w:r w:rsidRPr="00C40BD9">
        <w:rPr>
          <w:rFonts w:ascii="Verdana" w:hAnsi="Verdana"/>
          <w:sz w:val="20"/>
          <w:szCs w:val="20"/>
          <w:lang w:val="pt-BR"/>
        </w:rPr>
        <w:t xml:space="preserve"> </w:t>
      </w:r>
      <w:r w:rsidR="00036A1B" w:rsidRPr="00C40BD9">
        <w:rPr>
          <w:rFonts w:ascii="Verdana" w:hAnsi="Verdana"/>
          <w:sz w:val="20"/>
          <w:szCs w:val="20"/>
          <w:lang w:val="pt-BR"/>
        </w:rPr>
        <w:t xml:space="preserve">pelo </w:t>
      </w:r>
      <w:r w:rsidRPr="00C40BD9">
        <w:rPr>
          <w:rFonts w:ascii="Verdana" w:hAnsi="Verdana"/>
          <w:sz w:val="20"/>
          <w:szCs w:val="20"/>
          <w:lang w:val="pt-BR"/>
        </w:rPr>
        <w:t xml:space="preserve">Estado </w:t>
      </w:r>
      <w:r w:rsidR="00EE7D27">
        <w:rPr>
          <w:rFonts w:ascii="Verdana" w:hAnsi="Verdana"/>
          <w:sz w:val="20"/>
          <w:szCs w:val="20"/>
          <w:lang w:val="pt-BR"/>
        </w:rPr>
        <w:t xml:space="preserve">brasileiro e pelos </w:t>
      </w:r>
      <w:r w:rsidRPr="00C40BD9">
        <w:rPr>
          <w:rFonts w:ascii="Verdana" w:hAnsi="Verdana"/>
          <w:sz w:val="20"/>
          <w:szCs w:val="20"/>
          <w:lang w:val="pt-BR"/>
        </w:rPr>
        <w:t>representantes.</w:t>
      </w:r>
      <w:r w:rsidR="00DE316A">
        <w:rPr>
          <w:rFonts w:ascii="Verdana" w:hAnsi="Verdana"/>
          <w:sz w:val="20"/>
          <w:szCs w:val="20"/>
          <w:lang w:val="pt-BR"/>
        </w:rPr>
        <w:t xml:space="preserve"> </w:t>
      </w:r>
    </w:p>
    <w:p w:rsidR="00CC395C" w:rsidRPr="00C40BD9" w:rsidRDefault="00CC395C" w:rsidP="00CC395C">
      <w:pPr>
        <w:spacing w:after="0" w:line="240" w:lineRule="auto"/>
        <w:jc w:val="both"/>
        <w:rPr>
          <w:rFonts w:ascii="Verdana" w:hAnsi="Verdana"/>
          <w:sz w:val="20"/>
          <w:szCs w:val="20"/>
          <w:lang w:val="pt-BR"/>
        </w:rPr>
      </w:pPr>
    </w:p>
    <w:p w:rsidR="00CC395C" w:rsidRPr="00C40BD9" w:rsidRDefault="00EE7D27" w:rsidP="00CC395C">
      <w:pPr>
        <w:pStyle w:val="ListParagraph"/>
        <w:numPr>
          <w:ilvl w:val="0"/>
          <w:numId w:val="18"/>
        </w:numPr>
        <w:spacing w:after="0" w:line="240" w:lineRule="auto"/>
        <w:ind w:left="0" w:firstLine="0"/>
        <w:jc w:val="both"/>
        <w:rPr>
          <w:rFonts w:ascii="Verdana" w:hAnsi="Verdana"/>
          <w:b/>
          <w:sz w:val="20"/>
          <w:szCs w:val="20"/>
          <w:lang w:val="pt-BR"/>
        </w:rPr>
      </w:pPr>
      <w:r>
        <w:rPr>
          <w:rFonts w:ascii="Verdana" w:hAnsi="Verdana"/>
          <w:sz w:val="20"/>
          <w:szCs w:val="20"/>
          <w:lang w:val="pt-BR"/>
        </w:rPr>
        <w:t xml:space="preserve">Considerar </w:t>
      </w:r>
      <w:r w:rsidR="007D110F" w:rsidRPr="00C40BD9">
        <w:rPr>
          <w:rFonts w:ascii="Verdana" w:hAnsi="Verdana"/>
          <w:sz w:val="20"/>
          <w:szCs w:val="20"/>
          <w:lang w:val="pt-BR"/>
        </w:rPr>
        <w:t>improcedente</w:t>
      </w:r>
      <w:r w:rsidR="00C847A0" w:rsidRPr="00C40BD9">
        <w:rPr>
          <w:rFonts w:ascii="Verdana" w:hAnsi="Verdana"/>
          <w:sz w:val="20"/>
          <w:szCs w:val="20"/>
          <w:lang w:val="pt-BR"/>
        </w:rPr>
        <w:t>s</w:t>
      </w:r>
      <w:r w:rsidR="007D110F" w:rsidRPr="00C40BD9">
        <w:rPr>
          <w:rFonts w:ascii="Verdana" w:hAnsi="Verdana"/>
          <w:sz w:val="20"/>
          <w:szCs w:val="20"/>
          <w:lang w:val="pt-BR"/>
        </w:rPr>
        <w:t xml:space="preserve"> a</w:t>
      </w:r>
      <w:r w:rsidR="00DD19A2" w:rsidRPr="00C40BD9">
        <w:rPr>
          <w:rFonts w:ascii="Verdana" w:hAnsi="Verdana"/>
          <w:sz w:val="20"/>
          <w:szCs w:val="20"/>
          <w:lang w:val="pt-BR"/>
        </w:rPr>
        <w:t>s</w:t>
      </w:r>
      <w:r w:rsidR="007D110F" w:rsidRPr="00C40BD9">
        <w:rPr>
          <w:rFonts w:ascii="Verdana" w:hAnsi="Verdana"/>
          <w:sz w:val="20"/>
          <w:szCs w:val="20"/>
          <w:lang w:val="pt-BR"/>
        </w:rPr>
        <w:t xml:space="preserve"> </w:t>
      </w:r>
      <w:r w:rsidR="00635878" w:rsidRPr="00C40BD9">
        <w:rPr>
          <w:rFonts w:ascii="Verdana" w:hAnsi="Verdana"/>
          <w:sz w:val="20"/>
          <w:szCs w:val="20"/>
          <w:lang w:val="pt-BR"/>
        </w:rPr>
        <w:t>solicitações</w:t>
      </w:r>
      <w:r w:rsidR="00DE316A">
        <w:rPr>
          <w:rFonts w:ascii="Verdana" w:hAnsi="Verdana"/>
          <w:sz w:val="20"/>
          <w:szCs w:val="20"/>
          <w:lang w:val="pt-BR"/>
        </w:rPr>
        <w:t xml:space="preserve"> </w:t>
      </w:r>
      <w:r w:rsidR="007D110F" w:rsidRPr="00C40BD9">
        <w:rPr>
          <w:rFonts w:ascii="Verdana" w:hAnsi="Verdana"/>
          <w:sz w:val="20"/>
          <w:szCs w:val="20"/>
          <w:lang w:val="pt-BR"/>
        </w:rPr>
        <w:t>de interpreta</w:t>
      </w:r>
      <w:r w:rsidR="00F633DD" w:rsidRPr="00C40BD9">
        <w:rPr>
          <w:rFonts w:ascii="Verdana" w:hAnsi="Verdana"/>
          <w:sz w:val="20"/>
          <w:szCs w:val="20"/>
          <w:lang w:val="pt-BR"/>
        </w:rPr>
        <w:t>ção</w:t>
      </w:r>
      <w:r w:rsidR="007D110F" w:rsidRPr="00C40BD9">
        <w:rPr>
          <w:rFonts w:ascii="Verdana" w:hAnsi="Verdana"/>
          <w:sz w:val="20"/>
          <w:szCs w:val="20"/>
          <w:lang w:val="pt-BR"/>
        </w:rPr>
        <w:t xml:space="preserve"> </w:t>
      </w:r>
      <w:r w:rsidR="00F633DD" w:rsidRPr="00C40BD9">
        <w:rPr>
          <w:rFonts w:ascii="Verdana" w:hAnsi="Verdana"/>
          <w:sz w:val="20"/>
          <w:szCs w:val="20"/>
          <w:lang w:val="pt-BR"/>
        </w:rPr>
        <w:t>da Sentença</w:t>
      </w:r>
      <w:r w:rsidR="00DE316A">
        <w:rPr>
          <w:rFonts w:ascii="Verdana" w:hAnsi="Verdana"/>
          <w:sz w:val="20"/>
          <w:szCs w:val="20"/>
          <w:lang w:val="pt-BR"/>
        </w:rPr>
        <w:t xml:space="preserve"> </w:t>
      </w:r>
      <w:r w:rsidR="007D110F" w:rsidRPr="00C40BD9">
        <w:rPr>
          <w:rFonts w:ascii="Verdana" w:hAnsi="Verdana"/>
          <w:sz w:val="20"/>
          <w:szCs w:val="20"/>
          <w:lang w:val="pt-BR"/>
        </w:rPr>
        <w:t>de Exce</w:t>
      </w:r>
      <w:r w:rsidR="00F633DD" w:rsidRPr="00C40BD9">
        <w:rPr>
          <w:rFonts w:ascii="Verdana" w:hAnsi="Verdana"/>
          <w:sz w:val="20"/>
          <w:szCs w:val="20"/>
          <w:lang w:val="pt-BR"/>
        </w:rPr>
        <w:t>ções</w:t>
      </w:r>
      <w:r w:rsidR="007D110F" w:rsidRPr="00C40BD9">
        <w:rPr>
          <w:rFonts w:ascii="Verdana" w:hAnsi="Verdana"/>
          <w:sz w:val="20"/>
          <w:szCs w:val="20"/>
          <w:lang w:val="pt-BR"/>
        </w:rPr>
        <w:t xml:space="preserve"> Preliminares, </w:t>
      </w:r>
      <w:r>
        <w:rPr>
          <w:rFonts w:ascii="Verdana" w:hAnsi="Verdana"/>
          <w:sz w:val="20"/>
          <w:szCs w:val="20"/>
          <w:lang w:val="pt-BR"/>
        </w:rPr>
        <w:t>Mérito</w:t>
      </w:r>
      <w:r w:rsidR="007D110F" w:rsidRPr="00C40BD9">
        <w:rPr>
          <w:rFonts w:ascii="Verdana" w:hAnsi="Verdana"/>
          <w:sz w:val="20"/>
          <w:szCs w:val="20"/>
          <w:lang w:val="pt-BR"/>
        </w:rPr>
        <w:t>, Repara</w:t>
      </w:r>
      <w:r w:rsidR="00F633DD" w:rsidRPr="00C40BD9">
        <w:rPr>
          <w:rFonts w:ascii="Verdana" w:hAnsi="Verdana"/>
          <w:sz w:val="20"/>
          <w:szCs w:val="20"/>
          <w:lang w:val="pt-BR"/>
        </w:rPr>
        <w:t>ções</w:t>
      </w:r>
      <w:r w:rsidR="007D110F" w:rsidRPr="00C40BD9">
        <w:rPr>
          <w:rFonts w:ascii="Verdana" w:hAnsi="Verdana"/>
          <w:sz w:val="20"/>
          <w:szCs w:val="20"/>
          <w:lang w:val="pt-BR"/>
        </w:rPr>
        <w:t xml:space="preserve"> </w:t>
      </w:r>
      <w:r w:rsidR="00F633DD" w:rsidRPr="00C40BD9">
        <w:rPr>
          <w:rFonts w:ascii="Verdana" w:hAnsi="Verdana"/>
          <w:sz w:val="20"/>
          <w:szCs w:val="20"/>
          <w:lang w:val="pt-BR"/>
        </w:rPr>
        <w:t>e</w:t>
      </w:r>
      <w:r w:rsidR="00DE316A">
        <w:rPr>
          <w:rFonts w:ascii="Verdana" w:hAnsi="Verdana"/>
          <w:sz w:val="20"/>
          <w:szCs w:val="20"/>
          <w:lang w:val="pt-BR"/>
        </w:rPr>
        <w:t xml:space="preserve"> </w:t>
      </w:r>
      <w:r w:rsidR="007D110F" w:rsidRPr="00C40BD9">
        <w:rPr>
          <w:rFonts w:ascii="Verdana" w:hAnsi="Verdana"/>
          <w:sz w:val="20"/>
          <w:szCs w:val="20"/>
          <w:lang w:val="pt-BR"/>
        </w:rPr>
        <w:t>C</w:t>
      </w:r>
      <w:r>
        <w:rPr>
          <w:rFonts w:ascii="Verdana" w:hAnsi="Verdana"/>
          <w:sz w:val="20"/>
          <w:szCs w:val="20"/>
          <w:lang w:val="pt-BR"/>
        </w:rPr>
        <w:t>u</w:t>
      </w:r>
      <w:r w:rsidR="007D110F" w:rsidRPr="00C40BD9">
        <w:rPr>
          <w:rFonts w:ascii="Verdana" w:hAnsi="Verdana"/>
          <w:sz w:val="20"/>
          <w:szCs w:val="20"/>
          <w:lang w:val="pt-BR"/>
        </w:rPr>
        <w:t xml:space="preserve">stas </w:t>
      </w:r>
      <w:r w:rsidR="00970B13" w:rsidRPr="00C40BD9">
        <w:rPr>
          <w:rFonts w:ascii="Verdana" w:hAnsi="Verdana"/>
          <w:sz w:val="20"/>
          <w:szCs w:val="20"/>
          <w:lang w:val="pt-BR"/>
        </w:rPr>
        <w:t xml:space="preserve">do Estado </w:t>
      </w:r>
      <w:r>
        <w:rPr>
          <w:rFonts w:ascii="Verdana" w:hAnsi="Verdana"/>
          <w:sz w:val="20"/>
          <w:szCs w:val="20"/>
          <w:lang w:val="pt-BR"/>
        </w:rPr>
        <w:t xml:space="preserve">brasileiro, no que se </w:t>
      </w:r>
      <w:r w:rsidR="007D110F" w:rsidRPr="00C40BD9">
        <w:rPr>
          <w:rFonts w:ascii="Verdana" w:hAnsi="Verdana"/>
          <w:sz w:val="20"/>
          <w:szCs w:val="20"/>
          <w:lang w:val="pt-BR"/>
        </w:rPr>
        <w:t>refere</w:t>
      </w:r>
      <w:r w:rsidR="00A961C9">
        <w:rPr>
          <w:rFonts w:ascii="Verdana" w:hAnsi="Verdana"/>
          <w:sz w:val="20"/>
          <w:szCs w:val="20"/>
          <w:lang w:val="pt-BR"/>
        </w:rPr>
        <w:t>:</w:t>
      </w:r>
      <w:r w:rsidR="007D110F" w:rsidRPr="00C40BD9">
        <w:rPr>
          <w:rFonts w:ascii="Verdana" w:hAnsi="Verdana"/>
          <w:sz w:val="20"/>
          <w:szCs w:val="20"/>
          <w:lang w:val="pt-BR"/>
        </w:rPr>
        <w:t xml:space="preserve"> </w:t>
      </w:r>
      <w:r w:rsidR="00164617" w:rsidRPr="00C40BD9">
        <w:rPr>
          <w:rFonts w:ascii="Verdana" w:hAnsi="Verdana"/>
          <w:sz w:val="20"/>
          <w:szCs w:val="20"/>
          <w:lang w:val="pt-BR"/>
        </w:rPr>
        <w:t xml:space="preserve">i) </w:t>
      </w:r>
      <w:r>
        <w:rPr>
          <w:rFonts w:ascii="Verdana" w:hAnsi="Verdana"/>
          <w:sz w:val="20"/>
          <w:szCs w:val="20"/>
          <w:lang w:val="pt-BR"/>
        </w:rPr>
        <w:t xml:space="preserve">à </w:t>
      </w:r>
      <w:r w:rsidR="007D110F" w:rsidRPr="00C40BD9">
        <w:rPr>
          <w:rFonts w:ascii="Verdana" w:hAnsi="Verdana"/>
          <w:sz w:val="20"/>
          <w:szCs w:val="20"/>
          <w:lang w:val="pt-BR"/>
        </w:rPr>
        <w:t>ade</w:t>
      </w:r>
      <w:r>
        <w:rPr>
          <w:rFonts w:ascii="Verdana" w:hAnsi="Verdana"/>
          <w:sz w:val="20"/>
          <w:szCs w:val="20"/>
          <w:lang w:val="pt-BR"/>
        </w:rPr>
        <w:t>q</w:t>
      </w:r>
      <w:r w:rsidR="007D110F" w:rsidRPr="00C40BD9">
        <w:rPr>
          <w:rFonts w:ascii="Verdana" w:hAnsi="Verdana"/>
          <w:sz w:val="20"/>
          <w:szCs w:val="20"/>
          <w:lang w:val="pt-BR"/>
        </w:rPr>
        <w:t>uada representa</w:t>
      </w:r>
      <w:r w:rsidR="00F633DD" w:rsidRPr="00C40BD9">
        <w:rPr>
          <w:rFonts w:ascii="Verdana" w:hAnsi="Verdana"/>
          <w:sz w:val="20"/>
          <w:szCs w:val="20"/>
          <w:lang w:val="pt-BR"/>
        </w:rPr>
        <w:t>ção</w:t>
      </w:r>
      <w:r w:rsidR="007D110F" w:rsidRPr="00C40BD9">
        <w:rPr>
          <w:rFonts w:ascii="Verdana" w:hAnsi="Verdana"/>
          <w:sz w:val="20"/>
          <w:szCs w:val="20"/>
          <w:lang w:val="pt-BR"/>
        </w:rPr>
        <w:t xml:space="preserve"> </w:t>
      </w:r>
      <w:r w:rsidR="00C06A9B" w:rsidRPr="00C40BD9">
        <w:rPr>
          <w:rFonts w:ascii="Verdana" w:hAnsi="Verdana"/>
          <w:sz w:val="20"/>
          <w:szCs w:val="20"/>
          <w:lang w:val="pt-BR"/>
        </w:rPr>
        <w:t>das vítimas</w:t>
      </w:r>
      <w:r w:rsidR="007D110F" w:rsidRPr="00C40BD9">
        <w:rPr>
          <w:rFonts w:ascii="Verdana" w:hAnsi="Verdana"/>
          <w:sz w:val="20"/>
          <w:szCs w:val="20"/>
          <w:lang w:val="pt-BR"/>
        </w:rPr>
        <w:t xml:space="preserve">, </w:t>
      </w:r>
      <w:r>
        <w:rPr>
          <w:rFonts w:ascii="Verdana" w:hAnsi="Verdana"/>
          <w:sz w:val="20"/>
          <w:szCs w:val="20"/>
          <w:lang w:val="pt-BR"/>
        </w:rPr>
        <w:t xml:space="preserve">nos termos do </w:t>
      </w:r>
      <w:r w:rsidR="00C06A9B" w:rsidRPr="00C40BD9">
        <w:rPr>
          <w:rFonts w:ascii="Verdana" w:hAnsi="Verdana"/>
          <w:sz w:val="20"/>
          <w:szCs w:val="20"/>
          <w:lang w:val="pt-BR"/>
        </w:rPr>
        <w:t>parágrafo</w:t>
      </w:r>
      <w:r w:rsidR="00DE316A">
        <w:rPr>
          <w:rFonts w:ascii="Verdana" w:hAnsi="Verdana"/>
          <w:sz w:val="20"/>
          <w:szCs w:val="20"/>
          <w:lang w:val="pt-BR"/>
        </w:rPr>
        <w:t xml:space="preserve"> </w:t>
      </w:r>
      <w:r w:rsidR="00ED7628" w:rsidRPr="00140630">
        <w:rPr>
          <w:rFonts w:ascii="Verdana" w:hAnsi="Verdana"/>
          <w:sz w:val="20"/>
          <w:szCs w:val="20"/>
          <w:lang w:val="pt-BR"/>
        </w:rPr>
        <w:t>34</w:t>
      </w:r>
      <w:r>
        <w:rPr>
          <w:rFonts w:ascii="Verdana" w:hAnsi="Verdana"/>
          <w:b/>
          <w:sz w:val="20"/>
          <w:szCs w:val="20"/>
          <w:lang w:val="pt-BR"/>
        </w:rPr>
        <w:t>;</w:t>
      </w:r>
      <w:r w:rsidR="007D110F" w:rsidRPr="00C40BD9">
        <w:rPr>
          <w:rFonts w:ascii="Verdana" w:hAnsi="Verdana"/>
          <w:sz w:val="20"/>
          <w:szCs w:val="20"/>
          <w:lang w:val="pt-BR"/>
        </w:rPr>
        <w:t xml:space="preserve"> </w:t>
      </w:r>
      <w:r w:rsidR="00164617" w:rsidRPr="00C40BD9">
        <w:rPr>
          <w:rFonts w:ascii="Verdana" w:hAnsi="Verdana"/>
          <w:sz w:val="20"/>
          <w:szCs w:val="20"/>
          <w:lang w:val="pt-BR"/>
        </w:rPr>
        <w:t xml:space="preserve">ii) </w:t>
      </w:r>
      <w:r>
        <w:rPr>
          <w:rFonts w:ascii="Verdana" w:hAnsi="Verdana"/>
          <w:sz w:val="20"/>
          <w:szCs w:val="20"/>
          <w:lang w:val="pt-BR"/>
        </w:rPr>
        <w:t xml:space="preserve">à </w:t>
      </w:r>
      <w:r w:rsidR="00C06A9B" w:rsidRPr="00C40BD9">
        <w:rPr>
          <w:rFonts w:ascii="Verdana" w:hAnsi="Verdana"/>
          <w:sz w:val="20"/>
          <w:szCs w:val="20"/>
          <w:lang w:val="pt-BR"/>
        </w:rPr>
        <w:t>competência</w:t>
      </w:r>
      <w:r w:rsidR="00DE316A">
        <w:rPr>
          <w:rFonts w:ascii="Verdana" w:hAnsi="Verdana"/>
          <w:sz w:val="20"/>
          <w:szCs w:val="20"/>
          <w:lang w:val="pt-BR"/>
        </w:rPr>
        <w:t xml:space="preserve"> </w:t>
      </w:r>
      <w:r w:rsidR="007D110F" w:rsidRPr="00C40BD9">
        <w:rPr>
          <w:rFonts w:ascii="Verdana" w:hAnsi="Verdana"/>
          <w:i/>
          <w:sz w:val="20"/>
          <w:szCs w:val="20"/>
          <w:lang w:val="pt-BR"/>
        </w:rPr>
        <w:t xml:space="preserve">ratione materiae, </w:t>
      </w:r>
      <w:r>
        <w:rPr>
          <w:rFonts w:ascii="Verdana" w:hAnsi="Verdana"/>
          <w:sz w:val="20"/>
          <w:szCs w:val="20"/>
          <w:lang w:val="pt-BR"/>
        </w:rPr>
        <w:t xml:space="preserve">nos termos </w:t>
      </w:r>
      <w:r w:rsidR="00C06A9B" w:rsidRPr="00C40BD9">
        <w:rPr>
          <w:rFonts w:ascii="Verdana" w:hAnsi="Verdana"/>
          <w:sz w:val="20"/>
          <w:szCs w:val="20"/>
          <w:lang w:val="pt-BR"/>
        </w:rPr>
        <w:t xml:space="preserve">dos </w:t>
      </w:r>
      <w:r w:rsidR="00635878" w:rsidRPr="00C40BD9">
        <w:rPr>
          <w:rFonts w:ascii="Verdana" w:hAnsi="Verdana"/>
          <w:sz w:val="20"/>
          <w:szCs w:val="20"/>
          <w:lang w:val="pt-BR"/>
        </w:rPr>
        <w:t>parágrafos</w:t>
      </w:r>
      <w:r w:rsidR="00DE316A">
        <w:rPr>
          <w:rFonts w:ascii="Verdana" w:hAnsi="Verdana"/>
          <w:sz w:val="20"/>
          <w:szCs w:val="20"/>
          <w:lang w:val="pt-BR"/>
        </w:rPr>
        <w:t xml:space="preserve"> </w:t>
      </w:r>
      <w:r w:rsidR="00ED7628" w:rsidRPr="00140630">
        <w:rPr>
          <w:rFonts w:ascii="Verdana" w:hAnsi="Verdana"/>
          <w:sz w:val="20"/>
          <w:szCs w:val="20"/>
          <w:lang w:val="pt-BR"/>
        </w:rPr>
        <w:t>40 a 42</w:t>
      </w:r>
      <w:r>
        <w:rPr>
          <w:rFonts w:ascii="Verdana" w:hAnsi="Verdana"/>
          <w:sz w:val="20"/>
          <w:szCs w:val="20"/>
          <w:lang w:val="pt-BR"/>
        </w:rPr>
        <w:t>;</w:t>
      </w:r>
      <w:r w:rsidR="007D110F" w:rsidRPr="00C40BD9">
        <w:rPr>
          <w:rFonts w:ascii="Verdana" w:hAnsi="Verdana"/>
          <w:b/>
          <w:sz w:val="20"/>
          <w:szCs w:val="20"/>
          <w:lang w:val="pt-BR"/>
        </w:rPr>
        <w:t xml:space="preserve"> </w:t>
      </w:r>
      <w:r w:rsidR="00F633DD" w:rsidRPr="00C40BD9">
        <w:rPr>
          <w:rFonts w:ascii="Verdana" w:hAnsi="Verdana"/>
          <w:sz w:val="20"/>
          <w:szCs w:val="20"/>
          <w:lang w:val="pt-BR"/>
        </w:rPr>
        <w:t>e</w:t>
      </w:r>
      <w:r w:rsidR="00DE316A">
        <w:rPr>
          <w:rFonts w:ascii="Verdana" w:hAnsi="Verdana"/>
          <w:sz w:val="20"/>
          <w:szCs w:val="20"/>
          <w:lang w:val="pt-BR"/>
        </w:rPr>
        <w:t xml:space="preserve"> </w:t>
      </w:r>
      <w:r w:rsidR="00164617" w:rsidRPr="00C40BD9">
        <w:rPr>
          <w:rFonts w:ascii="Verdana" w:hAnsi="Verdana"/>
          <w:sz w:val="20"/>
          <w:szCs w:val="20"/>
          <w:lang w:val="pt-BR"/>
        </w:rPr>
        <w:t>iii)</w:t>
      </w:r>
      <w:r w:rsidR="00CE295D" w:rsidRPr="00C40BD9">
        <w:rPr>
          <w:rFonts w:ascii="Verdana" w:hAnsi="Verdana"/>
          <w:sz w:val="20"/>
          <w:szCs w:val="20"/>
          <w:lang w:val="pt-BR"/>
        </w:rPr>
        <w:t xml:space="preserve"> a</w:t>
      </w:r>
      <w:r>
        <w:rPr>
          <w:rFonts w:ascii="Verdana" w:hAnsi="Verdana"/>
          <w:sz w:val="20"/>
          <w:szCs w:val="20"/>
          <w:lang w:val="pt-BR"/>
        </w:rPr>
        <w:t xml:space="preserve">o </w:t>
      </w:r>
      <w:r w:rsidR="007D110F" w:rsidRPr="00C40BD9">
        <w:rPr>
          <w:rFonts w:ascii="Verdana" w:hAnsi="Verdana"/>
          <w:sz w:val="20"/>
          <w:szCs w:val="20"/>
          <w:lang w:val="pt-BR"/>
        </w:rPr>
        <w:t xml:space="preserve">tipo de </w:t>
      </w:r>
      <w:r>
        <w:rPr>
          <w:rFonts w:ascii="Verdana" w:hAnsi="Verdana"/>
          <w:sz w:val="20"/>
          <w:szCs w:val="20"/>
          <w:lang w:val="pt-BR"/>
        </w:rPr>
        <w:t xml:space="preserve">juro bancário aplicável sobre o </w:t>
      </w:r>
      <w:r w:rsidR="007D110F" w:rsidRPr="00C40BD9">
        <w:rPr>
          <w:rFonts w:ascii="Verdana" w:hAnsi="Verdana"/>
          <w:sz w:val="20"/>
          <w:szCs w:val="20"/>
          <w:lang w:val="pt-BR"/>
        </w:rPr>
        <w:t>valor e</w:t>
      </w:r>
      <w:r>
        <w:rPr>
          <w:rFonts w:ascii="Verdana" w:hAnsi="Verdana"/>
          <w:sz w:val="20"/>
          <w:szCs w:val="20"/>
          <w:lang w:val="pt-BR"/>
        </w:rPr>
        <w:t>m</w:t>
      </w:r>
      <w:r w:rsidR="007D110F" w:rsidRPr="00C40BD9">
        <w:rPr>
          <w:rFonts w:ascii="Verdana" w:hAnsi="Verdana"/>
          <w:sz w:val="20"/>
          <w:szCs w:val="20"/>
          <w:lang w:val="pt-BR"/>
        </w:rPr>
        <w:t xml:space="preserve"> mora</w:t>
      </w:r>
      <w:r w:rsidR="00035A77" w:rsidRPr="00C40BD9">
        <w:rPr>
          <w:rFonts w:ascii="Verdana" w:hAnsi="Verdana"/>
          <w:sz w:val="20"/>
          <w:szCs w:val="20"/>
          <w:lang w:val="pt-BR"/>
        </w:rPr>
        <w:t xml:space="preserve">, </w:t>
      </w:r>
      <w:r>
        <w:rPr>
          <w:rFonts w:ascii="Verdana" w:hAnsi="Verdana"/>
          <w:sz w:val="20"/>
          <w:szCs w:val="20"/>
          <w:lang w:val="pt-BR"/>
        </w:rPr>
        <w:t xml:space="preserve">nos termos do </w:t>
      </w:r>
      <w:r w:rsidR="00C06A9B" w:rsidRPr="00C40BD9">
        <w:rPr>
          <w:rFonts w:ascii="Verdana" w:hAnsi="Verdana"/>
          <w:sz w:val="20"/>
          <w:szCs w:val="20"/>
          <w:lang w:val="pt-BR"/>
        </w:rPr>
        <w:t>parágrafo</w:t>
      </w:r>
      <w:r w:rsidR="00DE316A">
        <w:rPr>
          <w:rFonts w:ascii="Verdana" w:hAnsi="Verdana"/>
          <w:sz w:val="20"/>
          <w:szCs w:val="20"/>
          <w:lang w:val="pt-BR"/>
        </w:rPr>
        <w:t xml:space="preserve"> </w:t>
      </w:r>
      <w:r w:rsidR="00ED7628" w:rsidRPr="00140630">
        <w:rPr>
          <w:rFonts w:ascii="Verdana" w:hAnsi="Verdana"/>
          <w:sz w:val="20"/>
          <w:szCs w:val="20"/>
          <w:lang w:val="pt-BR"/>
        </w:rPr>
        <w:t>66</w:t>
      </w:r>
      <w:r w:rsidR="00035A77" w:rsidRPr="00140630">
        <w:rPr>
          <w:rFonts w:ascii="Verdana" w:hAnsi="Verdana"/>
          <w:sz w:val="20"/>
          <w:szCs w:val="20"/>
          <w:lang w:val="pt-BR"/>
        </w:rPr>
        <w:t>.</w:t>
      </w:r>
    </w:p>
    <w:p w:rsidR="00CC395C" w:rsidRPr="00C40BD9" w:rsidRDefault="00CC395C" w:rsidP="00CC395C">
      <w:pPr>
        <w:spacing w:after="0" w:line="240" w:lineRule="auto"/>
        <w:jc w:val="both"/>
        <w:rPr>
          <w:rFonts w:ascii="Verdana" w:hAnsi="Verdana"/>
          <w:sz w:val="20"/>
          <w:szCs w:val="20"/>
          <w:lang w:val="pt-BR"/>
        </w:rPr>
      </w:pPr>
    </w:p>
    <w:p w:rsidR="00F24042" w:rsidRPr="00C40BD9" w:rsidRDefault="00EE7D27" w:rsidP="00CC395C">
      <w:pPr>
        <w:pStyle w:val="ListParagraph"/>
        <w:numPr>
          <w:ilvl w:val="0"/>
          <w:numId w:val="18"/>
        </w:numPr>
        <w:spacing w:after="0" w:line="240" w:lineRule="auto"/>
        <w:ind w:left="0" w:firstLine="0"/>
        <w:jc w:val="both"/>
        <w:rPr>
          <w:rFonts w:ascii="Verdana" w:hAnsi="Verdana"/>
          <w:sz w:val="20"/>
          <w:szCs w:val="20"/>
          <w:lang w:val="pt-BR"/>
        </w:rPr>
      </w:pPr>
      <w:r>
        <w:rPr>
          <w:rFonts w:ascii="Verdana" w:eastAsia="Times New Roman" w:hAnsi="Verdana"/>
          <w:sz w:val="20"/>
          <w:szCs w:val="20"/>
          <w:lang w:val="pt-BR" w:eastAsia="es-ES"/>
        </w:rPr>
        <w:t>Esclarecer,</w:t>
      </w:r>
      <w:r w:rsidR="00AD44C8" w:rsidRPr="00C40BD9">
        <w:rPr>
          <w:rFonts w:ascii="Verdana" w:eastAsia="Times New Roman" w:hAnsi="Verdana"/>
          <w:sz w:val="20"/>
          <w:szCs w:val="20"/>
          <w:lang w:val="pt-BR" w:eastAsia="es-ES"/>
        </w:rPr>
        <w:t xml:space="preserve"> por meio de interpreta</w:t>
      </w:r>
      <w:r w:rsidR="00F633DD" w:rsidRPr="00C40BD9">
        <w:rPr>
          <w:rFonts w:ascii="Verdana" w:eastAsia="Times New Roman" w:hAnsi="Verdana"/>
          <w:sz w:val="20"/>
          <w:szCs w:val="20"/>
          <w:lang w:val="pt-BR" w:eastAsia="es-ES"/>
        </w:rPr>
        <w:t>ção</w:t>
      </w:r>
      <w:r>
        <w:rPr>
          <w:rFonts w:ascii="Verdana" w:eastAsia="Times New Roman" w:hAnsi="Verdana"/>
          <w:sz w:val="20"/>
          <w:szCs w:val="20"/>
          <w:lang w:val="pt-BR" w:eastAsia="es-ES"/>
        </w:rPr>
        <w:t>,</w:t>
      </w:r>
      <w:r w:rsidR="00AD44C8" w:rsidRPr="00C40BD9">
        <w:rPr>
          <w:rFonts w:ascii="Verdana" w:hAnsi="Verdana"/>
          <w:sz w:val="20"/>
          <w:szCs w:val="20"/>
          <w:lang w:val="pt-BR"/>
        </w:rPr>
        <w:t xml:space="preserve"> </w:t>
      </w:r>
      <w:r w:rsidR="00F24042" w:rsidRPr="00C40BD9">
        <w:rPr>
          <w:rFonts w:ascii="Verdana" w:hAnsi="Verdana"/>
          <w:sz w:val="20"/>
          <w:szCs w:val="20"/>
          <w:lang w:val="pt-BR"/>
        </w:rPr>
        <w:t xml:space="preserve">a </w:t>
      </w:r>
      <w:r w:rsidR="00F633DD" w:rsidRPr="00C40BD9">
        <w:rPr>
          <w:rFonts w:ascii="Verdana" w:hAnsi="Verdana"/>
          <w:sz w:val="20"/>
          <w:szCs w:val="20"/>
          <w:lang w:val="pt-BR"/>
        </w:rPr>
        <w:t>Sentença</w:t>
      </w:r>
      <w:r w:rsidR="00DE316A">
        <w:rPr>
          <w:rFonts w:ascii="Verdana" w:hAnsi="Verdana"/>
          <w:sz w:val="20"/>
          <w:szCs w:val="20"/>
          <w:lang w:val="pt-BR"/>
        </w:rPr>
        <w:t xml:space="preserve"> </w:t>
      </w:r>
      <w:r w:rsidR="00F24042" w:rsidRPr="00C40BD9">
        <w:rPr>
          <w:rFonts w:ascii="Verdana" w:hAnsi="Verdana"/>
          <w:sz w:val="20"/>
          <w:szCs w:val="20"/>
          <w:lang w:val="pt-BR"/>
        </w:rPr>
        <w:t>de Exce</w:t>
      </w:r>
      <w:r w:rsidR="00F633DD" w:rsidRPr="00C40BD9">
        <w:rPr>
          <w:rFonts w:ascii="Verdana" w:hAnsi="Verdana"/>
          <w:sz w:val="20"/>
          <w:szCs w:val="20"/>
          <w:lang w:val="pt-BR"/>
        </w:rPr>
        <w:t>ções</w:t>
      </w:r>
      <w:r w:rsidR="00F24042" w:rsidRPr="00C40BD9">
        <w:rPr>
          <w:rFonts w:ascii="Verdana" w:hAnsi="Verdana"/>
          <w:sz w:val="20"/>
          <w:szCs w:val="20"/>
          <w:lang w:val="pt-BR"/>
        </w:rPr>
        <w:t xml:space="preserve"> Preliminares, </w:t>
      </w:r>
      <w:r>
        <w:rPr>
          <w:rFonts w:ascii="Verdana" w:hAnsi="Verdana"/>
          <w:sz w:val="20"/>
          <w:szCs w:val="20"/>
          <w:lang w:val="pt-BR"/>
        </w:rPr>
        <w:t>Mérito</w:t>
      </w:r>
      <w:r w:rsidR="00F24042" w:rsidRPr="00C40BD9">
        <w:rPr>
          <w:rFonts w:ascii="Verdana" w:hAnsi="Verdana"/>
          <w:sz w:val="20"/>
          <w:szCs w:val="20"/>
          <w:lang w:val="pt-BR"/>
        </w:rPr>
        <w:t>, Repara</w:t>
      </w:r>
      <w:r w:rsidR="00F633DD" w:rsidRPr="00C40BD9">
        <w:rPr>
          <w:rFonts w:ascii="Verdana" w:hAnsi="Verdana"/>
          <w:sz w:val="20"/>
          <w:szCs w:val="20"/>
          <w:lang w:val="pt-BR"/>
        </w:rPr>
        <w:t>ções</w:t>
      </w:r>
      <w:r w:rsidR="00F24042" w:rsidRPr="00C40BD9">
        <w:rPr>
          <w:rFonts w:ascii="Verdana" w:hAnsi="Verdana"/>
          <w:sz w:val="20"/>
          <w:szCs w:val="20"/>
          <w:lang w:val="pt-BR"/>
        </w:rPr>
        <w:t xml:space="preserve"> </w:t>
      </w:r>
      <w:r w:rsidR="00F633DD" w:rsidRPr="00C40BD9">
        <w:rPr>
          <w:rFonts w:ascii="Verdana" w:hAnsi="Verdana"/>
          <w:sz w:val="20"/>
          <w:szCs w:val="20"/>
          <w:lang w:val="pt-BR"/>
        </w:rPr>
        <w:t>e</w:t>
      </w:r>
      <w:r w:rsidR="00DE316A">
        <w:rPr>
          <w:rFonts w:ascii="Verdana" w:hAnsi="Verdana"/>
          <w:sz w:val="20"/>
          <w:szCs w:val="20"/>
          <w:lang w:val="pt-BR"/>
        </w:rPr>
        <w:t xml:space="preserve"> </w:t>
      </w:r>
      <w:r w:rsidR="00F24042" w:rsidRPr="00C40BD9">
        <w:rPr>
          <w:rFonts w:ascii="Verdana" w:hAnsi="Verdana"/>
          <w:sz w:val="20"/>
          <w:szCs w:val="20"/>
          <w:lang w:val="pt-BR"/>
        </w:rPr>
        <w:t>C</w:t>
      </w:r>
      <w:r>
        <w:rPr>
          <w:rFonts w:ascii="Verdana" w:hAnsi="Verdana"/>
          <w:sz w:val="20"/>
          <w:szCs w:val="20"/>
          <w:lang w:val="pt-BR"/>
        </w:rPr>
        <w:t>u</w:t>
      </w:r>
      <w:r w:rsidR="00F24042" w:rsidRPr="00C40BD9">
        <w:rPr>
          <w:rFonts w:ascii="Verdana" w:hAnsi="Verdana"/>
          <w:sz w:val="20"/>
          <w:szCs w:val="20"/>
          <w:lang w:val="pt-BR"/>
        </w:rPr>
        <w:t>stas, nos t</w:t>
      </w:r>
      <w:r>
        <w:rPr>
          <w:rFonts w:ascii="Verdana" w:hAnsi="Verdana"/>
          <w:sz w:val="20"/>
          <w:szCs w:val="20"/>
          <w:lang w:val="pt-BR"/>
        </w:rPr>
        <w:t>e</w:t>
      </w:r>
      <w:r w:rsidR="00F24042" w:rsidRPr="00C40BD9">
        <w:rPr>
          <w:rFonts w:ascii="Verdana" w:hAnsi="Verdana"/>
          <w:sz w:val="20"/>
          <w:szCs w:val="20"/>
          <w:lang w:val="pt-BR"/>
        </w:rPr>
        <w:t xml:space="preserve">rmos </w:t>
      </w:r>
      <w:r w:rsidR="00C06A9B" w:rsidRPr="00C40BD9">
        <w:rPr>
          <w:rFonts w:ascii="Verdana" w:hAnsi="Verdana"/>
          <w:sz w:val="20"/>
          <w:szCs w:val="20"/>
          <w:lang w:val="pt-BR"/>
        </w:rPr>
        <w:t xml:space="preserve">dos </w:t>
      </w:r>
      <w:r w:rsidR="00635878" w:rsidRPr="00C40BD9">
        <w:rPr>
          <w:rFonts w:ascii="Verdana" w:hAnsi="Verdana"/>
          <w:sz w:val="20"/>
          <w:szCs w:val="20"/>
          <w:lang w:val="pt-BR"/>
        </w:rPr>
        <w:t>parágrafos</w:t>
      </w:r>
      <w:r w:rsidR="00DE316A">
        <w:rPr>
          <w:rFonts w:ascii="Verdana" w:hAnsi="Verdana"/>
          <w:sz w:val="20"/>
          <w:szCs w:val="20"/>
          <w:lang w:val="pt-BR"/>
        </w:rPr>
        <w:t xml:space="preserve"> </w:t>
      </w:r>
      <w:r w:rsidR="00ED7628" w:rsidRPr="00140630">
        <w:rPr>
          <w:rFonts w:ascii="Verdana" w:hAnsi="Verdana"/>
          <w:sz w:val="20"/>
          <w:szCs w:val="20"/>
          <w:lang w:val="pt-BR"/>
        </w:rPr>
        <w:t xml:space="preserve">21 a 29, 49 a 52, 57 a 59 </w:t>
      </w:r>
      <w:r w:rsidR="00F633DD" w:rsidRPr="00140630">
        <w:rPr>
          <w:rFonts w:ascii="Verdana" w:hAnsi="Verdana"/>
          <w:sz w:val="20"/>
          <w:szCs w:val="20"/>
          <w:lang w:val="pt-BR"/>
        </w:rPr>
        <w:t>e</w:t>
      </w:r>
      <w:r w:rsidR="00DE316A" w:rsidRPr="00140630">
        <w:rPr>
          <w:rFonts w:ascii="Verdana" w:hAnsi="Verdana"/>
          <w:sz w:val="20"/>
          <w:szCs w:val="20"/>
          <w:lang w:val="pt-BR"/>
        </w:rPr>
        <w:t xml:space="preserve"> </w:t>
      </w:r>
      <w:r w:rsidR="00ED7628" w:rsidRPr="00140630">
        <w:rPr>
          <w:rFonts w:ascii="Verdana" w:hAnsi="Verdana"/>
          <w:sz w:val="20"/>
          <w:szCs w:val="20"/>
          <w:lang w:val="pt-BR"/>
        </w:rPr>
        <w:t>64 a 65</w:t>
      </w:r>
      <w:r w:rsidR="00823505" w:rsidRPr="00C40BD9">
        <w:rPr>
          <w:rFonts w:ascii="Verdana" w:hAnsi="Verdana"/>
          <w:sz w:val="20"/>
          <w:szCs w:val="20"/>
          <w:lang w:val="pt-BR"/>
        </w:rPr>
        <w:t xml:space="preserve"> </w:t>
      </w:r>
      <w:r w:rsidR="00F633DD" w:rsidRPr="00C40BD9">
        <w:rPr>
          <w:rFonts w:ascii="Verdana" w:hAnsi="Verdana"/>
          <w:sz w:val="20"/>
          <w:szCs w:val="20"/>
          <w:lang w:val="pt-BR"/>
        </w:rPr>
        <w:t xml:space="preserve">da </w:t>
      </w:r>
      <w:r w:rsidR="00F24042" w:rsidRPr="00C40BD9">
        <w:rPr>
          <w:rFonts w:ascii="Verdana" w:hAnsi="Verdana"/>
          <w:sz w:val="20"/>
          <w:szCs w:val="20"/>
          <w:lang w:val="pt-BR"/>
        </w:rPr>
        <w:t xml:space="preserve">presente </w:t>
      </w:r>
      <w:r w:rsidR="00F633DD" w:rsidRPr="00C40BD9">
        <w:rPr>
          <w:rFonts w:ascii="Verdana" w:hAnsi="Verdana"/>
          <w:sz w:val="20"/>
          <w:szCs w:val="20"/>
          <w:lang w:val="pt-BR"/>
        </w:rPr>
        <w:t>Sentença</w:t>
      </w:r>
      <w:r w:rsidR="00DE316A">
        <w:rPr>
          <w:rFonts w:ascii="Verdana" w:hAnsi="Verdana"/>
          <w:sz w:val="20"/>
          <w:szCs w:val="20"/>
          <w:lang w:val="pt-BR"/>
        </w:rPr>
        <w:t xml:space="preserve"> </w:t>
      </w:r>
      <w:r w:rsidR="00F24042" w:rsidRPr="00C40BD9">
        <w:rPr>
          <w:rFonts w:ascii="Verdana" w:hAnsi="Verdana"/>
          <w:sz w:val="20"/>
          <w:szCs w:val="20"/>
          <w:lang w:val="pt-BR"/>
        </w:rPr>
        <w:t>de Interpreta</w:t>
      </w:r>
      <w:r w:rsidR="00F633DD" w:rsidRPr="00C40BD9">
        <w:rPr>
          <w:rFonts w:ascii="Verdana" w:hAnsi="Verdana"/>
          <w:sz w:val="20"/>
          <w:szCs w:val="20"/>
          <w:lang w:val="pt-BR"/>
        </w:rPr>
        <w:t>ção</w:t>
      </w:r>
      <w:r w:rsidR="00F24042" w:rsidRPr="00C40BD9">
        <w:rPr>
          <w:rFonts w:ascii="Verdana" w:hAnsi="Verdana"/>
          <w:sz w:val="20"/>
          <w:szCs w:val="20"/>
          <w:lang w:val="pt-BR"/>
        </w:rPr>
        <w:t xml:space="preserve">. </w:t>
      </w:r>
    </w:p>
    <w:p w:rsidR="00CC395C" w:rsidRPr="00C40BD9" w:rsidRDefault="00CC395C" w:rsidP="00CC395C">
      <w:pPr>
        <w:pStyle w:val="ListParagraph"/>
        <w:spacing w:after="0" w:line="240" w:lineRule="auto"/>
        <w:ind w:left="0"/>
        <w:jc w:val="both"/>
        <w:rPr>
          <w:rFonts w:ascii="Verdana" w:hAnsi="Verdana"/>
          <w:sz w:val="20"/>
          <w:szCs w:val="20"/>
          <w:lang w:val="pt-BR"/>
        </w:rPr>
      </w:pPr>
    </w:p>
    <w:p w:rsidR="00417352" w:rsidRPr="00C40BD9" w:rsidRDefault="00EE7D27" w:rsidP="00CC395C">
      <w:pPr>
        <w:pStyle w:val="ListParagraph"/>
        <w:numPr>
          <w:ilvl w:val="0"/>
          <w:numId w:val="18"/>
        </w:numPr>
        <w:spacing w:after="0" w:line="240" w:lineRule="auto"/>
        <w:ind w:left="0" w:firstLine="0"/>
        <w:jc w:val="both"/>
        <w:rPr>
          <w:rFonts w:ascii="Verdana" w:hAnsi="Verdana"/>
          <w:sz w:val="20"/>
          <w:szCs w:val="20"/>
          <w:lang w:val="pt-BR"/>
        </w:rPr>
      </w:pPr>
      <w:r>
        <w:rPr>
          <w:rFonts w:ascii="Verdana" w:hAnsi="Verdana"/>
          <w:sz w:val="20"/>
          <w:szCs w:val="20"/>
          <w:lang w:val="pt-BR"/>
        </w:rPr>
        <w:t xml:space="preserve">Solicitar à </w:t>
      </w:r>
      <w:r w:rsidR="00635878" w:rsidRPr="00C40BD9">
        <w:rPr>
          <w:rFonts w:ascii="Verdana" w:hAnsi="Verdana"/>
          <w:sz w:val="20"/>
          <w:szCs w:val="20"/>
          <w:lang w:val="pt-BR"/>
        </w:rPr>
        <w:t>Secretaria</w:t>
      </w:r>
      <w:r w:rsidR="00DE316A">
        <w:rPr>
          <w:rFonts w:ascii="Verdana" w:hAnsi="Verdana"/>
          <w:sz w:val="20"/>
          <w:szCs w:val="20"/>
          <w:lang w:val="pt-BR"/>
        </w:rPr>
        <w:t xml:space="preserve"> </w:t>
      </w:r>
      <w:r w:rsidR="00F633DD" w:rsidRPr="00C40BD9">
        <w:rPr>
          <w:rFonts w:ascii="Verdana" w:hAnsi="Verdana"/>
          <w:sz w:val="20"/>
          <w:szCs w:val="20"/>
          <w:lang w:val="pt-BR"/>
        </w:rPr>
        <w:t xml:space="preserve">da </w:t>
      </w:r>
      <w:r w:rsidR="00F24042" w:rsidRPr="00C40BD9">
        <w:rPr>
          <w:rFonts w:ascii="Verdana" w:hAnsi="Verdana"/>
          <w:sz w:val="20"/>
          <w:szCs w:val="20"/>
          <w:lang w:val="pt-BR"/>
        </w:rPr>
        <w:t xml:space="preserve">Corte Interamericana de </w:t>
      </w:r>
      <w:r w:rsidR="00F633DD" w:rsidRPr="00C40BD9">
        <w:rPr>
          <w:rFonts w:ascii="Verdana" w:hAnsi="Verdana"/>
          <w:sz w:val="20"/>
          <w:szCs w:val="20"/>
          <w:lang w:val="pt-BR"/>
        </w:rPr>
        <w:t>Direitos</w:t>
      </w:r>
      <w:r w:rsidR="00DE316A">
        <w:rPr>
          <w:rFonts w:ascii="Verdana" w:hAnsi="Verdana"/>
          <w:sz w:val="20"/>
          <w:szCs w:val="20"/>
          <w:lang w:val="pt-BR"/>
        </w:rPr>
        <w:t xml:space="preserve"> </w:t>
      </w:r>
      <w:r w:rsidR="00F24042" w:rsidRPr="00C40BD9">
        <w:rPr>
          <w:rFonts w:ascii="Verdana" w:hAnsi="Verdana"/>
          <w:sz w:val="20"/>
          <w:szCs w:val="20"/>
          <w:lang w:val="pt-BR"/>
        </w:rPr>
        <w:t xml:space="preserve">Humanos que notifique </w:t>
      </w:r>
      <w:r>
        <w:rPr>
          <w:rFonts w:ascii="Verdana" w:hAnsi="Verdana"/>
          <w:sz w:val="20"/>
          <w:szCs w:val="20"/>
          <w:lang w:val="pt-BR"/>
        </w:rPr>
        <w:t>d</w:t>
      </w:r>
      <w:r w:rsidR="00F24042" w:rsidRPr="00C40BD9">
        <w:rPr>
          <w:rFonts w:ascii="Verdana" w:hAnsi="Verdana"/>
          <w:sz w:val="20"/>
          <w:szCs w:val="20"/>
          <w:lang w:val="pt-BR"/>
        </w:rPr>
        <w:t xml:space="preserve">a presente </w:t>
      </w:r>
      <w:r w:rsidR="00F633DD" w:rsidRPr="00C40BD9">
        <w:rPr>
          <w:rFonts w:ascii="Verdana" w:hAnsi="Verdana"/>
          <w:sz w:val="20"/>
          <w:szCs w:val="20"/>
          <w:lang w:val="pt-BR"/>
        </w:rPr>
        <w:t>Sentença</w:t>
      </w:r>
      <w:r w:rsidR="00DE316A">
        <w:rPr>
          <w:rFonts w:ascii="Verdana" w:hAnsi="Verdana"/>
          <w:sz w:val="20"/>
          <w:szCs w:val="20"/>
          <w:lang w:val="pt-BR"/>
        </w:rPr>
        <w:t xml:space="preserve"> </w:t>
      </w:r>
      <w:r w:rsidR="00F24042" w:rsidRPr="00C40BD9">
        <w:rPr>
          <w:rFonts w:ascii="Verdana" w:hAnsi="Verdana"/>
          <w:sz w:val="20"/>
          <w:szCs w:val="20"/>
          <w:lang w:val="pt-BR"/>
        </w:rPr>
        <w:t>de Interpreta</w:t>
      </w:r>
      <w:r w:rsidR="00F633DD" w:rsidRPr="00C40BD9">
        <w:rPr>
          <w:rFonts w:ascii="Verdana" w:hAnsi="Verdana"/>
          <w:sz w:val="20"/>
          <w:szCs w:val="20"/>
          <w:lang w:val="pt-BR"/>
        </w:rPr>
        <w:t>ção</w:t>
      </w:r>
      <w:r w:rsidR="00F24042" w:rsidRPr="00C40BD9">
        <w:rPr>
          <w:rFonts w:ascii="Verdana" w:hAnsi="Verdana"/>
          <w:sz w:val="20"/>
          <w:szCs w:val="20"/>
          <w:lang w:val="pt-BR"/>
        </w:rPr>
        <w:t xml:space="preserve"> </w:t>
      </w:r>
      <w:r>
        <w:rPr>
          <w:rFonts w:ascii="Verdana" w:hAnsi="Verdana"/>
          <w:sz w:val="20"/>
          <w:szCs w:val="20"/>
          <w:lang w:val="pt-BR"/>
        </w:rPr>
        <w:t>o</w:t>
      </w:r>
      <w:r w:rsidR="00F24042" w:rsidRPr="00C40BD9">
        <w:rPr>
          <w:rFonts w:ascii="Verdana" w:hAnsi="Verdana"/>
          <w:sz w:val="20"/>
          <w:szCs w:val="20"/>
          <w:lang w:val="pt-BR"/>
        </w:rPr>
        <w:t xml:space="preserve"> Estado, </w:t>
      </w:r>
      <w:r w:rsidR="00C06A9B" w:rsidRPr="00C40BD9">
        <w:rPr>
          <w:rFonts w:ascii="Verdana" w:hAnsi="Verdana"/>
          <w:sz w:val="20"/>
          <w:szCs w:val="20"/>
          <w:lang w:val="pt-BR"/>
        </w:rPr>
        <w:t>os representantes das vítimas</w:t>
      </w:r>
      <w:r w:rsidR="00DE316A">
        <w:rPr>
          <w:rFonts w:ascii="Verdana" w:hAnsi="Verdana"/>
          <w:sz w:val="20"/>
          <w:szCs w:val="20"/>
          <w:lang w:val="pt-BR"/>
        </w:rPr>
        <w:t xml:space="preserve"> </w:t>
      </w:r>
      <w:r w:rsidR="00F633DD" w:rsidRPr="00C40BD9">
        <w:rPr>
          <w:rFonts w:ascii="Verdana" w:hAnsi="Verdana"/>
          <w:sz w:val="20"/>
          <w:szCs w:val="20"/>
          <w:lang w:val="pt-BR"/>
        </w:rPr>
        <w:t>e</w:t>
      </w:r>
      <w:r w:rsidR="00DE316A">
        <w:rPr>
          <w:rFonts w:ascii="Verdana" w:hAnsi="Verdana"/>
          <w:sz w:val="20"/>
          <w:szCs w:val="20"/>
          <w:lang w:val="pt-BR"/>
        </w:rPr>
        <w:t xml:space="preserve"> </w:t>
      </w:r>
      <w:r>
        <w:rPr>
          <w:rFonts w:ascii="Verdana" w:hAnsi="Verdana"/>
          <w:sz w:val="20"/>
          <w:szCs w:val="20"/>
          <w:lang w:val="pt-BR"/>
        </w:rPr>
        <w:t xml:space="preserve">a </w:t>
      </w:r>
      <w:r w:rsidR="00C06A9B" w:rsidRPr="00C40BD9">
        <w:rPr>
          <w:rFonts w:ascii="Verdana" w:hAnsi="Verdana"/>
          <w:sz w:val="20"/>
          <w:szCs w:val="20"/>
          <w:lang w:val="pt-BR"/>
        </w:rPr>
        <w:t>Comissão</w:t>
      </w:r>
      <w:r w:rsidR="00DE316A">
        <w:rPr>
          <w:rFonts w:ascii="Verdana" w:hAnsi="Verdana"/>
          <w:sz w:val="20"/>
          <w:szCs w:val="20"/>
          <w:lang w:val="pt-BR"/>
        </w:rPr>
        <w:t xml:space="preserve"> </w:t>
      </w:r>
      <w:r w:rsidR="00F24042" w:rsidRPr="00C40BD9">
        <w:rPr>
          <w:rFonts w:ascii="Verdana" w:hAnsi="Verdana"/>
          <w:sz w:val="20"/>
          <w:szCs w:val="20"/>
          <w:lang w:val="pt-BR"/>
        </w:rPr>
        <w:t xml:space="preserve">Interamericana. </w:t>
      </w:r>
    </w:p>
    <w:p w:rsidR="00CC395C" w:rsidRDefault="00CC395C" w:rsidP="00CC395C">
      <w:pPr>
        <w:spacing w:after="0" w:line="240" w:lineRule="auto"/>
        <w:jc w:val="both"/>
        <w:rPr>
          <w:rFonts w:ascii="Verdana" w:hAnsi="Verdana"/>
          <w:sz w:val="20"/>
          <w:szCs w:val="20"/>
          <w:lang w:val="pt-BR"/>
        </w:rPr>
      </w:pPr>
    </w:p>
    <w:p w:rsidR="00D77498" w:rsidRDefault="00D77498" w:rsidP="00CC395C">
      <w:pPr>
        <w:spacing w:after="0" w:line="240" w:lineRule="auto"/>
        <w:jc w:val="both"/>
        <w:rPr>
          <w:rFonts w:ascii="Verdana" w:hAnsi="Verdana"/>
          <w:sz w:val="20"/>
          <w:szCs w:val="20"/>
          <w:lang w:val="pt-BR"/>
        </w:rPr>
      </w:pPr>
    </w:p>
    <w:p w:rsidR="00D77498" w:rsidRDefault="00D77498" w:rsidP="00CC395C">
      <w:pPr>
        <w:spacing w:after="0" w:line="240" w:lineRule="auto"/>
        <w:jc w:val="both"/>
        <w:rPr>
          <w:rFonts w:ascii="Verdana" w:hAnsi="Verdana"/>
          <w:sz w:val="20"/>
          <w:szCs w:val="20"/>
          <w:lang w:val="pt-BR"/>
        </w:rPr>
      </w:pPr>
    </w:p>
    <w:p w:rsidR="00D77498" w:rsidRDefault="00D77498" w:rsidP="00CC395C">
      <w:pPr>
        <w:spacing w:after="0" w:line="240" w:lineRule="auto"/>
        <w:jc w:val="both"/>
        <w:rPr>
          <w:rFonts w:ascii="Verdana" w:hAnsi="Verdana"/>
          <w:sz w:val="20"/>
          <w:szCs w:val="20"/>
          <w:lang w:val="pt-BR"/>
        </w:rPr>
      </w:pPr>
    </w:p>
    <w:p w:rsidR="00D77498" w:rsidRDefault="00D77498" w:rsidP="00CC395C">
      <w:pPr>
        <w:spacing w:after="0" w:line="240" w:lineRule="auto"/>
        <w:jc w:val="both"/>
        <w:rPr>
          <w:rFonts w:ascii="Verdana" w:hAnsi="Verdana"/>
          <w:sz w:val="20"/>
          <w:szCs w:val="20"/>
          <w:lang w:val="pt-BR"/>
        </w:rPr>
      </w:pPr>
    </w:p>
    <w:p w:rsidR="00D77498" w:rsidRDefault="00D77498" w:rsidP="00CC395C">
      <w:pPr>
        <w:spacing w:after="0" w:line="240" w:lineRule="auto"/>
        <w:jc w:val="both"/>
        <w:rPr>
          <w:rFonts w:ascii="Verdana" w:hAnsi="Verdana"/>
          <w:sz w:val="20"/>
          <w:szCs w:val="20"/>
          <w:lang w:val="pt-BR"/>
        </w:rPr>
      </w:pPr>
    </w:p>
    <w:p w:rsidR="00093960" w:rsidRDefault="00093960" w:rsidP="00CC395C">
      <w:pPr>
        <w:spacing w:after="0" w:line="240" w:lineRule="auto"/>
        <w:jc w:val="both"/>
        <w:rPr>
          <w:rFonts w:ascii="Verdana" w:hAnsi="Verdana"/>
          <w:sz w:val="20"/>
          <w:szCs w:val="20"/>
          <w:lang w:val="pt-BR"/>
        </w:rPr>
      </w:pPr>
    </w:p>
    <w:p w:rsidR="00093960" w:rsidRDefault="00093960" w:rsidP="00CC395C">
      <w:pPr>
        <w:spacing w:after="0" w:line="240" w:lineRule="auto"/>
        <w:jc w:val="both"/>
        <w:rPr>
          <w:rFonts w:ascii="Verdana" w:hAnsi="Verdana"/>
          <w:sz w:val="20"/>
          <w:szCs w:val="20"/>
          <w:lang w:val="pt-BR"/>
        </w:rPr>
      </w:pPr>
    </w:p>
    <w:p w:rsidR="00F630D9" w:rsidRDefault="00F630D9" w:rsidP="00F630D9">
      <w:pPr>
        <w:jc w:val="both"/>
        <w:rPr>
          <w:rFonts w:ascii="Verdana" w:hAnsi="Verdana"/>
          <w:sz w:val="20"/>
        </w:rPr>
      </w:pPr>
      <w:r>
        <w:rPr>
          <w:rFonts w:ascii="Verdana" w:hAnsi="Verdana"/>
          <w:sz w:val="20"/>
        </w:rPr>
        <w:lastRenderedPageBreak/>
        <w:t xml:space="preserve">Corte IDH. </w:t>
      </w:r>
      <w:r w:rsidRPr="00881D57">
        <w:rPr>
          <w:rFonts w:ascii="Verdana" w:hAnsi="Verdana"/>
          <w:i/>
          <w:sz w:val="20"/>
        </w:rPr>
        <w:t xml:space="preserve">Caso </w:t>
      </w:r>
      <w:r>
        <w:rPr>
          <w:rFonts w:ascii="Verdana" w:hAnsi="Verdana"/>
          <w:i/>
          <w:sz w:val="20"/>
        </w:rPr>
        <w:t>Favela Nova Brasilia Vs. Brasil</w:t>
      </w:r>
      <w:r>
        <w:rPr>
          <w:rFonts w:ascii="Verdana" w:hAnsi="Verdana"/>
          <w:sz w:val="20"/>
        </w:rPr>
        <w:t xml:space="preserve">. </w:t>
      </w:r>
      <w:r w:rsidRPr="00E115F8">
        <w:rPr>
          <w:rFonts w:ascii="Verdana" w:hAnsi="Verdana"/>
          <w:sz w:val="20"/>
        </w:rPr>
        <w:t>Interpretação da</w:t>
      </w:r>
      <w:r>
        <w:rPr>
          <w:rFonts w:ascii="Verdana" w:hAnsi="Verdana"/>
          <w:sz w:val="20"/>
        </w:rPr>
        <w:t xml:space="preserve"> </w:t>
      </w:r>
      <w:r w:rsidRPr="00E115F8">
        <w:rPr>
          <w:rFonts w:ascii="Verdana" w:hAnsi="Verdana"/>
          <w:sz w:val="20"/>
        </w:rPr>
        <w:t xml:space="preserve">Sentença </w:t>
      </w:r>
      <w:r>
        <w:rPr>
          <w:rFonts w:ascii="Verdana" w:hAnsi="Verdana"/>
          <w:sz w:val="20"/>
        </w:rPr>
        <w:t>de</w:t>
      </w:r>
      <w:r w:rsidRPr="00E115F8">
        <w:rPr>
          <w:rFonts w:ascii="Verdana" w:hAnsi="Verdana"/>
          <w:sz w:val="20"/>
        </w:rPr>
        <w:t xml:space="preserve"> Exceções Preliminares, Mérito, Reparações e Custas.</w:t>
      </w:r>
      <w:r>
        <w:rPr>
          <w:rFonts w:ascii="Verdana" w:hAnsi="Verdana"/>
          <w:sz w:val="20"/>
        </w:rPr>
        <w:t xml:space="preserve"> </w:t>
      </w:r>
      <w:r w:rsidRPr="00E115F8">
        <w:rPr>
          <w:rFonts w:ascii="Verdana" w:hAnsi="Verdana"/>
          <w:sz w:val="20"/>
        </w:rPr>
        <w:t>Sentença</w:t>
      </w:r>
      <w:r>
        <w:rPr>
          <w:rFonts w:ascii="Verdana" w:hAnsi="Verdana"/>
          <w:sz w:val="20"/>
        </w:rPr>
        <w:t xml:space="preserve"> de 5 de fevereiro de 2018. </w:t>
      </w:r>
    </w:p>
    <w:p w:rsidR="00F630D9" w:rsidRPr="0019261A" w:rsidRDefault="00F630D9" w:rsidP="00F630D9">
      <w:pPr>
        <w:spacing w:after="0"/>
        <w:rPr>
          <w:rFonts w:ascii="Verdana" w:hAnsi="Verdana"/>
          <w:strike/>
          <w:sz w:val="20"/>
          <w:lang w:val="pt-BR"/>
        </w:rPr>
      </w:pPr>
    </w:p>
    <w:p w:rsidR="00F630D9" w:rsidRDefault="00F630D9" w:rsidP="00F630D9">
      <w:pPr>
        <w:spacing w:after="0"/>
        <w:rPr>
          <w:rFonts w:ascii="Verdana" w:hAnsi="Verdana"/>
          <w:sz w:val="20"/>
          <w:lang w:val="pt-BR"/>
        </w:rPr>
      </w:pPr>
    </w:p>
    <w:p w:rsidR="00F630D9" w:rsidRDefault="00F630D9" w:rsidP="00F630D9">
      <w:pPr>
        <w:spacing w:after="0"/>
        <w:rPr>
          <w:rFonts w:ascii="Verdana" w:hAnsi="Verdana"/>
          <w:sz w:val="20"/>
          <w:lang w:val="pt-BR"/>
        </w:rPr>
      </w:pPr>
    </w:p>
    <w:p w:rsidR="00F630D9" w:rsidRPr="0019261A" w:rsidRDefault="00F630D9" w:rsidP="00F630D9">
      <w:pPr>
        <w:spacing w:after="0"/>
        <w:rPr>
          <w:rFonts w:ascii="Verdana" w:hAnsi="Verdana"/>
          <w:sz w:val="20"/>
          <w:lang w:val="pt-BR"/>
        </w:rPr>
      </w:pPr>
    </w:p>
    <w:p w:rsidR="00F630D9" w:rsidRPr="0019261A" w:rsidRDefault="00F630D9" w:rsidP="00F630D9">
      <w:pPr>
        <w:spacing w:after="0"/>
        <w:jc w:val="center"/>
        <w:rPr>
          <w:rFonts w:ascii="Verdana" w:hAnsi="Verdana"/>
          <w:sz w:val="20"/>
          <w:lang w:val="pt-BR"/>
        </w:rPr>
      </w:pPr>
      <w:r w:rsidRPr="0019261A">
        <w:rPr>
          <w:rFonts w:ascii="Verdana" w:hAnsi="Verdana"/>
          <w:sz w:val="20"/>
          <w:lang w:val="pt-BR"/>
        </w:rPr>
        <w:t>Eduardo Ferrer Mac-Gregor Poisot</w:t>
      </w:r>
    </w:p>
    <w:p w:rsidR="00F630D9" w:rsidRDefault="00F630D9" w:rsidP="00F630D9">
      <w:pPr>
        <w:spacing w:after="0"/>
        <w:jc w:val="center"/>
        <w:rPr>
          <w:rFonts w:ascii="Verdana" w:hAnsi="Verdana"/>
          <w:sz w:val="20"/>
          <w:lang w:val="pt-BR"/>
        </w:rPr>
      </w:pPr>
      <w:r w:rsidRPr="0019261A">
        <w:rPr>
          <w:rFonts w:ascii="Verdana" w:hAnsi="Verdana"/>
          <w:sz w:val="20"/>
          <w:lang w:val="pt-BR"/>
        </w:rPr>
        <w:t xml:space="preserve">Presidente </w:t>
      </w:r>
    </w:p>
    <w:p w:rsidR="00F630D9" w:rsidRPr="0019261A" w:rsidRDefault="00F630D9" w:rsidP="00F630D9">
      <w:pPr>
        <w:spacing w:after="0"/>
        <w:jc w:val="center"/>
        <w:rPr>
          <w:rFonts w:ascii="Verdana" w:hAnsi="Verdana"/>
          <w:sz w:val="20"/>
          <w:lang w:val="pt-BR"/>
        </w:rPr>
      </w:pPr>
    </w:p>
    <w:p w:rsidR="00F630D9" w:rsidRPr="0019261A" w:rsidRDefault="00F630D9" w:rsidP="00F630D9">
      <w:pPr>
        <w:spacing w:after="0"/>
        <w:rPr>
          <w:rFonts w:ascii="Verdana" w:hAnsi="Verdana"/>
          <w:sz w:val="20"/>
          <w:lang w:val="pt-BR"/>
        </w:rPr>
      </w:pPr>
    </w:p>
    <w:p w:rsidR="00F630D9" w:rsidRPr="0019261A" w:rsidRDefault="00F630D9" w:rsidP="00F630D9">
      <w:pPr>
        <w:spacing w:after="0"/>
        <w:rPr>
          <w:rFonts w:ascii="Verdana" w:hAnsi="Verdana"/>
          <w:sz w:val="20"/>
          <w:lang w:val="pt-BR"/>
        </w:rPr>
      </w:pPr>
    </w:p>
    <w:p w:rsidR="00F630D9" w:rsidRPr="0019261A" w:rsidRDefault="00F630D9" w:rsidP="00F630D9">
      <w:pPr>
        <w:spacing w:after="0"/>
        <w:rPr>
          <w:rFonts w:ascii="Verdana" w:hAnsi="Verdana"/>
          <w:sz w:val="20"/>
          <w:lang w:val="pt-BR"/>
        </w:rPr>
      </w:pPr>
    </w:p>
    <w:p w:rsidR="00F630D9" w:rsidRPr="0019261A" w:rsidRDefault="00F630D9" w:rsidP="00F630D9">
      <w:pPr>
        <w:spacing w:after="0"/>
        <w:rPr>
          <w:rFonts w:ascii="Verdana" w:hAnsi="Verdana"/>
          <w:sz w:val="20"/>
          <w:lang w:val="pt-BR"/>
        </w:rPr>
      </w:pPr>
      <w:r w:rsidRPr="0019261A">
        <w:rPr>
          <w:rFonts w:ascii="Verdana" w:hAnsi="Verdana"/>
          <w:sz w:val="20"/>
          <w:lang w:val="pt-BR"/>
        </w:rPr>
        <w:t xml:space="preserve"> Eduardo Vio Grossi</w:t>
      </w:r>
      <w:r w:rsidRPr="0019261A">
        <w:rPr>
          <w:rFonts w:ascii="Verdana" w:hAnsi="Verdana"/>
          <w:sz w:val="20"/>
          <w:lang w:val="pt-BR"/>
        </w:rPr>
        <w:tab/>
      </w:r>
      <w:r w:rsidRPr="0019261A">
        <w:rPr>
          <w:rFonts w:ascii="Verdana" w:hAnsi="Verdana"/>
          <w:sz w:val="20"/>
          <w:lang w:val="pt-BR"/>
        </w:rPr>
        <w:tab/>
      </w:r>
      <w:r w:rsidRPr="0019261A">
        <w:rPr>
          <w:rFonts w:ascii="Verdana" w:hAnsi="Verdana"/>
          <w:sz w:val="20"/>
          <w:lang w:val="pt-BR"/>
        </w:rPr>
        <w:tab/>
      </w:r>
      <w:r w:rsidRPr="0019261A">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r w:rsidRPr="0019261A">
        <w:rPr>
          <w:rFonts w:ascii="Verdana" w:hAnsi="Verdana"/>
          <w:sz w:val="20"/>
          <w:lang w:val="pt-BR"/>
        </w:rPr>
        <w:t xml:space="preserve">Humberto </w:t>
      </w:r>
      <w:r>
        <w:rPr>
          <w:rFonts w:ascii="Verdana" w:hAnsi="Verdana"/>
          <w:sz w:val="20"/>
          <w:lang w:val="pt-BR"/>
        </w:rPr>
        <w:t xml:space="preserve">A. </w:t>
      </w:r>
      <w:r w:rsidRPr="0019261A">
        <w:rPr>
          <w:rFonts w:ascii="Verdana" w:hAnsi="Verdana"/>
          <w:sz w:val="20"/>
          <w:lang w:val="pt-BR"/>
        </w:rPr>
        <w:t>Sierra Porto</w:t>
      </w:r>
      <w:r w:rsidRPr="0019261A">
        <w:rPr>
          <w:rFonts w:ascii="Verdana" w:hAnsi="Verdana"/>
          <w:sz w:val="20"/>
          <w:lang w:val="pt-BR"/>
        </w:rPr>
        <w:tab/>
      </w:r>
      <w:r w:rsidRPr="0019261A">
        <w:rPr>
          <w:rFonts w:ascii="Verdana" w:hAnsi="Verdana"/>
          <w:sz w:val="20"/>
          <w:lang w:val="pt-BR"/>
        </w:rPr>
        <w:tab/>
      </w:r>
      <w:r w:rsidRPr="0019261A">
        <w:rPr>
          <w:rFonts w:ascii="Verdana" w:hAnsi="Verdana"/>
          <w:sz w:val="20"/>
          <w:lang w:val="pt-BR"/>
        </w:rPr>
        <w:tab/>
      </w:r>
    </w:p>
    <w:p w:rsidR="00F630D9" w:rsidRPr="0019261A" w:rsidRDefault="00F630D9" w:rsidP="00F630D9">
      <w:pPr>
        <w:spacing w:after="0"/>
        <w:rPr>
          <w:rFonts w:ascii="Verdana" w:hAnsi="Verdana"/>
          <w:sz w:val="20"/>
          <w:lang w:val="pt-BR"/>
        </w:rPr>
      </w:pPr>
    </w:p>
    <w:p w:rsidR="00F630D9" w:rsidRDefault="00F630D9" w:rsidP="00F630D9">
      <w:pPr>
        <w:spacing w:after="0"/>
        <w:rPr>
          <w:rFonts w:ascii="Verdana" w:hAnsi="Verdana"/>
          <w:sz w:val="20"/>
          <w:lang w:val="pt-BR"/>
        </w:rPr>
      </w:pPr>
    </w:p>
    <w:p w:rsidR="00F630D9" w:rsidRPr="0019261A" w:rsidRDefault="00F630D9" w:rsidP="00F630D9">
      <w:pPr>
        <w:spacing w:after="0"/>
        <w:rPr>
          <w:rFonts w:ascii="Verdana" w:hAnsi="Verdana"/>
          <w:sz w:val="20"/>
          <w:lang w:val="pt-BR"/>
        </w:rPr>
      </w:pPr>
    </w:p>
    <w:p w:rsidR="00F630D9" w:rsidRPr="0019261A" w:rsidRDefault="00F630D9" w:rsidP="00F630D9">
      <w:pPr>
        <w:spacing w:after="0"/>
        <w:rPr>
          <w:rFonts w:ascii="Verdana" w:hAnsi="Verdana"/>
          <w:sz w:val="20"/>
          <w:lang w:val="pt-BR"/>
        </w:rPr>
      </w:pPr>
    </w:p>
    <w:p w:rsidR="00F630D9" w:rsidRPr="0019261A" w:rsidRDefault="00F630D9" w:rsidP="00F630D9">
      <w:pPr>
        <w:spacing w:after="0"/>
        <w:rPr>
          <w:rFonts w:ascii="Verdana" w:hAnsi="Verdana"/>
          <w:sz w:val="20"/>
          <w:lang w:val="pt-BR"/>
        </w:rPr>
      </w:pPr>
      <w:r w:rsidRPr="0019261A">
        <w:rPr>
          <w:rFonts w:ascii="Verdana" w:hAnsi="Verdana"/>
          <w:sz w:val="20"/>
          <w:lang w:val="pt-BR"/>
        </w:rPr>
        <w:t>Eli</w:t>
      </w:r>
      <w:r>
        <w:rPr>
          <w:rFonts w:ascii="Verdana" w:hAnsi="Verdana"/>
          <w:sz w:val="20"/>
          <w:lang w:val="pt-BR"/>
        </w:rPr>
        <w:t>zabeth Odio Benito</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r w:rsidRPr="0019261A">
        <w:rPr>
          <w:rFonts w:ascii="Verdana" w:hAnsi="Verdana"/>
          <w:sz w:val="20"/>
          <w:lang w:val="pt-BR"/>
        </w:rPr>
        <w:t>Eugenio Raúl Zaffaroni</w:t>
      </w:r>
    </w:p>
    <w:p w:rsidR="00F630D9" w:rsidRPr="0019261A" w:rsidRDefault="00F630D9" w:rsidP="00F630D9">
      <w:pPr>
        <w:spacing w:after="0"/>
        <w:rPr>
          <w:rFonts w:ascii="Verdana" w:hAnsi="Verdana"/>
          <w:sz w:val="20"/>
          <w:lang w:val="pt-BR"/>
        </w:rPr>
      </w:pPr>
    </w:p>
    <w:p w:rsidR="00F630D9" w:rsidRPr="0019261A" w:rsidRDefault="00F630D9" w:rsidP="00F630D9">
      <w:pPr>
        <w:spacing w:after="0"/>
        <w:rPr>
          <w:rFonts w:ascii="Verdana" w:hAnsi="Verdana"/>
          <w:sz w:val="20"/>
          <w:lang w:val="pt-BR"/>
        </w:rPr>
      </w:pPr>
    </w:p>
    <w:p w:rsidR="00F630D9" w:rsidRPr="0019261A" w:rsidRDefault="00F630D9" w:rsidP="00F630D9">
      <w:pPr>
        <w:spacing w:after="0"/>
        <w:rPr>
          <w:rFonts w:ascii="Verdana" w:hAnsi="Verdana"/>
          <w:sz w:val="20"/>
          <w:lang w:val="pt-BR"/>
        </w:rPr>
      </w:pPr>
    </w:p>
    <w:p w:rsidR="00F630D9" w:rsidRPr="0019261A" w:rsidRDefault="00F630D9" w:rsidP="00F630D9">
      <w:pPr>
        <w:spacing w:after="0"/>
        <w:rPr>
          <w:rFonts w:ascii="Verdana" w:hAnsi="Verdana"/>
          <w:sz w:val="20"/>
          <w:lang w:val="pt-BR"/>
        </w:rPr>
      </w:pPr>
    </w:p>
    <w:p w:rsidR="00F630D9" w:rsidRPr="0019261A" w:rsidRDefault="00F630D9" w:rsidP="00F630D9">
      <w:pPr>
        <w:spacing w:after="0"/>
        <w:jc w:val="center"/>
        <w:rPr>
          <w:rFonts w:ascii="Verdana" w:hAnsi="Verdana"/>
          <w:sz w:val="20"/>
          <w:lang w:val="pt-BR"/>
        </w:rPr>
      </w:pPr>
      <w:r>
        <w:rPr>
          <w:rFonts w:ascii="Verdana" w:hAnsi="Verdana"/>
          <w:sz w:val="20"/>
          <w:lang w:val="pt-BR"/>
        </w:rPr>
        <w:t>L. Patricio Pazmiño Frei</w:t>
      </w:r>
      <w:r w:rsidRPr="0019261A">
        <w:rPr>
          <w:rFonts w:ascii="Verdana" w:hAnsi="Verdana"/>
          <w:sz w:val="20"/>
          <w:lang w:val="pt-BR"/>
        </w:rPr>
        <w:t>re</w:t>
      </w:r>
    </w:p>
    <w:p w:rsidR="00F630D9" w:rsidRPr="0019261A" w:rsidRDefault="00F630D9" w:rsidP="00F630D9">
      <w:pPr>
        <w:spacing w:after="0"/>
        <w:rPr>
          <w:rFonts w:ascii="Verdana" w:hAnsi="Verdana"/>
          <w:sz w:val="20"/>
          <w:lang w:val="pt-BR"/>
        </w:rPr>
      </w:pPr>
    </w:p>
    <w:p w:rsidR="00F630D9" w:rsidRDefault="00F630D9" w:rsidP="00F630D9">
      <w:pPr>
        <w:spacing w:after="0"/>
        <w:jc w:val="both"/>
        <w:rPr>
          <w:rFonts w:ascii="Verdana" w:hAnsi="Verdana"/>
          <w:sz w:val="20"/>
          <w:lang w:val="pt-BR"/>
        </w:rPr>
      </w:pPr>
    </w:p>
    <w:p w:rsidR="00F630D9" w:rsidRPr="0019261A" w:rsidRDefault="00F630D9" w:rsidP="00F630D9">
      <w:pPr>
        <w:spacing w:after="0"/>
        <w:jc w:val="both"/>
        <w:rPr>
          <w:rFonts w:ascii="Verdana" w:hAnsi="Verdana"/>
          <w:sz w:val="20"/>
          <w:lang w:val="pt-BR"/>
        </w:rPr>
      </w:pPr>
    </w:p>
    <w:p w:rsidR="00F630D9" w:rsidRPr="0019261A" w:rsidRDefault="00F630D9" w:rsidP="00F630D9">
      <w:pPr>
        <w:spacing w:after="0"/>
        <w:jc w:val="both"/>
        <w:rPr>
          <w:rFonts w:ascii="Verdana" w:hAnsi="Verdana"/>
          <w:sz w:val="20"/>
          <w:lang w:val="pt-BR"/>
        </w:rPr>
      </w:pPr>
    </w:p>
    <w:p w:rsidR="00F630D9" w:rsidRPr="00FC4051" w:rsidRDefault="00F630D9" w:rsidP="00F630D9">
      <w:pPr>
        <w:spacing w:after="0"/>
        <w:jc w:val="center"/>
        <w:rPr>
          <w:rFonts w:ascii="Verdana" w:hAnsi="Verdana"/>
          <w:sz w:val="20"/>
          <w:lang w:val="pt-BR"/>
        </w:rPr>
      </w:pPr>
      <w:r w:rsidRPr="00FC4051">
        <w:rPr>
          <w:rFonts w:ascii="Verdana" w:hAnsi="Verdana"/>
          <w:sz w:val="20"/>
          <w:lang w:val="pt-BR"/>
        </w:rPr>
        <w:t>Pablo Saavedra Alessandri</w:t>
      </w:r>
    </w:p>
    <w:p w:rsidR="00F630D9" w:rsidRPr="00FC4051" w:rsidRDefault="00F630D9" w:rsidP="00F630D9">
      <w:pPr>
        <w:spacing w:after="0"/>
        <w:jc w:val="center"/>
        <w:rPr>
          <w:rFonts w:ascii="Verdana" w:hAnsi="Verdana"/>
          <w:sz w:val="20"/>
          <w:lang w:val="pt-BR"/>
        </w:rPr>
      </w:pPr>
      <w:r w:rsidRPr="00FC4051">
        <w:rPr>
          <w:rFonts w:ascii="Verdana" w:hAnsi="Verdana"/>
          <w:sz w:val="20"/>
          <w:lang w:val="pt-BR"/>
        </w:rPr>
        <w:t>Secret</w:t>
      </w:r>
      <w:r>
        <w:rPr>
          <w:rFonts w:ascii="Verdana" w:hAnsi="Verdana"/>
          <w:sz w:val="20"/>
          <w:lang w:val="pt-BR"/>
        </w:rPr>
        <w:t>á</w:t>
      </w:r>
      <w:r w:rsidRPr="00FC4051">
        <w:rPr>
          <w:rFonts w:ascii="Verdana" w:hAnsi="Verdana"/>
          <w:sz w:val="20"/>
          <w:lang w:val="pt-BR"/>
        </w:rPr>
        <w:t>rio</w:t>
      </w:r>
    </w:p>
    <w:p w:rsidR="00F630D9" w:rsidRDefault="00F630D9" w:rsidP="00F630D9">
      <w:pPr>
        <w:pStyle w:val="FootnoteText"/>
        <w:rPr>
          <w:lang w:val="pt-BR"/>
        </w:rPr>
      </w:pPr>
    </w:p>
    <w:p w:rsidR="00F630D9" w:rsidRPr="00FC4051" w:rsidRDefault="00F630D9" w:rsidP="00F630D9">
      <w:pPr>
        <w:pStyle w:val="FootnoteText"/>
        <w:rPr>
          <w:lang w:val="pt-BR"/>
        </w:rPr>
      </w:pPr>
    </w:p>
    <w:p w:rsidR="00F630D9" w:rsidRPr="00FC4051" w:rsidRDefault="00F630D9" w:rsidP="00F630D9">
      <w:pPr>
        <w:pStyle w:val="FootnoteText"/>
        <w:rPr>
          <w:lang w:val="pt-BR"/>
        </w:rPr>
      </w:pPr>
    </w:p>
    <w:p w:rsidR="00F630D9" w:rsidRPr="00FC4051" w:rsidRDefault="00F630D9" w:rsidP="00F630D9">
      <w:pPr>
        <w:spacing w:after="0"/>
        <w:jc w:val="both"/>
        <w:rPr>
          <w:rFonts w:ascii="Verdana" w:hAnsi="Verdana"/>
          <w:sz w:val="20"/>
          <w:lang w:val="pt-BR"/>
        </w:rPr>
      </w:pPr>
      <w:r w:rsidRPr="00FC4051">
        <w:rPr>
          <w:rFonts w:ascii="Verdana" w:hAnsi="Verdana"/>
          <w:sz w:val="20"/>
          <w:lang w:val="pt-BR"/>
        </w:rPr>
        <w:t>Comunique-se</w:t>
      </w:r>
      <w:r>
        <w:rPr>
          <w:rFonts w:ascii="Verdana" w:hAnsi="Verdana"/>
          <w:sz w:val="20"/>
          <w:lang w:val="pt-BR"/>
        </w:rPr>
        <w:t xml:space="preserve"> e</w:t>
      </w:r>
      <w:r w:rsidRPr="00FC4051">
        <w:rPr>
          <w:rFonts w:ascii="Verdana" w:hAnsi="Verdana"/>
          <w:sz w:val="20"/>
          <w:lang w:val="pt-BR"/>
        </w:rPr>
        <w:t xml:space="preserve"> execute-se,</w:t>
      </w:r>
    </w:p>
    <w:p w:rsidR="00F630D9" w:rsidRPr="00FC4051" w:rsidRDefault="00F630D9" w:rsidP="00F630D9">
      <w:pPr>
        <w:spacing w:after="0"/>
        <w:rPr>
          <w:rFonts w:ascii="Verdana" w:hAnsi="Verdana"/>
          <w:sz w:val="20"/>
          <w:lang w:val="pt-BR"/>
        </w:rPr>
      </w:pPr>
    </w:p>
    <w:p w:rsidR="00F630D9" w:rsidRPr="00FC4051" w:rsidRDefault="00F630D9" w:rsidP="00F630D9">
      <w:pPr>
        <w:spacing w:after="0"/>
        <w:rPr>
          <w:rFonts w:ascii="Verdana" w:hAnsi="Verdana"/>
          <w:sz w:val="20"/>
          <w:lang w:val="pt-BR"/>
        </w:rPr>
      </w:pPr>
    </w:p>
    <w:p w:rsidR="00F630D9" w:rsidRPr="00FC4051" w:rsidRDefault="00F630D9" w:rsidP="00F630D9">
      <w:pPr>
        <w:spacing w:after="0"/>
        <w:jc w:val="right"/>
        <w:rPr>
          <w:rFonts w:ascii="Verdana" w:hAnsi="Verdana"/>
          <w:sz w:val="20"/>
          <w:lang w:val="pt-BR"/>
        </w:rPr>
      </w:pPr>
    </w:p>
    <w:p w:rsidR="00F630D9" w:rsidRPr="00FC4051" w:rsidRDefault="00F630D9" w:rsidP="00F630D9">
      <w:pPr>
        <w:spacing w:after="0"/>
        <w:jc w:val="center"/>
        <w:rPr>
          <w:rFonts w:ascii="Verdana" w:hAnsi="Verdana"/>
          <w:sz w:val="20"/>
          <w:lang w:val="pt-BR"/>
        </w:rPr>
      </w:pPr>
      <w:r>
        <w:rPr>
          <w:rFonts w:ascii="Verdana" w:hAnsi="Verdana"/>
          <w:sz w:val="20"/>
          <w:lang w:val="pt-BR"/>
        </w:rPr>
        <w:t xml:space="preserve">                                                                                   </w:t>
      </w:r>
      <w:r w:rsidRPr="0019261A">
        <w:rPr>
          <w:rFonts w:ascii="Verdana" w:hAnsi="Verdana"/>
          <w:sz w:val="20"/>
          <w:lang w:val="pt-BR"/>
        </w:rPr>
        <w:t>Eduardo Ferrer Mac-Gregor Poisot</w:t>
      </w:r>
    </w:p>
    <w:p w:rsidR="00F630D9" w:rsidRPr="0019261A" w:rsidRDefault="00F630D9" w:rsidP="00F630D9">
      <w:pPr>
        <w:spacing w:after="0"/>
        <w:rPr>
          <w:rFonts w:ascii="Verdana" w:hAnsi="Verdana"/>
          <w:sz w:val="20"/>
          <w:lang w:val="pt-BR"/>
        </w:rPr>
      </w:pPr>
      <w:r>
        <w:rPr>
          <w:rFonts w:ascii="Verdana" w:hAnsi="Verdana"/>
          <w:sz w:val="20"/>
          <w:lang w:val="pt-BR"/>
        </w:rPr>
        <w:t xml:space="preserve">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sidRPr="0019261A">
        <w:rPr>
          <w:rFonts w:ascii="Verdana" w:hAnsi="Verdana"/>
          <w:sz w:val="20"/>
          <w:lang w:val="pt-BR"/>
        </w:rPr>
        <w:t xml:space="preserve">Presidente </w:t>
      </w:r>
    </w:p>
    <w:p w:rsidR="00F630D9" w:rsidRPr="00FC4051" w:rsidRDefault="00F630D9" w:rsidP="00F630D9">
      <w:pPr>
        <w:spacing w:after="0"/>
        <w:jc w:val="both"/>
        <w:rPr>
          <w:rFonts w:ascii="Verdana" w:hAnsi="Verdana"/>
          <w:sz w:val="20"/>
          <w:lang w:val="pt-BR"/>
        </w:rPr>
      </w:pPr>
    </w:p>
    <w:p w:rsidR="00F630D9" w:rsidRPr="00FC4051" w:rsidRDefault="00F630D9" w:rsidP="00F630D9">
      <w:pPr>
        <w:spacing w:after="0"/>
        <w:jc w:val="both"/>
        <w:rPr>
          <w:rFonts w:ascii="Verdana" w:hAnsi="Verdana"/>
          <w:sz w:val="20"/>
          <w:lang w:val="pt-BR"/>
        </w:rPr>
      </w:pPr>
    </w:p>
    <w:p w:rsidR="00F630D9" w:rsidRPr="00FC4051" w:rsidRDefault="00F630D9" w:rsidP="00F630D9">
      <w:pPr>
        <w:spacing w:after="0"/>
        <w:jc w:val="both"/>
        <w:rPr>
          <w:rFonts w:ascii="Verdana" w:hAnsi="Verdana"/>
          <w:sz w:val="20"/>
          <w:lang w:val="pt-BR"/>
        </w:rPr>
      </w:pPr>
      <w:r w:rsidRPr="00FC4051">
        <w:rPr>
          <w:rFonts w:ascii="Verdana" w:hAnsi="Verdana"/>
          <w:sz w:val="20"/>
          <w:lang w:val="pt-BR"/>
        </w:rPr>
        <w:t>Pablo Saavedra Alessandri</w:t>
      </w:r>
    </w:p>
    <w:p w:rsidR="00D77498" w:rsidRPr="004D1129" w:rsidRDefault="00F630D9" w:rsidP="00F630D9">
      <w:pPr>
        <w:spacing w:after="0"/>
        <w:rPr>
          <w:rFonts w:ascii="Verdana" w:hAnsi="Verdana"/>
          <w:b/>
          <w:sz w:val="8"/>
          <w:szCs w:val="20"/>
          <w:lang w:val="pt-BR"/>
        </w:rPr>
      </w:pPr>
      <w:r w:rsidRPr="00FC4051">
        <w:rPr>
          <w:rFonts w:ascii="Verdana" w:hAnsi="Verdana"/>
          <w:sz w:val="20"/>
          <w:lang w:val="pt-BR"/>
        </w:rPr>
        <w:tab/>
      </w:r>
      <w:r w:rsidRPr="0019261A">
        <w:rPr>
          <w:rFonts w:ascii="Verdana" w:hAnsi="Verdana"/>
          <w:sz w:val="20"/>
        </w:rPr>
        <w:t>Secretá</w:t>
      </w:r>
      <w:r>
        <w:rPr>
          <w:rFonts w:ascii="Verdana" w:hAnsi="Verdana"/>
          <w:sz w:val="20"/>
        </w:rPr>
        <w:t>rio</w:t>
      </w:r>
    </w:p>
    <w:sectPr w:rsidR="00D77498" w:rsidRPr="004D1129" w:rsidSect="003F10C1">
      <w:footerReference w:type="default" r:id="rId9"/>
      <w:pgSz w:w="12240" w:h="15840"/>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9D4" w:rsidRDefault="008B29D4" w:rsidP="0074017B">
      <w:pPr>
        <w:spacing w:after="0" w:line="240" w:lineRule="auto"/>
      </w:pPr>
      <w:r>
        <w:separator/>
      </w:r>
    </w:p>
  </w:endnote>
  <w:endnote w:type="continuationSeparator" w:id="0">
    <w:p w:rsidR="008B29D4" w:rsidRDefault="008B29D4" w:rsidP="007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589355"/>
      <w:docPartObj>
        <w:docPartGallery w:val="Page Numbers (Bottom of Page)"/>
        <w:docPartUnique/>
      </w:docPartObj>
    </w:sdtPr>
    <w:sdtEndPr>
      <w:rPr>
        <w:rFonts w:ascii="Verdana" w:hAnsi="Verdana"/>
        <w:noProof/>
        <w:sz w:val="20"/>
        <w:szCs w:val="20"/>
      </w:rPr>
    </w:sdtEndPr>
    <w:sdtContent>
      <w:p w:rsidR="00DE316A" w:rsidRPr="008A2A90" w:rsidRDefault="00DE316A">
        <w:pPr>
          <w:pStyle w:val="Footer"/>
          <w:jc w:val="center"/>
          <w:rPr>
            <w:rFonts w:ascii="Verdana" w:hAnsi="Verdana"/>
            <w:sz w:val="20"/>
            <w:szCs w:val="20"/>
          </w:rPr>
        </w:pPr>
        <w:r w:rsidRPr="008A2A90">
          <w:rPr>
            <w:rFonts w:ascii="Verdana" w:hAnsi="Verdana"/>
            <w:sz w:val="20"/>
            <w:szCs w:val="20"/>
          </w:rPr>
          <w:fldChar w:fldCharType="begin"/>
        </w:r>
        <w:r w:rsidRPr="008A2A90">
          <w:rPr>
            <w:rFonts w:ascii="Verdana" w:hAnsi="Verdana"/>
            <w:sz w:val="20"/>
            <w:szCs w:val="20"/>
          </w:rPr>
          <w:instrText xml:space="preserve"> PAGE   \* MERGEFORMAT </w:instrText>
        </w:r>
        <w:r w:rsidRPr="008A2A90">
          <w:rPr>
            <w:rFonts w:ascii="Verdana" w:hAnsi="Verdana"/>
            <w:sz w:val="20"/>
            <w:szCs w:val="20"/>
          </w:rPr>
          <w:fldChar w:fldCharType="separate"/>
        </w:r>
        <w:r w:rsidR="00686AF6">
          <w:rPr>
            <w:rFonts w:ascii="Verdana" w:hAnsi="Verdana"/>
            <w:noProof/>
            <w:sz w:val="20"/>
            <w:szCs w:val="20"/>
          </w:rPr>
          <w:t>1</w:t>
        </w:r>
        <w:r w:rsidRPr="008A2A90">
          <w:rPr>
            <w:rFonts w:ascii="Verdana" w:hAnsi="Verdana"/>
            <w:noProof/>
            <w:sz w:val="20"/>
            <w:szCs w:val="20"/>
          </w:rPr>
          <w:fldChar w:fldCharType="end"/>
        </w:r>
      </w:p>
    </w:sdtContent>
  </w:sdt>
  <w:p w:rsidR="00DE316A" w:rsidRDefault="00DE3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9D4" w:rsidRDefault="008B29D4" w:rsidP="0074017B">
      <w:pPr>
        <w:spacing w:after="0" w:line="240" w:lineRule="auto"/>
      </w:pPr>
      <w:r>
        <w:separator/>
      </w:r>
    </w:p>
  </w:footnote>
  <w:footnote w:type="continuationSeparator" w:id="0">
    <w:p w:rsidR="008B29D4" w:rsidRDefault="008B29D4" w:rsidP="0074017B">
      <w:pPr>
        <w:spacing w:after="0" w:line="240" w:lineRule="auto"/>
      </w:pPr>
      <w:r>
        <w:continuationSeparator/>
      </w:r>
    </w:p>
  </w:footnote>
  <w:footnote w:id="1">
    <w:p w:rsidR="00DE316A" w:rsidRPr="00C06A9B" w:rsidRDefault="00DE316A" w:rsidP="008B6768">
      <w:pPr>
        <w:pStyle w:val="FootnoteText"/>
        <w:rPr>
          <w:szCs w:val="16"/>
          <w:lang w:val="pt-BR"/>
        </w:rPr>
      </w:pPr>
      <w:r w:rsidRPr="003F1D25">
        <w:rPr>
          <w:rStyle w:val="FootnoteReference"/>
          <w:szCs w:val="16"/>
          <w:lang w:val="es-DO"/>
        </w:rPr>
        <w:footnoteRef/>
      </w:r>
      <w:r w:rsidRPr="00C06A9B">
        <w:rPr>
          <w:szCs w:val="16"/>
          <w:lang w:val="pt-BR"/>
        </w:rPr>
        <w:t xml:space="preserve"> O Juiz Roberto F. Caldas, de nacionalidade brasileira, não participou da deliberação da presente Sentença, em conformidade com o disp</w:t>
      </w:r>
      <w:r>
        <w:rPr>
          <w:szCs w:val="16"/>
          <w:lang w:val="pt-BR"/>
        </w:rPr>
        <w:t>o</w:t>
      </w:r>
      <w:r w:rsidRPr="00C06A9B">
        <w:rPr>
          <w:szCs w:val="16"/>
          <w:lang w:val="pt-BR"/>
        </w:rPr>
        <w:t xml:space="preserve">sto nos </w:t>
      </w:r>
      <w:r>
        <w:rPr>
          <w:szCs w:val="16"/>
          <w:lang w:val="pt-BR"/>
        </w:rPr>
        <w:t xml:space="preserve">artigos </w:t>
      </w:r>
      <w:r w:rsidRPr="00C06A9B">
        <w:rPr>
          <w:szCs w:val="16"/>
          <w:lang w:val="pt-BR"/>
        </w:rPr>
        <w:t>19.2 d</w:t>
      </w:r>
      <w:r>
        <w:rPr>
          <w:szCs w:val="16"/>
          <w:lang w:val="pt-BR"/>
        </w:rPr>
        <w:t>o</w:t>
      </w:r>
      <w:r w:rsidRPr="00C06A9B">
        <w:rPr>
          <w:szCs w:val="16"/>
          <w:lang w:val="pt-BR"/>
        </w:rPr>
        <w:t xml:space="preserve"> Estatuto </w:t>
      </w:r>
      <w:r>
        <w:rPr>
          <w:szCs w:val="16"/>
          <w:lang w:val="pt-BR"/>
        </w:rPr>
        <w:t>e</w:t>
      </w:r>
      <w:r w:rsidRPr="00C06A9B">
        <w:rPr>
          <w:szCs w:val="16"/>
          <w:lang w:val="pt-BR"/>
        </w:rPr>
        <w:t xml:space="preserve"> 19.1 d</w:t>
      </w:r>
      <w:r>
        <w:rPr>
          <w:szCs w:val="16"/>
          <w:lang w:val="pt-BR"/>
        </w:rPr>
        <w:t>o</w:t>
      </w:r>
      <w:r w:rsidRPr="00C06A9B">
        <w:rPr>
          <w:szCs w:val="16"/>
          <w:lang w:val="pt-BR"/>
        </w:rPr>
        <w:t xml:space="preserve"> </w:t>
      </w:r>
      <w:r>
        <w:rPr>
          <w:szCs w:val="16"/>
          <w:lang w:val="pt-BR"/>
        </w:rPr>
        <w:t xml:space="preserve">Regulamento </w:t>
      </w:r>
      <w:r w:rsidRPr="00C06A9B">
        <w:rPr>
          <w:szCs w:val="16"/>
          <w:lang w:val="pt-BR"/>
        </w:rPr>
        <w:t xml:space="preserve">da Corte. </w:t>
      </w:r>
    </w:p>
  </w:footnote>
  <w:footnote w:id="2">
    <w:p w:rsidR="00DE316A" w:rsidRPr="00036A1B" w:rsidRDefault="00DE316A" w:rsidP="008B6768">
      <w:pPr>
        <w:spacing w:after="0" w:line="240" w:lineRule="auto"/>
        <w:jc w:val="both"/>
        <w:rPr>
          <w:rFonts w:ascii="Verdana" w:hAnsi="Verdana"/>
          <w:sz w:val="16"/>
          <w:szCs w:val="16"/>
          <w:lang w:val="pt-BR"/>
        </w:rPr>
      </w:pPr>
      <w:r w:rsidRPr="00703EEA">
        <w:rPr>
          <w:rStyle w:val="FootnoteReference"/>
        </w:rPr>
        <w:footnoteRef/>
      </w:r>
      <w:r w:rsidRPr="004A7FE2">
        <w:rPr>
          <w:rFonts w:ascii="Verdana" w:hAnsi="Verdana"/>
          <w:sz w:val="16"/>
          <w:szCs w:val="16"/>
          <w:lang w:val="pt-BR"/>
        </w:rPr>
        <w:t xml:space="preserve"> Esse artigo</w:t>
      </w:r>
      <w:r>
        <w:rPr>
          <w:rFonts w:ascii="Verdana" w:hAnsi="Verdana"/>
          <w:sz w:val="16"/>
          <w:szCs w:val="16"/>
          <w:lang w:val="pt-BR"/>
        </w:rPr>
        <w:t xml:space="preserve"> </w:t>
      </w:r>
      <w:r w:rsidRPr="004A7FE2">
        <w:rPr>
          <w:rFonts w:ascii="Verdana" w:hAnsi="Verdana"/>
          <w:sz w:val="16"/>
          <w:szCs w:val="16"/>
          <w:lang w:val="pt-BR"/>
        </w:rPr>
        <w:t xml:space="preserve">dispõe, no que é pertinente: “1. </w:t>
      </w:r>
      <w:r w:rsidRPr="009822B2">
        <w:rPr>
          <w:rFonts w:ascii="Verdana" w:hAnsi="Verdana"/>
          <w:sz w:val="16"/>
          <w:szCs w:val="16"/>
          <w:lang w:val="pt-BR"/>
        </w:rPr>
        <w:t>O pedido de interpretação a que se refere o artigo 67 da Convenção poderá ser formulado em relação às sentenças</w:t>
      </w:r>
      <w:r>
        <w:rPr>
          <w:rFonts w:ascii="Verdana" w:hAnsi="Verdana"/>
          <w:sz w:val="16"/>
          <w:szCs w:val="16"/>
          <w:lang w:val="pt-BR"/>
        </w:rPr>
        <w:t xml:space="preserve"> </w:t>
      </w:r>
      <w:r w:rsidRPr="009822B2">
        <w:rPr>
          <w:rFonts w:ascii="Verdana" w:hAnsi="Verdana"/>
          <w:sz w:val="16"/>
          <w:szCs w:val="16"/>
          <w:lang w:val="pt-BR"/>
        </w:rPr>
        <w:t>de exceções preliminares, mérito ou reparações e custas e se apresentará na Secretaria da Corte, cabendo nel</w:t>
      </w:r>
      <w:r w:rsidR="00E27E75">
        <w:rPr>
          <w:rFonts w:ascii="Verdana" w:hAnsi="Verdana"/>
          <w:sz w:val="16"/>
          <w:szCs w:val="16"/>
          <w:lang w:val="pt-BR"/>
        </w:rPr>
        <w:t>e</w:t>
      </w:r>
      <w:r w:rsidRPr="009822B2">
        <w:rPr>
          <w:rFonts w:ascii="Verdana" w:hAnsi="Verdana"/>
          <w:sz w:val="16"/>
          <w:szCs w:val="16"/>
          <w:lang w:val="pt-BR"/>
        </w:rPr>
        <w:t xml:space="preserve"> indicar com precisão as questões relativas ao sentido ou ao</w:t>
      </w:r>
      <w:r>
        <w:rPr>
          <w:rFonts w:ascii="Verdana" w:hAnsi="Verdana"/>
          <w:sz w:val="16"/>
          <w:szCs w:val="16"/>
          <w:lang w:val="pt-BR"/>
        </w:rPr>
        <w:t xml:space="preserve"> a</w:t>
      </w:r>
      <w:r w:rsidRPr="009822B2">
        <w:rPr>
          <w:rFonts w:ascii="Verdana" w:hAnsi="Verdana"/>
          <w:sz w:val="16"/>
          <w:szCs w:val="16"/>
          <w:lang w:val="pt-BR"/>
        </w:rPr>
        <w:t xml:space="preserve">lcance da sentença cuja interpretação é solicitada. </w:t>
      </w:r>
      <w:r w:rsidRPr="00036A1B">
        <w:rPr>
          <w:rFonts w:ascii="Verdana" w:hAnsi="Verdana"/>
          <w:sz w:val="16"/>
          <w:szCs w:val="16"/>
          <w:lang w:val="pt-BR"/>
        </w:rPr>
        <w:t xml:space="preserve">[…] </w:t>
      </w:r>
      <w:r w:rsidRPr="009822B2">
        <w:rPr>
          <w:rFonts w:ascii="Verdana" w:hAnsi="Verdana"/>
          <w:sz w:val="16"/>
          <w:szCs w:val="16"/>
          <w:lang w:val="pt-BR"/>
        </w:rPr>
        <w:t>4. O pedido de interpretação não exercerá efeito</w:t>
      </w:r>
      <w:r>
        <w:rPr>
          <w:rFonts w:ascii="Verdana" w:hAnsi="Verdana"/>
          <w:sz w:val="16"/>
          <w:szCs w:val="16"/>
          <w:lang w:val="pt-BR"/>
        </w:rPr>
        <w:t xml:space="preserve"> s</w:t>
      </w:r>
      <w:r w:rsidRPr="009822B2">
        <w:rPr>
          <w:rFonts w:ascii="Verdana" w:hAnsi="Verdana"/>
          <w:sz w:val="16"/>
          <w:szCs w:val="16"/>
          <w:lang w:val="pt-BR"/>
        </w:rPr>
        <w:t xml:space="preserve">uspensivo sobre a execução da sentença. </w:t>
      </w:r>
      <w:r w:rsidRPr="00036A1B">
        <w:rPr>
          <w:rFonts w:ascii="Verdana" w:hAnsi="Verdana"/>
          <w:sz w:val="16"/>
          <w:szCs w:val="16"/>
          <w:lang w:val="pt-BR"/>
        </w:rPr>
        <w:t>5. A Corte determinará o procedimento a ser seguido e decidir</w:t>
      </w:r>
      <w:r>
        <w:rPr>
          <w:rFonts w:ascii="Verdana" w:hAnsi="Verdana"/>
          <w:sz w:val="16"/>
          <w:szCs w:val="16"/>
          <w:lang w:val="pt-BR"/>
        </w:rPr>
        <w:t>á mediante sentença</w:t>
      </w:r>
      <w:r w:rsidRPr="00036A1B">
        <w:rPr>
          <w:rFonts w:ascii="Verdana" w:hAnsi="Verdana"/>
          <w:sz w:val="16"/>
          <w:szCs w:val="16"/>
          <w:lang w:val="pt-BR"/>
        </w:rPr>
        <w:t>”.</w:t>
      </w:r>
    </w:p>
  </w:footnote>
  <w:footnote w:id="3">
    <w:p w:rsidR="00DE316A" w:rsidRPr="00036A1B" w:rsidRDefault="00DE316A" w:rsidP="008B6768">
      <w:pPr>
        <w:pStyle w:val="FootnoteText"/>
        <w:rPr>
          <w:rStyle w:val="FootnoteReference"/>
          <w:lang w:val="pt-BR"/>
        </w:rPr>
      </w:pPr>
      <w:r w:rsidRPr="00325647">
        <w:rPr>
          <w:rStyle w:val="FootnoteReference"/>
          <w:lang w:val="es-DO"/>
        </w:rPr>
        <w:footnoteRef/>
      </w:r>
      <w:r w:rsidRPr="00325647">
        <w:rPr>
          <w:rStyle w:val="FootnoteReference"/>
          <w:lang w:val="es-DO"/>
        </w:rPr>
        <w:t xml:space="preserve"> </w:t>
      </w:r>
      <w:r>
        <w:rPr>
          <w:i/>
          <w:lang w:val="es-DO"/>
        </w:rPr>
        <w:t xml:space="preserve">Cf. </w:t>
      </w:r>
      <w:r w:rsidRPr="00325647">
        <w:rPr>
          <w:i/>
          <w:lang w:val="es-DO"/>
        </w:rPr>
        <w:t xml:space="preserve">Caso Loayza Tamayo Vs. </w:t>
      </w:r>
      <w:r w:rsidRPr="00036A1B">
        <w:rPr>
          <w:i/>
          <w:lang w:val="pt-BR"/>
        </w:rPr>
        <w:t>Peru</w:t>
      </w:r>
      <w:r w:rsidRPr="00036A1B">
        <w:rPr>
          <w:lang w:val="pt-BR"/>
        </w:rPr>
        <w:t xml:space="preserve">. </w:t>
      </w:r>
      <w:r w:rsidRPr="00C06A9B">
        <w:rPr>
          <w:i/>
          <w:lang w:val="pt-BR"/>
        </w:rPr>
        <w:t xml:space="preserve">Interpretação da </w:t>
      </w:r>
      <w:r>
        <w:rPr>
          <w:i/>
          <w:lang w:val="pt-BR"/>
        </w:rPr>
        <w:t xml:space="preserve">Sentença </w:t>
      </w:r>
      <w:r w:rsidRPr="00C06A9B">
        <w:rPr>
          <w:i/>
          <w:lang w:val="pt-BR"/>
        </w:rPr>
        <w:t xml:space="preserve">de </w:t>
      </w:r>
      <w:r>
        <w:rPr>
          <w:i/>
          <w:lang w:val="pt-BR"/>
        </w:rPr>
        <w:t>Mérito</w:t>
      </w:r>
      <w:r w:rsidRPr="00C06A9B">
        <w:rPr>
          <w:lang w:val="pt-BR"/>
        </w:rPr>
        <w:t xml:space="preserve">. </w:t>
      </w:r>
      <w:r w:rsidRPr="00036A1B">
        <w:rPr>
          <w:lang w:val="pt-BR"/>
        </w:rPr>
        <w:t>Sentença</w:t>
      </w:r>
      <w:r>
        <w:rPr>
          <w:lang w:val="pt-BR"/>
        </w:rPr>
        <w:t xml:space="preserve"> </w:t>
      </w:r>
      <w:r w:rsidRPr="00036A1B">
        <w:rPr>
          <w:lang w:val="pt-BR"/>
        </w:rPr>
        <w:t>de 8 de março de 1998. Série</w:t>
      </w:r>
      <w:r>
        <w:rPr>
          <w:lang w:val="pt-BR"/>
        </w:rPr>
        <w:t xml:space="preserve"> </w:t>
      </w:r>
      <w:r w:rsidRPr="00036A1B">
        <w:rPr>
          <w:lang w:val="pt-BR"/>
        </w:rPr>
        <w:t>C N</w:t>
      </w:r>
      <w:r w:rsidRPr="00036A1B">
        <w:rPr>
          <w:vertAlign w:val="superscript"/>
          <w:lang w:val="pt-BR"/>
        </w:rPr>
        <w:t>o.</w:t>
      </w:r>
      <w:r w:rsidRPr="00036A1B">
        <w:rPr>
          <w:lang w:val="pt-BR"/>
        </w:rPr>
        <w:t xml:space="preserve"> 47, par. 16; e</w:t>
      </w:r>
      <w:r>
        <w:rPr>
          <w:lang w:val="pt-BR"/>
        </w:rPr>
        <w:t xml:space="preserve"> </w:t>
      </w:r>
      <w:r w:rsidRPr="00036A1B">
        <w:rPr>
          <w:i/>
          <w:lang w:val="pt-BR"/>
        </w:rPr>
        <w:t>Caso Yarce e</w:t>
      </w:r>
      <w:r>
        <w:rPr>
          <w:i/>
          <w:lang w:val="pt-BR"/>
        </w:rPr>
        <w:t xml:space="preserve"> outras </w:t>
      </w:r>
      <w:r w:rsidRPr="00036A1B">
        <w:rPr>
          <w:i/>
          <w:lang w:val="pt-BR"/>
        </w:rPr>
        <w:t xml:space="preserve">Vs. </w:t>
      </w:r>
      <w:r>
        <w:rPr>
          <w:i/>
          <w:lang w:val="pt-BR"/>
        </w:rPr>
        <w:t>Colômbia</w:t>
      </w:r>
      <w:r w:rsidRPr="00036A1B">
        <w:rPr>
          <w:i/>
          <w:lang w:val="pt-BR"/>
        </w:rPr>
        <w:t xml:space="preserve">. </w:t>
      </w:r>
      <w:r w:rsidRPr="00C06A9B">
        <w:rPr>
          <w:i/>
          <w:lang w:val="pt-BR"/>
        </w:rPr>
        <w:t>Interpretação da Sentença</w:t>
      </w:r>
      <w:r>
        <w:rPr>
          <w:i/>
          <w:lang w:val="pt-BR"/>
        </w:rPr>
        <w:t xml:space="preserve"> </w:t>
      </w:r>
      <w:r w:rsidRPr="00C06A9B">
        <w:rPr>
          <w:i/>
          <w:lang w:val="pt-BR"/>
        </w:rPr>
        <w:t xml:space="preserve">de </w:t>
      </w:r>
      <w:r>
        <w:rPr>
          <w:i/>
          <w:lang w:val="pt-BR"/>
        </w:rPr>
        <w:t xml:space="preserve">Exceção </w:t>
      </w:r>
      <w:r w:rsidRPr="00C06A9B">
        <w:rPr>
          <w:i/>
          <w:lang w:val="pt-BR"/>
        </w:rPr>
        <w:t xml:space="preserve">Preliminar, </w:t>
      </w:r>
      <w:r>
        <w:rPr>
          <w:i/>
          <w:lang w:val="pt-BR"/>
        </w:rPr>
        <w:t>Mérito</w:t>
      </w:r>
      <w:r w:rsidRPr="00C06A9B">
        <w:rPr>
          <w:i/>
          <w:lang w:val="pt-BR"/>
        </w:rPr>
        <w:t>, Repara</w:t>
      </w:r>
      <w:r>
        <w:rPr>
          <w:i/>
          <w:lang w:val="pt-BR"/>
        </w:rPr>
        <w:t>ções</w:t>
      </w:r>
      <w:r w:rsidRPr="00C06A9B">
        <w:rPr>
          <w:i/>
          <w:lang w:val="pt-BR"/>
        </w:rPr>
        <w:t xml:space="preserve"> </w:t>
      </w:r>
      <w:r>
        <w:rPr>
          <w:i/>
          <w:lang w:val="pt-BR"/>
        </w:rPr>
        <w:t>e Custas</w:t>
      </w:r>
      <w:r w:rsidRPr="00C06A9B">
        <w:rPr>
          <w:i/>
          <w:lang w:val="pt-BR"/>
        </w:rPr>
        <w:t xml:space="preserve">. </w:t>
      </w:r>
      <w:r w:rsidRPr="00036A1B">
        <w:rPr>
          <w:lang w:val="pt-BR"/>
        </w:rPr>
        <w:t>Sentença</w:t>
      </w:r>
      <w:r>
        <w:rPr>
          <w:lang w:val="pt-BR"/>
        </w:rPr>
        <w:t xml:space="preserve"> </w:t>
      </w:r>
      <w:r w:rsidRPr="00036A1B">
        <w:rPr>
          <w:lang w:val="pt-BR"/>
        </w:rPr>
        <w:t xml:space="preserve">de 21 de </w:t>
      </w:r>
      <w:r>
        <w:rPr>
          <w:lang w:val="pt-BR"/>
        </w:rPr>
        <w:t xml:space="preserve">novembro de </w:t>
      </w:r>
      <w:r w:rsidRPr="00036A1B">
        <w:rPr>
          <w:lang w:val="pt-BR"/>
        </w:rPr>
        <w:t>2017, Série</w:t>
      </w:r>
      <w:r>
        <w:rPr>
          <w:lang w:val="pt-BR"/>
        </w:rPr>
        <w:t xml:space="preserve"> </w:t>
      </w:r>
      <w:r w:rsidRPr="00036A1B">
        <w:rPr>
          <w:lang w:val="pt-BR"/>
        </w:rPr>
        <w:t>C N</w:t>
      </w:r>
      <w:r w:rsidRPr="00036A1B">
        <w:rPr>
          <w:vertAlign w:val="superscript"/>
          <w:lang w:val="pt-BR"/>
        </w:rPr>
        <w:t>o.</w:t>
      </w:r>
      <w:r w:rsidRPr="00036A1B">
        <w:rPr>
          <w:lang w:val="pt-BR"/>
        </w:rPr>
        <w:t xml:space="preserve"> 343, </w:t>
      </w:r>
      <w:r>
        <w:rPr>
          <w:lang w:val="pt-BR"/>
        </w:rPr>
        <w:t xml:space="preserve">par. </w:t>
      </w:r>
      <w:r w:rsidRPr="00036A1B">
        <w:rPr>
          <w:lang w:val="pt-BR"/>
        </w:rPr>
        <w:t>12.</w:t>
      </w:r>
    </w:p>
  </w:footnote>
  <w:footnote w:id="4">
    <w:p w:rsidR="00DE316A" w:rsidRPr="00036A1B" w:rsidRDefault="00DE316A" w:rsidP="008B6768">
      <w:pPr>
        <w:pStyle w:val="FootnoteText"/>
        <w:rPr>
          <w:lang w:val="pt-BR"/>
        </w:rPr>
      </w:pPr>
      <w:r w:rsidRPr="00325647">
        <w:rPr>
          <w:rStyle w:val="FootnoteReference"/>
          <w:lang w:val="es-DO"/>
        </w:rPr>
        <w:footnoteRef/>
      </w:r>
      <w:r w:rsidRPr="00036A1B">
        <w:rPr>
          <w:lang w:val="pt-BR"/>
        </w:rPr>
        <w:t xml:space="preserve"> </w:t>
      </w:r>
      <w:r w:rsidRPr="00036A1B">
        <w:rPr>
          <w:i/>
          <w:lang w:val="pt-BR"/>
        </w:rPr>
        <w:t>Cf. Caso Loayza Tamayo Vs. Peru</w:t>
      </w:r>
      <w:r w:rsidRPr="00036A1B">
        <w:rPr>
          <w:lang w:val="pt-BR"/>
        </w:rPr>
        <w:t xml:space="preserve">. </w:t>
      </w:r>
      <w:r w:rsidRPr="00036A1B">
        <w:rPr>
          <w:i/>
          <w:lang w:val="pt-BR"/>
        </w:rPr>
        <w:t>Interpretação da Sentença</w:t>
      </w:r>
      <w:r>
        <w:rPr>
          <w:i/>
          <w:lang w:val="pt-BR"/>
        </w:rPr>
        <w:t xml:space="preserve"> </w:t>
      </w:r>
      <w:r w:rsidRPr="00036A1B">
        <w:rPr>
          <w:i/>
          <w:lang w:val="pt-BR"/>
        </w:rPr>
        <w:t xml:space="preserve">de </w:t>
      </w:r>
      <w:r>
        <w:rPr>
          <w:i/>
          <w:lang w:val="pt-BR"/>
        </w:rPr>
        <w:t>Mérito</w:t>
      </w:r>
      <w:r w:rsidRPr="00036A1B">
        <w:rPr>
          <w:lang w:val="pt-BR"/>
        </w:rPr>
        <w:t>, par. 16</w:t>
      </w:r>
      <w:r>
        <w:rPr>
          <w:lang w:val="pt-BR"/>
        </w:rPr>
        <w:t>;</w:t>
      </w:r>
      <w:r w:rsidRPr="00036A1B">
        <w:rPr>
          <w:lang w:val="pt-BR"/>
        </w:rPr>
        <w:t xml:space="preserve"> e</w:t>
      </w:r>
      <w:r>
        <w:rPr>
          <w:lang w:val="pt-BR"/>
        </w:rPr>
        <w:t xml:space="preserve"> </w:t>
      </w:r>
      <w:r w:rsidRPr="00036A1B">
        <w:rPr>
          <w:i/>
          <w:lang w:val="pt-BR"/>
        </w:rPr>
        <w:t>Caso Yarce e</w:t>
      </w:r>
      <w:r>
        <w:rPr>
          <w:i/>
          <w:lang w:val="pt-BR"/>
        </w:rPr>
        <w:t xml:space="preserve"> outras </w:t>
      </w:r>
      <w:r w:rsidRPr="00036A1B">
        <w:rPr>
          <w:i/>
          <w:lang w:val="pt-BR"/>
        </w:rPr>
        <w:t xml:space="preserve">Vs. Colômbia. </w:t>
      </w:r>
      <w:r w:rsidRPr="00C06A9B">
        <w:rPr>
          <w:i/>
          <w:lang w:val="pt-BR"/>
        </w:rPr>
        <w:t>Interpretação da Sentença</w:t>
      </w:r>
      <w:r>
        <w:rPr>
          <w:i/>
          <w:lang w:val="pt-BR"/>
        </w:rPr>
        <w:t xml:space="preserve"> </w:t>
      </w:r>
      <w:r w:rsidRPr="00C06A9B">
        <w:rPr>
          <w:i/>
          <w:lang w:val="pt-BR"/>
        </w:rPr>
        <w:t xml:space="preserve">de </w:t>
      </w:r>
      <w:r>
        <w:rPr>
          <w:i/>
          <w:lang w:val="pt-BR"/>
        </w:rPr>
        <w:t xml:space="preserve">Exceção </w:t>
      </w:r>
      <w:r w:rsidRPr="00C06A9B">
        <w:rPr>
          <w:i/>
          <w:lang w:val="pt-BR"/>
        </w:rPr>
        <w:t xml:space="preserve">Preliminar, </w:t>
      </w:r>
      <w:r>
        <w:rPr>
          <w:i/>
          <w:lang w:val="pt-BR"/>
        </w:rPr>
        <w:t>Mérito</w:t>
      </w:r>
      <w:r w:rsidRPr="00C06A9B">
        <w:rPr>
          <w:i/>
          <w:lang w:val="pt-BR"/>
        </w:rPr>
        <w:t>, Repara</w:t>
      </w:r>
      <w:r>
        <w:rPr>
          <w:i/>
          <w:lang w:val="pt-BR"/>
        </w:rPr>
        <w:t>ções</w:t>
      </w:r>
      <w:r w:rsidRPr="00C06A9B">
        <w:rPr>
          <w:i/>
          <w:lang w:val="pt-BR"/>
        </w:rPr>
        <w:t xml:space="preserve"> </w:t>
      </w:r>
      <w:r>
        <w:rPr>
          <w:i/>
          <w:lang w:val="pt-BR"/>
        </w:rPr>
        <w:t>e Custas</w:t>
      </w:r>
      <w:r w:rsidRPr="00C06A9B">
        <w:rPr>
          <w:i/>
          <w:lang w:val="pt-BR"/>
        </w:rPr>
        <w:t xml:space="preserve">. </w:t>
      </w:r>
      <w:r w:rsidRPr="00036A1B">
        <w:rPr>
          <w:lang w:val="pt-BR"/>
        </w:rPr>
        <w:t>Sentença</w:t>
      </w:r>
      <w:r>
        <w:rPr>
          <w:lang w:val="pt-BR"/>
        </w:rPr>
        <w:t xml:space="preserve"> </w:t>
      </w:r>
      <w:r w:rsidRPr="00036A1B">
        <w:rPr>
          <w:lang w:val="pt-BR"/>
        </w:rPr>
        <w:t xml:space="preserve">de 21 de </w:t>
      </w:r>
      <w:r>
        <w:rPr>
          <w:lang w:val="pt-BR"/>
        </w:rPr>
        <w:t xml:space="preserve">novembro de </w:t>
      </w:r>
      <w:r w:rsidRPr="00036A1B">
        <w:rPr>
          <w:lang w:val="pt-BR"/>
        </w:rPr>
        <w:t>2017, par. 12.</w:t>
      </w:r>
    </w:p>
  </w:footnote>
  <w:footnote w:id="5">
    <w:p w:rsidR="00DE316A" w:rsidRPr="00036A1B" w:rsidRDefault="00DE316A" w:rsidP="008B6768">
      <w:pPr>
        <w:pStyle w:val="FootnoteText"/>
        <w:rPr>
          <w:lang w:val="pt-BR"/>
        </w:rPr>
      </w:pPr>
      <w:r w:rsidRPr="00325647">
        <w:rPr>
          <w:rStyle w:val="FootnoteReference"/>
          <w:lang w:val="es-DO"/>
        </w:rPr>
        <w:footnoteRef/>
      </w:r>
      <w:r w:rsidRPr="00036A1B">
        <w:rPr>
          <w:lang w:val="pt-BR"/>
        </w:rPr>
        <w:t xml:space="preserve"> </w:t>
      </w:r>
      <w:r w:rsidRPr="00036A1B">
        <w:rPr>
          <w:i/>
          <w:lang w:val="pt-BR"/>
        </w:rPr>
        <w:t xml:space="preserve">Cf. Caso Loayza Tamayo Vs. Peru. </w:t>
      </w:r>
      <w:r w:rsidRPr="00C06A9B">
        <w:rPr>
          <w:i/>
          <w:lang w:val="pt-BR"/>
        </w:rPr>
        <w:t>Interpretação da Sentença</w:t>
      </w:r>
      <w:r>
        <w:rPr>
          <w:i/>
          <w:lang w:val="pt-BR"/>
        </w:rPr>
        <w:t xml:space="preserve"> </w:t>
      </w:r>
      <w:r w:rsidRPr="00C06A9B">
        <w:rPr>
          <w:i/>
          <w:lang w:val="pt-BR"/>
        </w:rPr>
        <w:t>de Repara</w:t>
      </w:r>
      <w:r>
        <w:rPr>
          <w:i/>
          <w:lang w:val="pt-BR"/>
        </w:rPr>
        <w:t>ções</w:t>
      </w:r>
      <w:r w:rsidRPr="00C06A9B">
        <w:rPr>
          <w:i/>
          <w:lang w:val="pt-BR"/>
        </w:rPr>
        <w:t xml:space="preserve"> </w:t>
      </w:r>
      <w:r>
        <w:rPr>
          <w:i/>
          <w:lang w:val="pt-BR"/>
        </w:rPr>
        <w:t>e Custas</w:t>
      </w:r>
      <w:r w:rsidRPr="00C06A9B">
        <w:rPr>
          <w:i/>
          <w:lang w:val="pt-BR"/>
        </w:rPr>
        <w:t xml:space="preserve">. </w:t>
      </w:r>
      <w:r w:rsidRPr="004D38F5">
        <w:rPr>
          <w:lang w:val="pt-BR"/>
        </w:rPr>
        <w:t>Sentença</w:t>
      </w:r>
      <w:r>
        <w:rPr>
          <w:lang w:val="pt-BR"/>
        </w:rPr>
        <w:t xml:space="preserve"> </w:t>
      </w:r>
      <w:r w:rsidRPr="004D38F5">
        <w:rPr>
          <w:lang w:val="pt-BR"/>
        </w:rPr>
        <w:t>de 3 de junho de 1999. Série</w:t>
      </w:r>
      <w:r>
        <w:rPr>
          <w:lang w:val="pt-BR"/>
        </w:rPr>
        <w:t xml:space="preserve"> </w:t>
      </w:r>
      <w:r w:rsidRPr="004D38F5">
        <w:rPr>
          <w:lang w:val="pt-BR"/>
        </w:rPr>
        <w:t>C No. 53, par. 15</w:t>
      </w:r>
      <w:r>
        <w:rPr>
          <w:lang w:val="pt-BR"/>
        </w:rPr>
        <w:t>;</w:t>
      </w:r>
      <w:r w:rsidRPr="004D38F5">
        <w:rPr>
          <w:lang w:val="pt-BR"/>
        </w:rPr>
        <w:t xml:space="preserve"> e</w:t>
      </w:r>
      <w:r>
        <w:rPr>
          <w:lang w:val="pt-BR"/>
        </w:rPr>
        <w:t xml:space="preserve"> </w:t>
      </w:r>
      <w:r w:rsidRPr="004D38F5">
        <w:rPr>
          <w:i/>
          <w:lang w:val="pt-BR"/>
        </w:rPr>
        <w:t xml:space="preserve">Caso I.V. Vs. Bolívia. </w:t>
      </w:r>
      <w:r w:rsidRPr="00036A1B">
        <w:rPr>
          <w:i/>
          <w:lang w:val="pt-BR"/>
        </w:rPr>
        <w:t>Interpretação da Sentença</w:t>
      </w:r>
      <w:r>
        <w:rPr>
          <w:i/>
          <w:lang w:val="pt-BR"/>
        </w:rPr>
        <w:t xml:space="preserve"> </w:t>
      </w:r>
      <w:r w:rsidRPr="00036A1B">
        <w:rPr>
          <w:i/>
          <w:lang w:val="pt-BR"/>
        </w:rPr>
        <w:t>de Exce</w:t>
      </w:r>
      <w:r>
        <w:rPr>
          <w:i/>
          <w:lang w:val="pt-BR"/>
        </w:rPr>
        <w:t>ções</w:t>
      </w:r>
      <w:r w:rsidRPr="00036A1B">
        <w:rPr>
          <w:i/>
          <w:lang w:val="pt-BR"/>
        </w:rPr>
        <w:t xml:space="preserve"> Preliminares, </w:t>
      </w:r>
      <w:r>
        <w:rPr>
          <w:i/>
          <w:lang w:val="pt-BR"/>
        </w:rPr>
        <w:t>Mérito</w:t>
      </w:r>
      <w:r w:rsidRPr="00036A1B">
        <w:rPr>
          <w:i/>
          <w:lang w:val="pt-BR"/>
        </w:rPr>
        <w:t>, Repara</w:t>
      </w:r>
      <w:r>
        <w:rPr>
          <w:i/>
          <w:lang w:val="pt-BR"/>
        </w:rPr>
        <w:t>ções</w:t>
      </w:r>
      <w:r w:rsidRPr="00036A1B">
        <w:rPr>
          <w:i/>
          <w:lang w:val="pt-BR"/>
        </w:rPr>
        <w:t xml:space="preserve"> e</w:t>
      </w:r>
      <w:r>
        <w:rPr>
          <w:i/>
          <w:lang w:val="pt-BR"/>
        </w:rPr>
        <w:t xml:space="preserve"> Custas</w:t>
      </w:r>
      <w:r w:rsidRPr="00036A1B">
        <w:rPr>
          <w:lang w:val="pt-BR"/>
        </w:rPr>
        <w:t>, par. 12.</w:t>
      </w:r>
    </w:p>
  </w:footnote>
  <w:footnote w:id="6">
    <w:p w:rsidR="00DE316A" w:rsidRPr="00970B13" w:rsidRDefault="00DE316A" w:rsidP="008B6768">
      <w:pPr>
        <w:pStyle w:val="FootnoteText"/>
        <w:rPr>
          <w:lang w:val="pt-BR"/>
        </w:rPr>
      </w:pPr>
      <w:r w:rsidRPr="00325647">
        <w:rPr>
          <w:rStyle w:val="FootnoteReference"/>
          <w:lang w:val="es-DO"/>
        </w:rPr>
        <w:footnoteRef/>
      </w:r>
      <w:r w:rsidRPr="00DE316A">
        <w:rPr>
          <w:lang w:val="pt-BR"/>
        </w:rPr>
        <w:t xml:space="preserve"> </w:t>
      </w:r>
      <w:r w:rsidRPr="00DE316A">
        <w:rPr>
          <w:i/>
          <w:lang w:val="pt-BR"/>
        </w:rPr>
        <w:t>Cf. Caso Salvador Chiriboga Vs. E</w:t>
      </w:r>
      <w:r>
        <w:rPr>
          <w:i/>
          <w:lang w:val="pt-BR"/>
        </w:rPr>
        <w:t>q</w:t>
      </w:r>
      <w:r w:rsidRPr="00DE316A">
        <w:rPr>
          <w:i/>
          <w:lang w:val="pt-BR"/>
        </w:rPr>
        <w:t>uador</w:t>
      </w:r>
      <w:r w:rsidRPr="00DE316A">
        <w:rPr>
          <w:lang w:val="pt-BR"/>
        </w:rPr>
        <w:t xml:space="preserve">. </w:t>
      </w:r>
      <w:r w:rsidRPr="00C06A9B">
        <w:rPr>
          <w:i/>
          <w:lang w:val="pt-BR"/>
        </w:rPr>
        <w:t>Interpretação da Sentença</w:t>
      </w:r>
      <w:r>
        <w:rPr>
          <w:i/>
          <w:lang w:val="pt-BR"/>
        </w:rPr>
        <w:t xml:space="preserve"> </w:t>
      </w:r>
      <w:r w:rsidRPr="00C06A9B">
        <w:rPr>
          <w:i/>
          <w:lang w:val="pt-BR"/>
        </w:rPr>
        <w:t>de Repara</w:t>
      </w:r>
      <w:r>
        <w:rPr>
          <w:i/>
          <w:lang w:val="pt-BR"/>
        </w:rPr>
        <w:t>ções</w:t>
      </w:r>
      <w:r w:rsidRPr="00C06A9B">
        <w:rPr>
          <w:i/>
          <w:lang w:val="pt-BR"/>
        </w:rPr>
        <w:t xml:space="preserve"> </w:t>
      </w:r>
      <w:r>
        <w:rPr>
          <w:i/>
          <w:lang w:val="pt-BR"/>
        </w:rPr>
        <w:t>e Custas</w:t>
      </w:r>
      <w:r w:rsidRPr="00C06A9B">
        <w:rPr>
          <w:lang w:val="pt-BR"/>
        </w:rPr>
        <w:t xml:space="preserve">. </w:t>
      </w:r>
      <w:r w:rsidRPr="00970B13">
        <w:rPr>
          <w:lang w:val="pt-BR"/>
        </w:rPr>
        <w:t>Sentença</w:t>
      </w:r>
      <w:r>
        <w:rPr>
          <w:lang w:val="pt-BR"/>
        </w:rPr>
        <w:t xml:space="preserve"> </w:t>
      </w:r>
      <w:r w:rsidRPr="00970B13">
        <w:rPr>
          <w:lang w:val="pt-BR"/>
        </w:rPr>
        <w:t xml:space="preserve">de 29 de agosto de 2011. </w:t>
      </w:r>
      <w:r>
        <w:rPr>
          <w:lang w:val="pt-BR"/>
        </w:rPr>
        <w:t xml:space="preserve">Série </w:t>
      </w:r>
      <w:r w:rsidRPr="00970B13">
        <w:rPr>
          <w:lang w:val="pt-BR"/>
        </w:rPr>
        <w:t>C N</w:t>
      </w:r>
      <w:r w:rsidRPr="00E81DC6">
        <w:rPr>
          <w:vertAlign w:val="superscript"/>
          <w:lang w:val="pt-BR"/>
        </w:rPr>
        <w:t>o.</w:t>
      </w:r>
      <w:r w:rsidRPr="00970B13">
        <w:rPr>
          <w:lang w:val="pt-BR"/>
        </w:rPr>
        <w:t xml:space="preserve"> 230, </w:t>
      </w:r>
      <w:r>
        <w:rPr>
          <w:lang w:val="pt-BR"/>
        </w:rPr>
        <w:t xml:space="preserve">par. </w:t>
      </w:r>
      <w:r w:rsidRPr="00970B13">
        <w:rPr>
          <w:lang w:val="pt-BR"/>
        </w:rPr>
        <w:t>30</w:t>
      </w:r>
      <w:r w:rsidR="00E81DC6">
        <w:rPr>
          <w:lang w:val="pt-BR"/>
        </w:rPr>
        <w:t>;</w:t>
      </w:r>
      <w:r w:rsidRPr="00970B13">
        <w:rPr>
          <w:lang w:val="pt-BR"/>
        </w:rPr>
        <w:t xml:space="preserve"> </w:t>
      </w:r>
      <w:r>
        <w:rPr>
          <w:lang w:val="pt-BR"/>
        </w:rPr>
        <w:t xml:space="preserve">e </w:t>
      </w:r>
      <w:r>
        <w:rPr>
          <w:i/>
          <w:lang w:val="pt-BR"/>
        </w:rPr>
        <w:t>Caso I.V. Vs. Bolí</w:t>
      </w:r>
      <w:r w:rsidRPr="00970B13">
        <w:rPr>
          <w:i/>
          <w:lang w:val="pt-BR"/>
        </w:rPr>
        <w:t>via. Interpretação da Sentença</w:t>
      </w:r>
      <w:r>
        <w:rPr>
          <w:i/>
          <w:lang w:val="pt-BR"/>
        </w:rPr>
        <w:t xml:space="preserve"> </w:t>
      </w:r>
      <w:r w:rsidRPr="00970B13">
        <w:rPr>
          <w:i/>
          <w:lang w:val="pt-BR"/>
        </w:rPr>
        <w:t>de Exce</w:t>
      </w:r>
      <w:r>
        <w:rPr>
          <w:i/>
          <w:lang w:val="pt-BR"/>
        </w:rPr>
        <w:t>ções</w:t>
      </w:r>
      <w:r w:rsidRPr="00970B13">
        <w:rPr>
          <w:i/>
          <w:lang w:val="pt-BR"/>
        </w:rPr>
        <w:t xml:space="preserve"> Preliminares, </w:t>
      </w:r>
      <w:r>
        <w:rPr>
          <w:i/>
          <w:lang w:val="pt-BR"/>
        </w:rPr>
        <w:t>Mérito</w:t>
      </w:r>
      <w:r w:rsidRPr="00970B13">
        <w:rPr>
          <w:i/>
          <w:lang w:val="pt-BR"/>
        </w:rPr>
        <w:t>, Repara</w:t>
      </w:r>
      <w:r>
        <w:rPr>
          <w:i/>
          <w:lang w:val="pt-BR"/>
        </w:rPr>
        <w:t>ções</w:t>
      </w:r>
      <w:r w:rsidRPr="00970B13">
        <w:rPr>
          <w:i/>
          <w:lang w:val="pt-BR"/>
        </w:rPr>
        <w:t xml:space="preserve"> </w:t>
      </w:r>
      <w:r>
        <w:rPr>
          <w:i/>
          <w:lang w:val="pt-BR"/>
        </w:rPr>
        <w:t>e Custas</w:t>
      </w:r>
      <w:r w:rsidRPr="00970B13">
        <w:rPr>
          <w:lang w:val="pt-BR"/>
        </w:rPr>
        <w:t xml:space="preserve">, </w:t>
      </w:r>
      <w:r>
        <w:rPr>
          <w:lang w:val="pt-BR"/>
        </w:rPr>
        <w:t xml:space="preserve">par. </w:t>
      </w:r>
      <w:r w:rsidRPr="00970B13">
        <w:rPr>
          <w:lang w:val="pt-BR"/>
        </w:rPr>
        <w:t>12.</w:t>
      </w:r>
    </w:p>
  </w:footnote>
  <w:footnote w:id="7">
    <w:p w:rsidR="00DE316A" w:rsidRPr="00036A1B" w:rsidRDefault="00DE316A" w:rsidP="008B6768">
      <w:pPr>
        <w:pStyle w:val="FootnoteText"/>
        <w:rPr>
          <w:color w:val="FF0000"/>
          <w:lang w:val="pt-BR"/>
        </w:rPr>
      </w:pPr>
      <w:r w:rsidRPr="00325647">
        <w:rPr>
          <w:rStyle w:val="FootnoteReference"/>
          <w:lang w:val="es-DO"/>
        </w:rPr>
        <w:footnoteRef/>
      </w:r>
      <w:r w:rsidRPr="00D12C4F">
        <w:rPr>
          <w:lang w:val="pt-BR"/>
        </w:rPr>
        <w:t xml:space="preserve"> </w:t>
      </w:r>
      <w:r w:rsidRPr="00D12C4F">
        <w:rPr>
          <w:i/>
          <w:lang w:val="pt-BR"/>
        </w:rPr>
        <w:t>Cf. Caso Escher e</w:t>
      </w:r>
      <w:r>
        <w:rPr>
          <w:i/>
          <w:lang w:val="pt-BR"/>
        </w:rPr>
        <w:t xml:space="preserve"> </w:t>
      </w:r>
      <w:r w:rsidRPr="00D12C4F">
        <w:rPr>
          <w:i/>
          <w:lang w:val="pt-BR"/>
        </w:rPr>
        <w:t>o</w:t>
      </w:r>
      <w:r>
        <w:rPr>
          <w:i/>
          <w:lang w:val="pt-BR"/>
        </w:rPr>
        <w:t>u</w:t>
      </w:r>
      <w:r w:rsidRPr="00D12C4F">
        <w:rPr>
          <w:i/>
          <w:lang w:val="pt-BR"/>
        </w:rPr>
        <w:t xml:space="preserve">tros Vs. </w:t>
      </w:r>
      <w:r w:rsidRPr="00970B13">
        <w:rPr>
          <w:i/>
          <w:lang w:val="pt-BR"/>
        </w:rPr>
        <w:t>Brasil</w:t>
      </w:r>
      <w:r w:rsidRPr="00970B13">
        <w:rPr>
          <w:lang w:val="pt-BR"/>
        </w:rPr>
        <w:t xml:space="preserve">. </w:t>
      </w:r>
      <w:r w:rsidRPr="00970B13">
        <w:rPr>
          <w:i/>
          <w:lang w:val="pt-BR"/>
        </w:rPr>
        <w:t>Interpretação da Sentença</w:t>
      </w:r>
      <w:r>
        <w:rPr>
          <w:i/>
          <w:lang w:val="pt-BR"/>
        </w:rPr>
        <w:t xml:space="preserve"> </w:t>
      </w:r>
      <w:r w:rsidRPr="00970B13">
        <w:rPr>
          <w:i/>
          <w:lang w:val="pt-BR"/>
        </w:rPr>
        <w:t>de Exce</w:t>
      </w:r>
      <w:r>
        <w:rPr>
          <w:i/>
          <w:lang w:val="pt-BR"/>
        </w:rPr>
        <w:t>ções</w:t>
      </w:r>
      <w:r w:rsidRPr="00970B13">
        <w:rPr>
          <w:i/>
          <w:lang w:val="pt-BR"/>
        </w:rPr>
        <w:t xml:space="preserve"> Preliminares, </w:t>
      </w:r>
      <w:r>
        <w:rPr>
          <w:i/>
          <w:lang w:val="pt-BR"/>
        </w:rPr>
        <w:t>Mérito</w:t>
      </w:r>
      <w:r w:rsidRPr="00970B13">
        <w:rPr>
          <w:i/>
          <w:lang w:val="pt-BR"/>
        </w:rPr>
        <w:t>, Repara</w:t>
      </w:r>
      <w:r>
        <w:rPr>
          <w:i/>
          <w:lang w:val="pt-BR"/>
        </w:rPr>
        <w:t>ções</w:t>
      </w:r>
      <w:r w:rsidRPr="00970B13">
        <w:rPr>
          <w:i/>
          <w:lang w:val="pt-BR"/>
        </w:rPr>
        <w:t xml:space="preserve"> </w:t>
      </w:r>
      <w:r>
        <w:rPr>
          <w:i/>
          <w:lang w:val="pt-BR"/>
        </w:rPr>
        <w:t>e Custas</w:t>
      </w:r>
      <w:r w:rsidRPr="00970B13">
        <w:rPr>
          <w:lang w:val="pt-BR"/>
        </w:rPr>
        <w:t>. Sentença</w:t>
      </w:r>
      <w:r>
        <w:rPr>
          <w:lang w:val="pt-BR"/>
        </w:rPr>
        <w:t xml:space="preserve"> </w:t>
      </w:r>
      <w:r w:rsidRPr="00970B13">
        <w:rPr>
          <w:lang w:val="pt-BR"/>
        </w:rPr>
        <w:t xml:space="preserve">de 20 de </w:t>
      </w:r>
      <w:r>
        <w:rPr>
          <w:lang w:val="pt-BR"/>
        </w:rPr>
        <w:t xml:space="preserve">novembro </w:t>
      </w:r>
      <w:r w:rsidRPr="00970B13">
        <w:rPr>
          <w:lang w:val="pt-BR"/>
        </w:rPr>
        <w:t xml:space="preserve">de 2009. </w:t>
      </w:r>
      <w:r w:rsidRPr="00036A1B">
        <w:rPr>
          <w:lang w:val="pt-BR"/>
        </w:rPr>
        <w:t>Série</w:t>
      </w:r>
      <w:r>
        <w:rPr>
          <w:lang w:val="pt-BR"/>
        </w:rPr>
        <w:t xml:space="preserve"> </w:t>
      </w:r>
      <w:r w:rsidRPr="00036A1B">
        <w:rPr>
          <w:lang w:val="pt-BR"/>
        </w:rPr>
        <w:t>C N</w:t>
      </w:r>
      <w:r w:rsidRPr="00E81DC6">
        <w:rPr>
          <w:vertAlign w:val="superscript"/>
          <w:lang w:val="pt-BR"/>
        </w:rPr>
        <w:t>o.</w:t>
      </w:r>
      <w:r w:rsidRPr="00036A1B">
        <w:rPr>
          <w:lang w:val="pt-BR"/>
        </w:rPr>
        <w:t xml:space="preserve"> 208, par. 11</w:t>
      </w:r>
      <w:r>
        <w:rPr>
          <w:lang w:val="pt-BR"/>
        </w:rPr>
        <w:t>;</w:t>
      </w:r>
      <w:r w:rsidRPr="00036A1B">
        <w:rPr>
          <w:lang w:val="pt-BR"/>
        </w:rPr>
        <w:t xml:space="preserve"> e</w:t>
      </w:r>
      <w:r>
        <w:rPr>
          <w:lang w:val="pt-BR"/>
        </w:rPr>
        <w:t xml:space="preserve"> </w:t>
      </w:r>
      <w:r w:rsidRPr="00036A1B">
        <w:rPr>
          <w:i/>
          <w:lang w:val="pt-BR"/>
        </w:rPr>
        <w:t xml:space="preserve">Caso I.V. Vs. </w:t>
      </w:r>
      <w:r>
        <w:rPr>
          <w:i/>
          <w:lang w:val="pt-BR"/>
        </w:rPr>
        <w:t>Bolí</w:t>
      </w:r>
      <w:r w:rsidRPr="00DE316A">
        <w:rPr>
          <w:i/>
          <w:lang w:val="pt-BR"/>
        </w:rPr>
        <w:t xml:space="preserve">via. </w:t>
      </w:r>
      <w:r w:rsidRPr="00036A1B">
        <w:rPr>
          <w:i/>
          <w:lang w:val="pt-BR"/>
        </w:rPr>
        <w:t>Interpretação da Sentença</w:t>
      </w:r>
      <w:r>
        <w:rPr>
          <w:i/>
          <w:lang w:val="pt-BR"/>
        </w:rPr>
        <w:t xml:space="preserve"> </w:t>
      </w:r>
      <w:r w:rsidRPr="00036A1B">
        <w:rPr>
          <w:i/>
          <w:lang w:val="pt-BR"/>
        </w:rPr>
        <w:t>de Exce</w:t>
      </w:r>
      <w:r>
        <w:rPr>
          <w:i/>
          <w:lang w:val="pt-BR"/>
        </w:rPr>
        <w:t>ções</w:t>
      </w:r>
      <w:r w:rsidRPr="00036A1B">
        <w:rPr>
          <w:i/>
          <w:lang w:val="pt-BR"/>
        </w:rPr>
        <w:t xml:space="preserve"> Preliminares, </w:t>
      </w:r>
      <w:r>
        <w:rPr>
          <w:i/>
          <w:lang w:val="pt-BR"/>
        </w:rPr>
        <w:t>Mérito</w:t>
      </w:r>
      <w:r w:rsidRPr="00036A1B">
        <w:rPr>
          <w:i/>
          <w:lang w:val="pt-BR"/>
        </w:rPr>
        <w:t>, Repara</w:t>
      </w:r>
      <w:r>
        <w:rPr>
          <w:i/>
          <w:lang w:val="pt-BR"/>
        </w:rPr>
        <w:t>ções</w:t>
      </w:r>
      <w:r w:rsidRPr="00036A1B">
        <w:rPr>
          <w:i/>
          <w:lang w:val="pt-BR"/>
        </w:rPr>
        <w:t xml:space="preserve"> e</w:t>
      </w:r>
      <w:r>
        <w:rPr>
          <w:i/>
          <w:lang w:val="pt-BR"/>
        </w:rPr>
        <w:t xml:space="preserve"> Custas</w:t>
      </w:r>
      <w:r w:rsidRPr="00036A1B">
        <w:rPr>
          <w:lang w:val="pt-BR"/>
        </w:rPr>
        <w:t>, par. 12.</w:t>
      </w:r>
    </w:p>
  </w:footnote>
  <w:footnote w:id="8">
    <w:p w:rsidR="00DE316A" w:rsidRPr="00DC5BE7" w:rsidRDefault="00DE316A" w:rsidP="008B6768">
      <w:pPr>
        <w:pStyle w:val="FootnoteText"/>
        <w:rPr>
          <w:lang w:val="pt-BR"/>
        </w:rPr>
      </w:pPr>
      <w:r>
        <w:rPr>
          <w:rStyle w:val="FootnoteReference"/>
        </w:rPr>
        <w:footnoteRef/>
      </w:r>
      <w:r w:rsidRPr="005F725E">
        <w:t xml:space="preserve"> Entre otros, ver </w:t>
      </w:r>
      <w:r w:rsidRPr="005F725E">
        <w:rPr>
          <w:i/>
        </w:rPr>
        <w:t xml:space="preserve">Caso Barrios Altos Vs. </w:t>
      </w:r>
      <w:r w:rsidRPr="00036A1B">
        <w:rPr>
          <w:i/>
          <w:lang w:val="pt-BR"/>
        </w:rPr>
        <w:t>Peru. Reparações e</w:t>
      </w:r>
      <w:r>
        <w:rPr>
          <w:i/>
          <w:lang w:val="pt-BR"/>
        </w:rPr>
        <w:t xml:space="preserve"> </w:t>
      </w:r>
      <w:r w:rsidRPr="00036A1B">
        <w:rPr>
          <w:i/>
          <w:lang w:val="pt-BR"/>
        </w:rPr>
        <w:t xml:space="preserve">Custas. </w:t>
      </w:r>
      <w:r w:rsidRPr="00036A1B">
        <w:rPr>
          <w:lang w:val="pt-BR"/>
        </w:rPr>
        <w:t>Sentença</w:t>
      </w:r>
      <w:r>
        <w:rPr>
          <w:lang w:val="pt-BR"/>
        </w:rPr>
        <w:t xml:space="preserve"> </w:t>
      </w:r>
      <w:r w:rsidRPr="00036A1B">
        <w:rPr>
          <w:lang w:val="pt-BR"/>
        </w:rPr>
        <w:t>de 30 de novembro</w:t>
      </w:r>
      <w:r>
        <w:rPr>
          <w:lang w:val="pt-BR"/>
        </w:rPr>
        <w:t xml:space="preserve"> </w:t>
      </w:r>
      <w:r w:rsidRPr="00036A1B">
        <w:rPr>
          <w:lang w:val="pt-BR"/>
        </w:rPr>
        <w:t>de 2001. Série</w:t>
      </w:r>
      <w:r>
        <w:rPr>
          <w:lang w:val="pt-BR"/>
        </w:rPr>
        <w:t xml:space="preserve"> </w:t>
      </w:r>
      <w:r w:rsidRPr="00036A1B">
        <w:rPr>
          <w:lang w:val="pt-BR"/>
        </w:rPr>
        <w:t>C N</w:t>
      </w:r>
      <w:r w:rsidRPr="00A90C6A">
        <w:rPr>
          <w:vertAlign w:val="superscript"/>
          <w:lang w:val="pt-BR"/>
        </w:rPr>
        <w:t>o.</w:t>
      </w:r>
      <w:r w:rsidRPr="00036A1B">
        <w:rPr>
          <w:lang w:val="pt-BR"/>
        </w:rPr>
        <w:t xml:space="preserve"> 87</w:t>
      </w:r>
      <w:r>
        <w:rPr>
          <w:lang w:val="pt-BR"/>
        </w:rPr>
        <w:t>;</w:t>
      </w:r>
      <w:r w:rsidRPr="00036A1B">
        <w:rPr>
          <w:lang w:val="pt-BR"/>
        </w:rPr>
        <w:t xml:space="preserve"> e</w:t>
      </w:r>
      <w:r>
        <w:rPr>
          <w:lang w:val="pt-BR"/>
        </w:rPr>
        <w:t xml:space="preserve"> </w:t>
      </w:r>
      <w:r w:rsidRPr="00036A1B">
        <w:rPr>
          <w:i/>
          <w:lang w:val="pt-BR"/>
        </w:rPr>
        <w:t xml:space="preserve">Caso </w:t>
      </w:r>
      <w:r>
        <w:rPr>
          <w:i/>
          <w:lang w:val="pt-BR"/>
        </w:rPr>
        <w:t xml:space="preserve">dos </w:t>
      </w:r>
      <w:r w:rsidRPr="00036A1B">
        <w:rPr>
          <w:i/>
          <w:lang w:val="pt-BR"/>
        </w:rPr>
        <w:t>Mas</w:t>
      </w:r>
      <w:r>
        <w:rPr>
          <w:i/>
          <w:lang w:val="pt-BR"/>
        </w:rPr>
        <w:t>s</w:t>
      </w:r>
      <w:r w:rsidRPr="00036A1B">
        <w:rPr>
          <w:i/>
          <w:lang w:val="pt-BR"/>
        </w:rPr>
        <w:t>acres de El Mozote e</w:t>
      </w:r>
      <w:r>
        <w:rPr>
          <w:i/>
          <w:lang w:val="pt-BR"/>
        </w:rPr>
        <w:t xml:space="preserve"> </w:t>
      </w:r>
      <w:r w:rsidRPr="00036A1B">
        <w:rPr>
          <w:i/>
          <w:lang w:val="pt-BR"/>
        </w:rPr>
        <w:t xml:space="preserve">lugares </w:t>
      </w:r>
      <w:r>
        <w:rPr>
          <w:i/>
          <w:lang w:val="pt-BR"/>
        </w:rPr>
        <w:t xml:space="preserve">vizinhos </w:t>
      </w:r>
      <w:r w:rsidRPr="00036A1B">
        <w:rPr>
          <w:i/>
          <w:lang w:val="pt-BR"/>
        </w:rPr>
        <w:t xml:space="preserve">Vs. </w:t>
      </w:r>
      <w:r w:rsidRPr="00A90C6A">
        <w:rPr>
          <w:i/>
          <w:lang w:val="pt-BR"/>
        </w:rPr>
        <w:t xml:space="preserve">El Salvador. </w:t>
      </w:r>
      <w:r w:rsidRPr="005F725E">
        <w:rPr>
          <w:i/>
          <w:lang w:val="pt-BR"/>
        </w:rPr>
        <w:t>Mérito, Reparações e</w:t>
      </w:r>
      <w:r>
        <w:rPr>
          <w:i/>
          <w:lang w:val="pt-BR"/>
        </w:rPr>
        <w:t xml:space="preserve"> </w:t>
      </w:r>
      <w:r w:rsidRPr="005F725E">
        <w:rPr>
          <w:i/>
          <w:lang w:val="pt-BR"/>
        </w:rPr>
        <w:t xml:space="preserve">Custas. </w:t>
      </w:r>
      <w:r w:rsidRPr="005F725E">
        <w:rPr>
          <w:lang w:val="pt-BR"/>
        </w:rPr>
        <w:t>Sentença</w:t>
      </w:r>
      <w:r>
        <w:rPr>
          <w:lang w:val="pt-BR"/>
        </w:rPr>
        <w:t xml:space="preserve"> </w:t>
      </w:r>
      <w:r w:rsidRPr="005F725E">
        <w:rPr>
          <w:lang w:val="pt-BR"/>
        </w:rPr>
        <w:t xml:space="preserve">de 25 de </w:t>
      </w:r>
      <w:r>
        <w:rPr>
          <w:lang w:val="pt-BR"/>
        </w:rPr>
        <w:t xml:space="preserve">outubro </w:t>
      </w:r>
      <w:r w:rsidRPr="005F725E">
        <w:rPr>
          <w:lang w:val="pt-BR"/>
        </w:rPr>
        <w:t xml:space="preserve">de 2012. </w:t>
      </w:r>
      <w:r w:rsidRPr="00DC5BE7">
        <w:rPr>
          <w:lang w:val="pt-BR"/>
        </w:rPr>
        <w:t>Série</w:t>
      </w:r>
      <w:r>
        <w:rPr>
          <w:lang w:val="pt-BR"/>
        </w:rPr>
        <w:t xml:space="preserve"> </w:t>
      </w:r>
      <w:r w:rsidRPr="00DC5BE7">
        <w:rPr>
          <w:lang w:val="pt-BR"/>
        </w:rPr>
        <w:t>C N</w:t>
      </w:r>
      <w:r w:rsidRPr="00A90C6A">
        <w:rPr>
          <w:vertAlign w:val="superscript"/>
          <w:lang w:val="pt-BR"/>
        </w:rPr>
        <w:t>o.</w:t>
      </w:r>
      <w:r w:rsidRPr="00DC5BE7">
        <w:rPr>
          <w:lang w:val="pt-BR"/>
        </w:rPr>
        <w:t xml:space="preserve"> 252.</w:t>
      </w:r>
    </w:p>
  </w:footnote>
  <w:footnote w:id="9">
    <w:p w:rsidR="00DE316A" w:rsidRPr="001B15B1" w:rsidRDefault="00DE316A" w:rsidP="008B6768">
      <w:pPr>
        <w:pStyle w:val="FootnoteText"/>
        <w:rPr>
          <w:lang w:val="pt-BR"/>
        </w:rPr>
      </w:pPr>
      <w:r>
        <w:rPr>
          <w:rStyle w:val="FootnoteReference"/>
        </w:rPr>
        <w:footnoteRef/>
      </w:r>
      <w:r w:rsidRPr="00DE316A">
        <w:rPr>
          <w:lang w:val="pt-BR"/>
        </w:rPr>
        <w:t xml:space="preserve"> </w:t>
      </w:r>
      <w:r w:rsidRPr="00DE316A">
        <w:rPr>
          <w:i/>
          <w:lang w:val="pt-BR"/>
        </w:rPr>
        <w:t>Caso Bueno Alves Vs. Argentina</w:t>
      </w:r>
      <w:r w:rsidRPr="00DE316A">
        <w:rPr>
          <w:lang w:val="pt-BR"/>
        </w:rPr>
        <w:t xml:space="preserve">. </w:t>
      </w:r>
      <w:r w:rsidRPr="001B15B1">
        <w:rPr>
          <w:lang w:val="pt-BR"/>
        </w:rPr>
        <w:t>Resolução de Supervisão de Cumprimento de Sentença</w:t>
      </w:r>
      <w:r>
        <w:rPr>
          <w:lang w:val="pt-BR"/>
        </w:rPr>
        <w:t xml:space="preserve"> </w:t>
      </w:r>
      <w:r w:rsidRPr="001B15B1">
        <w:rPr>
          <w:lang w:val="pt-BR"/>
        </w:rPr>
        <w:t>da Corte Interamericana de Direitos Humanos</w:t>
      </w:r>
      <w:r>
        <w:rPr>
          <w:lang w:val="pt-BR"/>
        </w:rPr>
        <w:t>,</w:t>
      </w:r>
      <w:r w:rsidRPr="001B15B1">
        <w:rPr>
          <w:lang w:val="pt-BR"/>
        </w:rPr>
        <w:t xml:space="preserve"> de 5 de jul</w:t>
      </w:r>
      <w:r>
        <w:rPr>
          <w:lang w:val="pt-BR"/>
        </w:rPr>
        <w:t>h</w:t>
      </w:r>
      <w:r w:rsidRPr="001B15B1">
        <w:rPr>
          <w:lang w:val="pt-BR"/>
        </w:rPr>
        <w:t>o de 2011, par. 40.</w:t>
      </w:r>
    </w:p>
  </w:footnote>
  <w:footnote w:id="10">
    <w:p w:rsidR="00DE316A" w:rsidRPr="001B15B1" w:rsidRDefault="00DE316A" w:rsidP="008B6768">
      <w:pPr>
        <w:pStyle w:val="FootnoteText"/>
        <w:rPr>
          <w:lang w:val="pt-BR"/>
        </w:rPr>
      </w:pPr>
      <w:r>
        <w:rPr>
          <w:rStyle w:val="FootnoteReference"/>
        </w:rPr>
        <w:footnoteRef/>
      </w:r>
      <w:r w:rsidRPr="00D12C4F">
        <w:rPr>
          <w:lang w:val="pt-BR"/>
        </w:rPr>
        <w:t xml:space="preserve"> </w:t>
      </w:r>
      <w:r w:rsidRPr="00D12C4F">
        <w:rPr>
          <w:i/>
          <w:lang w:val="pt-BR"/>
        </w:rPr>
        <w:t>Cf. Caso Bueno Alves Vs. Argentina</w:t>
      </w:r>
      <w:r w:rsidRPr="00D12C4F">
        <w:rPr>
          <w:lang w:val="pt-BR"/>
        </w:rPr>
        <w:t xml:space="preserve">. </w:t>
      </w:r>
      <w:r w:rsidRPr="001B15B1">
        <w:rPr>
          <w:lang w:val="pt-BR"/>
        </w:rPr>
        <w:t>Resolução de Supervisão de Cumprimento de Sentença, par. 35.</w:t>
      </w:r>
    </w:p>
  </w:footnote>
  <w:footnote w:id="11">
    <w:p w:rsidR="00DE316A" w:rsidRPr="00036A1B" w:rsidRDefault="00DE316A" w:rsidP="008B6768">
      <w:pPr>
        <w:pStyle w:val="FootnoteText"/>
        <w:rPr>
          <w:lang w:val="pt-BR"/>
        </w:rPr>
      </w:pPr>
      <w:r>
        <w:rPr>
          <w:rStyle w:val="FootnoteReference"/>
        </w:rPr>
        <w:footnoteRef/>
      </w:r>
      <w:r w:rsidRPr="00811316">
        <w:rPr>
          <w:lang w:val="pt-BR"/>
        </w:rPr>
        <w:t xml:space="preserve"> Ver, entre outros, </w:t>
      </w:r>
      <w:r w:rsidRPr="00811316">
        <w:rPr>
          <w:i/>
          <w:lang w:val="pt-BR"/>
        </w:rPr>
        <w:t xml:space="preserve">Caso da Comunidade Moiwana Vs. </w:t>
      </w:r>
      <w:r w:rsidRPr="00CD6AAF">
        <w:rPr>
          <w:i/>
          <w:lang w:val="pt-BR"/>
        </w:rPr>
        <w:t>Suriname</w:t>
      </w:r>
      <w:r w:rsidRPr="00DE316A">
        <w:rPr>
          <w:i/>
          <w:lang w:val="pt-BR"/>
        </w:rPr>
        <w:t xml:space="preserve">. </w:t>
      </w:r>
      <w:r w:rsidRPr="00036A1B">
        <w:rPr>
          <w:i/>
          <w:lang w:val="pt-BR"/>
        </w:rPr>
        <w:t>Exceções Preliminares, Mérito, Reparações e</w:t>
      </w:r>
      <w:r>
        <w:rPr>
          <w:i/>
          <w:lang w:val="pt-BR"/>
        </w:rPr>
        <w:t xml:space="preserve"> Custas</w:t>
      </w:r>
      <w:r w:rsidRPr="00036A1B">
        <w:rPr>
          <w:lang w:val="pt-BR"/>
        </w:rPr>
        <w:t xml:space="preserve">. </w:t>
      </w:r>
      <w:r w:rsidRPr="00811316">
        <w:rPr>
          <w:lang w:val="pt-BR"/>
        </w:rPr>
        <w:t>Sentença</w:t>
      </w:r>
      <w:r>
        <w:rPr>
          <w:lang w:val="pt-BR"/>
        </w:rPr>
        <w:t xml:space="preserve"> </w:t>
      </w:r>
      <w:r w:rsidRPr="00811316">
        <w:rPr>
          <w:lang w:val="pt-BR"/>
        </w:rPr>
        <w:t xml:space="preserve">de 15 de junho de 2005. </w:t>
      </w:r>
      <w:r w:rsidRPr="00036A1B">
        <w:rPr>
          <w:lang w:val="pt-BR"/>
        </w:rPr>
        <w:t>Série</w:t>
      </w:r>
      <w:r>
        <w:rPr>
          <w:lang w:val="pt-BR"/>
        </w:rPr>
        <w:t xml:space="preserve"> </w:t>
      </w:r>
      <w:r w:rsidRPr="00036A1B">
        <w:rPr>
          <w:lang w:val="pt-BR"/>
        </w:rPr>
        <w:t>C N</w:t>
      </w:r>
      <w:r w:rsidRPr="00811316">
        <w:rPr>
          <w:vertAlign w:val="superscript"/>
          <w:lang w:val="pt-BR"/>
        </w:rPr>
        <w:t>o.</w:t>
      </w:r>
      <w:r w:rsidRPr="00036A1B">
        <w:rPr>
          <w:lang w:val="pt-BR"/>
        </w:rPr>
        <w:t xml:space="preserve"> 124, par. 167;</w:t>
      </w:r>
      <w:r>
        <w:rPr>
          <w:lang w:val="pt-BR"/>
        </w:rPr>
        <w:t xml:space="preserve"> </w:t>
      </w:r>
      <w:r w:rsidRPr="00036A1B">
        <w:rPr>
          <w:i/>
          <w:iCs/>
          <w:lang w:val="pt-BR"/>
        </w:rPr>
        <w:t xml:space="preserve">Caso dos </w:t>
      </w:r>
      <w:r>
        <w:rPr>
          <w:i/>
          <w:iCs/>
          <w:lang w:val="pt-BR"/>
        </w:rPr>
        <w:t>irmãos</w:t>
      </w:r>
      <w:r w:rsidRPr="00036A1B">
        <w:rPr>
          <w:i/>
          <w:iCs/>
          <w:lang w:val="pt-BR"/>
        </w:rPr>
        <w:t xml:space="preserve"> Gómez Paquiyauri Vs. Peru. Mérito, Reparações e</w:t>
      </w:r>
      <w:r>
        <w:rPr>
          <w:i/>
          <w:iCs/>
          <w:lang w:val="pt-BR"/>
        </w:rPr>
        <w:t xml:space="preserve"> Custas</w:t>
      </w:r>
      <w:r w:rsidRPr="00036A1B">
        <w:rPr>
          <w:i/>
          <w:iCs/>
          <w:lang w:val="pt-BR"/>
        </w:rPr>
        <w:t xml:space="preserve">. </w:t>
      </w:r>
      <w:r w:rsidRPr="00811316">
        <w:rPr>
          <w:iCs/>
          <w:lang w:val="pt-BR"/>
        </w:rPr>
        <w:t>Sentença</w:t>
      </w:r>
      <w:r>
        <w:rPr>
          <w:iCs/>
          <w:lang w:val="pt-BR"/>
        </w:rPr>
        <w:t xml:space="preserve"> </w:t>
      </w:r>
      <w:r w:rsidRPr="00811316">
        <w:rPr>
          <w:iCs/>
          <w:lang w:val="pt-BR"/>
        </w:rPr>
        <w:t>de 8 de julho de 2004.</w:t>
      </w:r>
      <w:r w:rsidRPr="00811316">
        <w:rPr>
          <w:i/>
          <w:iCs/>
          <w:lang w:val="pt-BR"/>
        </w:rPr>
        <w:t xml:space="preserve"> </w:t>
      </w:r>
      <w:r w:rsidRPr="00811316">
        <w:rPr>
          <w:iCs/>
          <w:lang w:val="pt-BR"/>
        </w:rPr>
        <w:t>Série</w:t>
      </w:r>
      <w:r>
        <w:rPr>
          <w:iCs/>
          <w:lang w:val="pt-BR"/>
        </w:rPr>
        <w:t xml:space="preserve"> </w:t>
      </w:r>
      <w:r w:rsidRPr="00811316">
        <w:rPr>
          <w:iCs/>
          <w:lang w:val="pt-BR"/>
        </w:rPr>
        <w:t>C N</w:t>
      </w:r>
      <w:r w:rsidRPr="00811316">
        <w:rPr>
          <w:iCs/>
          <w:vertAlign w:val="superscript"/>
          <w:lang w:val="pt-BR"/>
        </w:rPr>
        <w:t>o.</w:t>
      </w:r>
      <w:r w:rsidRPr="00811316">
        <w:rPr>
          <w:iCs/>
          <w:lang w:val="pt-BR"/>
        </w:rPr>
        <w:t xml:space="preserve"> 110,</w:t>
      </w:r>
      <w:r w:rsidRPr="00811316">
        <w:rPr>
          <w:i/>
          <w:iCs/>
          <w:lang w:val="pt-BR"/>
        </w:rPr>
        <w:t xml:space="preserve"> </w:t>
      </w:r>
      <w:r w:rsidRPr="00811316">
        <w:rPr>
          <w:lang w:val="pt-BR"/>
        </w:rPr>
        <w:t xml:space="preserve">par. 152; </w:t>
      </w:r>
      <w:r w:rsidRPr="00811316">
        <w:rPr>
          <w:i/>
          <w:iCs/>
          <w:lang w:val="pt-BR"/>
        </w:rPr>
        <w:t xml:space="preserve">Caso Bulacio Vs. </w:t>
      </w:r>
      <w:r w:rsidRPr="00DE316A">
        <w:rPr>
          <w:i/>
          <w:iCs/>
          <w:lang w:val="pt-BR"/>
        </w:rPr>
        <w:t xml:space="preserve">Argentina. </w:t>
      </w:r>
      <w:r w:rsidRPr="00811316">
        <w:rPr>
          <w:i/>
          <w:iCs/>
          <w:lang w:val="pt-BR"/>
        </w:rPr>
        <w:t>Mérito, Reparações e</w:t>
      </w:r>
      <w:r>
        <w:rPr>
          <w:i/>
          <w:iCs/>
          <w:lang w:val="pt-BR"/>
        </w:rPr>
        <w:t xml:space="preserve"> </w:t>
      </w:r>
      <w:r w:rsidRPr="00811316">
        <w:rPr>
          <w:i/>
          <w:iCs/>
          <w:lang w:val="pt-BR"/>
        </w:rPr>
        <w:t xml:space="preserve">Custas. </w:t>
      </w:r>
      <w:r w:rsidRPr="00811316">
        <w:rPr>
          <w:iCs/>
          <w:lang w:val="pt-BR"/>
        </w:rPr>
        <w:t>Sentença</w:t>
      </w:r>
      <w:r>
        <w:rPr>
          <w:iCs/>
          <w:lang w:val="pt-BR"/>
        </w:rPr>
        <w:t xml:space="preserve"> </w:t>
      </w:r>
      <w:r w:rsidRPr="00811316">
        <w:rPr>
          <w:iCs/>
          <w:lang w:val="pt-BR"/>
        </w:rPr>
        <w:t xml:space="preserve">de 18 de setembro de 2003. </w:t>
      </w:r>
      <w:r w:rsidRPr="00036A1B">
        <w:rPr>
          <w:iCs/>
          <w:lang w:val="pt-BR"/>
        </w:rPr>
        <w:t>Série</w:t>
      </w:r>
      <w:r>
        <w:rPr>
          <w:iCs/>
          <w:lang w:val="pt-BR"/>
        </w:rPr>
        <w:t xml:space="preserve"> </w:t>
      </w:r>
      <w:r w:rsidRPr="00036A1B">
        <w:rPr>
          <w:iCs/>
          <w:lang w:val="pt-BR"/>
        </w:rPr>
        <w:t>C N</w:t>
      </w:r>
      <w:r w:rsidRPr="00811316">
        <w:rPr>
          <w:iCs/>
          <w:vertAlign w:val="superscript"/>
          <w:lang w:val="pt-BR"/>
        </w:rPr>
        <w:t>o.</w:t>
      </w:r>
      <w:r w:rsidRPr="00036A1B">
        <w:rPr>
          <w:iCs/>
          <w:lang w:val="pt-BR"/>
        </w:rPr>
        <w:t xml:space="preserve"> 100</w:t>
      </w:r>
      <w:r w:rsidRPr="00036A1B">
        <w:rPr>
          <w:lang w:val="pt-BR"/>
        </w:rPr>
        <w:t xml:space="preserve">, par. 118; </w:t>
      </w:r>
      <w:r w:rsidRPr="00036A1B">
        <w:rPr>
          <w:i/>
          <w:lang w:val="pt-BR"/>
        </w:rPr>
        <w:t>Caso d</w:t>
      </w:r>
      <w:r>
        <w:rPr>
          <w:i/>
          <w:lang w:val="pt-BR"/>
        </w:rPr>
        <w:t>o</w:t>
      </w:r>
      <w:r w:rsidRPr="00036A1B">
        <w:rPr>
          <w:i/>
          <w:lang w:val="pt-BR"/>
        </w:rPr>
        <w:t xml:space="preserve"> "Ma</w:t>
      </w:r>
      <w:r>
        <w:rPr>
          <w:i/>
          <w:lang w:val="pt-BR"/>
        </w:rPr>
        <w:t>s</w:t>
      </w:r>
      <w:r w:rsidRPr="00036A1B">
        <w:rPr>
          <w:i/>
          <w:lang w:val="pt-BR"/>
        </w:rPr>
        <w:t xml:space="preserve">sacre de Mapiripán" Vs. </w:t>
      </w:r>
      <w:r w:rsidRPr="00811316">
        <w:rPr>
          <w:i/>
          <w:lang w:val="pt-BR"/>
        </w:rPr>
        <w:t>Colômbia</w:t>
      </w:r>
      <w:r w:rsidRPr="00811316">
        <w:rPr>
          <w:lang w:val="pt-BR"/>
        </w:rPr>
        <w:t>. Sentença</w:t>
      </w:r>
      <w:r>
        <w:rPr>
          <w:lang w:val="pt-BR"/>
        </w:rPr>
        <w:t xml:space="preserve"> </w:t>
      </w:r>
      <w:r w:rsidRPr="00811316">
        <w:rPr>
          <w:lang w:val="pt-BR"/>
        </w:rPr>
        <w:t xml:space="preserve">de 15 de setembro de 2005. </w:t>
      </w:r>
      <w:r w:rsidRPr="00036A1B">
        <w:rPr>
          <w:lang w:val="pt-BR"/>
        </w:rPr>
        <w:t>Série</w:t>
      </w:r>
      <w:r>
        <w:rPr>
          <w:lang w:val="pt-BR"/>
        </w:rPr>
        <w:t xml:space="preserve"> </w:t>
      </w:r>
      <w:r w:rsidRPr="00036A1B">
        <w:rPr>
          <w:lang w:val="pt-BR"/>
        </w:rPr>
        <w:t>C N</w:t>
      </w:r>
      <w:r w:rsidRPr="00811316">
        <w:rPr>
          <w:vertAlign w:val="superscript"/>
          <w:lang w:val="pt-BR"/>
        </w:rPr>
        <w:t>o.</w:t>
      </w:r>
      <w:r w:rsidRPr="00036A1B">
        <w:rPr>
          <w:lang w:val="pt-BR"/>
        </w:rPr>
        <w:t xml:space="preserve"> 134, </w:t>
      </w:r>
      <w:r>
        <w:rPr>
          <w:lang w:val="pt-BR"/>
        </w:rPr>
        <w:t xml:space="preserve">par. </w:t>
      </w:r>
      <w:r w:rsidRPr="00036A1B">
        <w:rPr>
          <w:lang w:val="pt-BR"/>
        </w:rPr>
        <w:t>304.</w:t>
      </w:r>
    </w:p>
  </w:footnote>
  <w:footnote w:id="12">
    <w:p w:rsidR="00DE316A" w:rsidRPr="00970B13" w:rsidRDefault="00DE316A" w:rsidP="008B6768">
      <w:pPr>
        <w:pStyle w:val="FootnoteText"/>
        <w:rPr>
          <w:lang w:val="pt-BR"/>
        </w:rPr>
      </w:pPr>
      <w:r>
        <w:rPr>
          <w:rStyle w:val="FootnoteReference"/>
        </w:rPr>
        <w:footnoteRef/>
      </w:r>
      <w:r w:rsidRPr="00036A1B">
        <w:rPr>
          <w:i/>
          <w:lang w:val="pt-BR"/>
        </w:rPr>
        <w:t xml:space="preserve"> Caso </w:t>
      </w:r>
      <w:r>
        <w:rPr>
          <w:i/>
          <w:lang w:val="pt-BR"/>
        </w:rPr>
        <w:t>Trabalhadores</w:t>
      </w:r>
      <w:r w:rsidRPr="00036A1B">
        <w:rPr>
          <w:i/>
          <w:lang w:val="pt-BR"/>
        </w:rPr>
        <w:t xml:space="preserve"> da </w:t>
      </w:r>
      <w:r>
        <w:rPr>
          <w:i/>
          <w:lang w:val="pt-BR"/>
        </w:rPr>
        <w:t xml:space="preserve">Fazenda </w:t>
      </w:r>
      <w:r w:rsidRPr="00036A1B">
        <w:rPr>
          <w:i/>
          <w:lang w:val="pt-BR"/>
        </w:rPr>
        <w:t xml:space="preserve">Brasil Verde Vs. Brasil. </w:t>
      </w:r>
      <w:r w:rsidRPr="00C06A9B">
        <w:rPr>
          <w:i/>
          <w:lang w:val="pt-BR"/>
        </w:rPr>
        <w:t>Interpretação da Sentença</w:t>
      </w:r>
      <w:r>
        <w:rPr>
          <w:i/>
          <w:lang w:val="pt-BR"/>
        </w:rPr>
        <w:t xml:space="preserve"> </w:t>
      </w:r>
      <w:r w:rsidRPr="00C06A9B">
        <w:rPr>
          <w:i/>
          <w:lang w:val="pt-BR"/>
        </w:rPr>
        <w:t>de Exce</w:t>
      </w:r>
      <w:r>
        <w:rPr>
          <w:i/>
          <w:lang w:val="pt-BR"/>
        </w:rPr>
        <w:t>ções</w:t>
      </w:r>
      <w:r w:rsidRPr="00C06A9B">
        <w:rPr>
          <w:i/>
          <w:lang w:val="pt-BR"/>
        </w:rPr>
        <w:t xml:space="preserve"> Preliminares, </w:t>
      </w:r>
      <w:r>
        <w:rPr>
          <w:i/>
          <w:lang w:val="pt-BR"/>
        </w:rPr>
        <w:t>Mérito</w:t>
      </w:r>
      <w:r w:rsidRPr="00C06A9B">
        <w:rPr>
          <w:i/>
          <w:lang w:val="pt-BR"/>
        </w:rPr>
        <w:t>, Repara</w:t>
      </w:r>
      <w:r>
        <w:rPr>
          <w:i/>
          <w:lang w:val="pt-BR"/>
        </w:rPr>
        <w:t>ções</w:t>
      </w:r>
      <w:r w:rsidRPr="00C06A9B">
        <w:rPr>
          <w:i/>
          <w:lang w:val="pt-BR"/>
        </w:rPr>
        <w:t xml:space="preserve"> </w:t>
      </w:r>
      <w:r>
        <w:rPr>
          <w:i/>
          <w:lang w:val="pt-BR"/>
        </w:rPr>
        <w:t>e Custas</w:t>
      </w:r>
      <w:r w:rsidRPr="00C06A9B">
        <w:rPr>
          <w:i/>
          <w:lang w:val="pt-BR"/>
        </w:rPr>
        <w:t xml:space="preserve">. </w:t>
      </w:r>
      <w:r w:rsidRPr="00C06A9B">
        <w:rPr>
          <w:lang w:val="pt-BR"/>
        </w:rPr>
        <w:t>Sentença</w:t>
      </w:r>
      <w:r>
        <w:rPr>
          <w:lang w:val="pt-BR"/>
        </w:rPr>
        <w:t xml:space="preserve"> </w:t>
      </w:r>
      <w:r w:rsidRPr="00C06A9B">
        <w:rPr>
          <w:lang w:val="pt-BR"/>
        </w:rPr>
        <w:t xml:space="preserve">de 22 de agosto de 2017. </w:t>
      </w:r>
      <w:r>
        <w:rPr>
          <w:lang w:val="pt-BR"/>
        </w:rPr>
        <w:t xml:space="preserve">Série </w:t>
      </w:r>
      <w:r w:rsidRPr="00970B13">
        <w:rPr>
          <w:lang w:val="pt-BR"/>
        </w:rPr>
        <w:t>C N</w:t>
      </w:r>
      <w:r w:rsidRPr="008426E2">
        <w:rPr>
          <w:vertAlign w:val="superscript"/>
          <w:lang w:val="pt-BR"/>
        </w:rPr>
        <w:t>o.</w:t>
      </w:r>
      <w:r w:rsidRPr="00970B13">
        <w:rPr>
          <w:lang w:val="pt-BR"/>
        </w:rPr>
        <w:t xml:space="preserve"> 337</w:t>
      </w:r>
      <w:r w:rsidRPr="00970B13">
        <w:rPr>
          <w:i/>
          <w:lang w:val="pt-BR"/>
        </w:rPr>
        <w:t xml:space="preserve">, </w:t>
      </w:r>
      <w:r w:rsidRPr="00970B13">
        <w:rPr>
          <w:lang w:val="pt-BR"/>
        </w:rPr>
        <w:t>p</w:t>
      </w:r>
      <w:r>
        <w:rPr>
          <w:lang w:val="pt-BR"/>
        </w:rPr>
        <w:t>a</w:t>
      </w:r>
      <w:r w:rsidRPr="00970B13">
        <w:rPr>
          <w:lang w:val="pt-BR"/>
        </w:rPr>
        <w:t>r. 31 a 33.</w:t>
      </w:r>
      <w:r>
        <w:rPr>
          <w:lang w:val="pt-BR"/>
        </w:rPr>
        <w:t xml:space="preserve"> </w:t>
      </w:r>
    </w:p>
  </w:footnote>
  <w:footnote w:id="13">
    <w:p w:rsidR="00DE316A" w:rsidRPr="00970B13" w:rsidRDefault="00DE316A" w:rsidP="008B6768">
      <w:pPr>
        <w:pStyle w:val="FootnoteText"/>
        <w:rPr>
          <w:lang w:val="pt-BR"/>
        </w:rPr>
      </w:pPr>
      <w:r>
        <w:rPr>
          <w:rStyle w:val="FootnoteReference"/>
        </w:rPr>
        <w:footnoteRef/>
      </w:r>
      <w:r w:rsidRPr="00970B13">
        <w:rPr>
          <w:lang w:val="pt-BR"/>
        </w:rPr>
        <w:t xml:space="preserve"> </w:t>
      </w:r>
      <w:r>
        <w:rPr>
          <w:i/>
          <w:lang w:val="pt-BR"/>
        </w:rPr>
        <w:t xml:space="preserve">Cf. </w:t>
      </w:r>
      <w:r w:rsidRPr="00970B13">
        <w:rPr>
          <w:i/>
          <w:lang w:val="pt-BR"/>
        </w:rPr>
        <w:t xml:space="preserve">Caso </w:t>
      </w:r>
      <w:r>
        <w:rPr>
          <w:i/>
          <w:lang w:val="pt-BR"/>
        </w:rPr>
        <w:t>Trabalhadores da Fazenda</w:t>
      </w:r>
      <w:r w:rsidRPr="00970B13">
        <w:rPr>
          <w:i/>
          <w:lang w:val="pt-BR"/>
        </w:rPr>
        <w:t xml:space="preserve"> Brasil Verde Vs. Brasil. Interpretação, </w:t>
      </w:r>
      <w:r w:rsidRPr="00970B13">
        <w:rPr>
          <w:lang w:val="pt-BR"/>
        </w:rPr>
        <w:t>p</w:t>
      </w:r>
      <w:r>
        <w:rPr>
          <w:lang w:val="pt-BR"/>
        </w:rPr>
        <w:t>a</w:t>
      </w:r>
      <w:r w:rsidRPr="00970B13">
        <w:rPr>
          <w:lang w:val="pt-BR"/>
        </w:rPr>
        <w:t>r. 37 a 39.</w:t>
      </w:r>
    </w:p>
  </w:footnote>
  <w:footnote w:id="14">
    <w:p w:rsidR="00DE316A" w:rsidRPr="00036A1B" w:rsidRDefault="00DE316A" w:rsidP="008B6768">
      <w:pPr>
        <w:pStyle w:val="FootnoteText"/>
        <w:rPr>
          <w:lang w:val="pt-BR"/>
        </w:rPr>
      </w:pPr>
      <w:r>
        <w:rPr>
          <w:rStyle w:val="FootnoteReference"/>
        </w:rPr>
        <w:footnoteRef/>
      </w:r>
      <w:r w:rsidRPr="00970B13">
        <w:rPr>
          <w:lang w:val="pt-BR"/>
        </w:rPr>
        <w:t xml:space="preserve"> </w:t>
      </w:r>
      <w:r>
        <w:rPr>
          <w:i/>
          <w:lang w:val="pt-BR"/>
        </w:rPr>
        <w:t xml:space="preserve">Cf. </w:t>
      </w:r>
      <w:r w:rsidRPr="00970B13">
        <w:rPr>
          <w:i/>
          <w:lang w:val="pt-BR"/>
        </w:rPr>
        <w:t xml:space="preserve">Caso </w:t>
      </w:r>
      <w:r>
        <w:rPr>
          <w:i/>
          <w:lang w:val="pt-BR"/>
        </w:rPr>
        <w:t>Trabalhadores da Fazenda</w:t>
      </w:r>
      <w:r w:rsidRPr="00970B13">
        <w:rPr>
          <w:i/>
          <w:lang w:val="pt-BR"/>
        </w:rPr>
        <w:t xml:space="preserve"> Brasil Verde Vs. </w:t>
      </w:r>
      <w:r w:rsidRPr="00BD48D6">
        <w:rPr>
          <w:i/>
          <w:lang w:val="pt-BR"/>
        </w:rPr>
        <w:t xml:space="preserve">Brasil. </w:t>
      </w:r>
      <w:r w:rsidRPr="00036A1B">
        <w:rPr>
          <w:i/>
          <w:lang w:val="pt-BR"/>
        </w:rPr>
        <w:t xml:space="preserve">Interpretação, </w:t>
      </w:r>
      <w:r w:rsidRPr="00036A1B">
        <w:rPr>
          <w:lang w:val="pt-BR"/>
        </w:rPr>
        <w:t>p</w:t>
      </w:r>
      <w:r>
        <w:rPr>
          <w:lang w:val="pt-BR"/>
        </w:rPr>
        <w:t>a</w:t>
      </w:r>
      <w:r w:rsidRPr="00036A1B">
        <w:rPr>
          <w:lang w:val="pt-BR"/>
        </w:rPr>
        <w:t>r. 44 e</w:t>
      </w:r>
      <w:r>
        <w:rPr>
          <w:lang w:val="pt-BR"/>
        </w:rPr>
        <w:t xml:space="preserve"> </w:t>
      </w:r>
      <w:r w:rsidRPr="00036A1B">
        <w:rPr>
          <w:lang w:val="pt-BR"/>
        </w:rPr>
        <w:t xml:space="preserve">45.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BB4"/>
    <w:multiLevelType w:val="hybridMultilevel"/>
    <w:tmpl w:val="370ACD1C"/>
    <w:lvl w:ilvl="0" w:tplc="24BC9F12">
      <w:start w:val="1"/>
      <w:numFmt w:val="upperLetter"/>
      <w:lvlText w:val="%1."/>
      <w:lvlJc w:val="left"/>
      <w:pPr>
        <w:ind w:left="360" w:hanging="360"/>
      </w:pPr>
      <w:rPr>
        <w:b/>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
    <w:nsid w:val="0C4D0F26"/>
    <w:multiLevelType w:val="hybridMultilevel"/>
    <w:tmpl w:val="92729212"/>
    <w:lvl w:ilvl="0" w:tplc="B6E64A74">
      <w:start w:val="291"/>
      <w:numFmt w:val="decimal"/>
      <w:lvlText w:val="%1."/>
      <w:lvlJc w:val="left"/>
      <w:pPr>
        <w:ind w:left="1128" w:hanging="4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F090BC3"/>
    <w:multiLevelType w:val="hybridMultilevel"/>
    <w:tmpl w:val="25242C40"/>
    <w:lvl w:ilvl="0" w:tplc="941A3D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96018"/>
    <w:multiLevelType w:val="hybridMultilevel"/>
    <w:tmpl w:val="CECE448A"/>
    <w:lvl w:ilvl="0" w:tplc="8A6CB106">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F360E70"/>
    <w:multiLevelType w:val="hybridMultilevel"/>
    <w:tmpl w:val="05F49FEE"/>
    <w:lvl w:ilvl="0" w:tplc="56DCAC92">
      <w:start w:val="1"/>
      <w:numFmt w:val="lowerLetter"/>
      <w:lvlText w:val="%1)"/>
      <w:lvlJc w:val="left"/>
      <w:pPr>
        <w:ind w:left="2835" w:hanging="84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5">
    <w:nsid w:val="23412252"/>
    <w:multiLevelType w:val="hybridMultilevel"/>
    <w:tmpl w:val="B1CEA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07E57"/>
    <w:multiLevelType w:val="hybridMultilevel"/>
    <w:tmpl w:val="462210C0"/>
    <w:lvl w:ilvl="0" w:tplc="EDBCDD16">
      <w:start w:val="1"/>
      <w:numFmt w:val="decimal"/>
      <w:lvlText w:val="%1."/>
      <w:lvlJc w:val="left"/>
      <w:pPr>
        <w:ind w:left="720" w:hanging="360"/>
      </w:pPr>
      <w:rPr>
        <w:rFonts w:ascii="Verdana" w:eastAsia="Times" w:hAnsi="Verdana" w:cs="Times New Roman"/>
        <w:b w:val="0"/>
        <w:i w:val="0"/>
        <w:strike w:val="0"/>
        <w:color w:val="auto"/>
        <w:sz w:val="20"/>
        <w:lang w:val="es-P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40BC0"/>
    <w:multiLevelType w:val="hybridMultilevel"/>
    <w:tmpl w:val="4B9AB2D6"/>
    <w:lvl w:ilvl="0" w:tplc="55C49332">
      <w:start w:val="1"/>
      <w:numFmt w:val="decimal"/>
      <w:lvlText w:val="%1."/>
      <w:lvlJc w:val="left"/>
      <w:pPr>
        <w:ind w:left="720" w:hanging="360"/>
      </w:pPr>
      <w:rPr>
        <w:rFonts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37225"/>
    <w:multiLevelType w:val="hybridMultilevel"/>
    <w:tmpl w:val="0A189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536E73"/>
    <w:multiLevelType w:val="hybridMultilevel"/>
    <w:tmpl w:val="3AC4C382"/>
    <w:lvl w:ilvl="0" w:tplc="21FE6BE2">
      <w:start w:val="1"/>
      <w:numFmt w:val="decimal"/>
      <w:lvlText w:val="%1."/>
      <w:lvlJc w:val="left"/>
      <w:pPr>
        <w:ind w:left="720" w:hanging="360"/>
      </w:pPr>
      <w:rPr>
        <w:rFonts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78382D"/>
    <w:multiLevelType w:val="hybridMultilevel"/>
    <w:tmpl w:val="3DF68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814278"/>
    <w:multiLevelType w:val="hybridMultilevel"/>
    <w:tmpl w:val="6256F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2ED5F89"/>
    <w:multiLevelType w:val="hybridMultilevel"/>
    <w:tmpl w:val="527A9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753A80"/>
    <w:multiLevelType w:val="hybridMultilevel"/>
    <w:tmpl w:val="BC78FF58"/>
    <w:lvl w:ilvl="0" w:tplc="726880C0">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
      </w:rPr>
    </w:lvl>
    <w:lvl w:ilvl="1" w:tplc="2C0A0019">
      <w:start w:val="1"/>
      <w:numFmt w:val="lowerLetter"/>
      <w:lvlText w:val="%2."/>
      <w:lvlJc w:val="left"/>
      <w:pPr>
        <w:ind w:left="1353" w:hanging="360"/>
      </w:pPr>
      <w:rPr>
        <w:lang w:val="es-CR"/>
      </w:rPr>
    </w:lvl>
    <w:lvl w:ilvl="2" w:tplc="40823306">
      <w:start w:val="1"/>
      <w:numFmt w:val="lowerRoman"/>
      <w:lvlText w:val="%3."/>
      <w:lvlJc w:val="right"/>
      <w:pPr>
        <w:ind w:left="2018" w:hanging="180"/>
      </w:pPr>
      <w:rPr>
        <w:b w:val="0"/>
        <w:i w:val="0"/>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14">
    <w:nsid w:val="7CE64D32"/>
    <w:multiLevelType w:val="hybridMultilevel"/>
    <w:tmpl w:val="D3C861DA"/>
    <w:lvl w:ilvl="0" w:tplc="EDBCDD16">
      <w:start w:val="1"/>
      <w:numFmt w:val="decimal"/>
      <w:lvlText w:val="%1."/>
      <w:lvlJc w:val="left"/>
      <w:pPr>
        <w:tabs>
          <w:tab w:val="num" w:pos="1247"/>
        </w:tabs>
        <w:ind w:left="0" w:firstLine="0"/>
      </w:pPr>
      <w:rPr>
        <w:rFonts w:ascii="Verdana" w:eastAsia="Times" w:hAnsi="Verdana" w:cs="Times New Roman"/>
        <w:b w:val="0"/>
        <w:i w:val="0"/>
        <w:strike w:val="0"/>
        <w:color w:val="auto"/>
        <w:sz w:val="20"/>
        <w:lang w:val="es-PA"/>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7D1F6286"/>
    <w:multiLevelType w:val="hybridMultilevel"/>
    <w:tmpl w:val="46860292"/>
    <w:lvl w:ilvl="0" w:tplc="025E5168">
      <w:start w:val="1"/>
      <w:numFmt w:val="upperLetter"/>
      <w:pStyle w:val="Heading5"/>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EA5974"/>
    <w:multiLevelType w:val="hybridMultilevel"/>
    <w:tmpl w:val="3830DC68"/>
    <w:lvl w:ilvl="0" w:tplc="2D347A4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E607722"/>
    <w:multiLevelType w:val="hybridMultilevel"/>
    <w:tmpl w:val="52DAC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8"/>
  </w:num>
  <w:num w:numId="8">
    <w:abstractNumId w:val="12"/>
  </w:num>
  <w:num w:numId="9">
    <w:abstractNumId w:val="9"/>
  </w:num>
  <w:num w:numId="10">
    <w:abstractNumId w:val="3"/>
  </w:num>
  <w:num w:numId="11">
    <w:abstractNumId w:val="5"/>
  </w:num>
  <w:num w:numId="12">
    <w:abstractNumId w:val="17"/>
  </w:num>
  <w:num w:numId="13">
    <w:abstractNumId w:val="11"/>
  </w:num>
  <w:num w:numId="14">
    <w:abstractNumId w:val="6"/>
  </w:num>
  <w:num w:numId="15">
    <w:abstractNumId w:val="13"/>
  </w:num>
  <w:num w:numId="16">
    <w:abstractNumId w:val="4"/>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17B"/>
    <w:rsid w:val="00007AA4"/>
    <w:rsid w:val="00011A09"/>
    <w:rsid w:val="000246F0"/>
    <w:rsid w:val="00027332"/>
    <w:rsid w:val="0003025F"/>
    <w:rsid w:val="00031FFD"/>
    <w:rsid w:val="00035A77"/>
    <w:rsid w:val="00036A1B"/>
    <w:rsid w:val="00044AA0"/>
    <w:rsid w:val="00055067"/>
    <w:rsid w:val="000814BE"/>
    <w:rsid w:val="00081F9C"/>
    <w:rsid w:val="000840A6"/>
    <w:rsid w:val="00084B13"/>
    <w:rsid w:val="00084E24"/>
    <w:rsid w:val="00093960"/>
    <w:rsid w:val="00094605"/>
    <w:rsid w:val="00096F69"/>
    <w:rsid w:val="000A56FF"/>
    <w:rsid w:val="000A7151"/>
    <w:rsid w:val="000B0140"/>
    <w:rsid w:val="000B2670"/>
    <w:rsid w:val="000C0E5B"/>
    <w:rsid w:val="000C2BED"/>
    <w:rsid w:val="000C4875"/>
    <w:rsid w:val="000D400D"/>
    <w:rsid w:val="000E15D5"/>
    <w:rsid w:val="000E2A91"/>
    <w:rsid w:val="001010F6"/>
    <w:rsid w:val="00113ECA"/>
    <w:rsid w:val="001251D7"/>
    <w:rsid w:val="001364F4"/>
    <w:rsid w:val="00140630"/>
    <w:rsid w:val="001428B1"/>
    <w:rsid w:val="00144239"/>
    <w:rsid w:val="00153641"/>
    <w:rsid w:val="00163C37"/>
    <w:rsid w:val="00164617"/>
    <w:rsid w:val="0016684C"/>
    <w:rsid w:val="00180A5B"/>
    <w:rsid w:val="00180BA1"/>
    <w:rsid w:val="00183FB7"/>
    <w:rsid w:val="00186DA5"/>
    <w:rsid w:val="001917CF"/>
    <w:rsid w:val="001943E5"/>
    <w:rsid w:val="001A16FA"/>
    <w:rsid w:val="001A44C0"/>
    <w:rsid w:val="001A4631"/>
    <w:rsid w:val="001A4D7D"/>
    <w:rsid w:val="001A528A"/>
    <w:rsid w:val="001A6E65"/>
    <w:rsid w:val="001A73F7"/>
    <w:rsid w:val="001B15B1"/>
    <w:rsid w:val="001B476D"/>
    <w:rsid w:val="001B5A90"/>
    <w:rsid w:val="001C0BCF"/>
    <w:rsid w:val="001D5CB5"/>
    <w:rsid w:val="001E3851"/>
    <w:rsid w:val="001F08E6"/>
    <w:rsid w:val="001F30D1"/>
    <w:rsid w:val="0020641F"/>
    <w:rsid w:val="00213720"/>
    <w:rsid w:val="0021582A"/>
    <w:rsid w:val="00221CC9"/>
    <w:rsid w:val="002240EA"/>
    <w:rsid w:val="002253B5"/>
    <w:rsid w:val="0022574E"/>
    <w:rsid w:val="00225E4E"/>
    <w:rsid w:val="002260D5"/>
    <w:rsid w:val="002276C0"/>
    <w:rsid w:val="00234A47"/>
    <w:rsid w:val="00245984"/>
    <w:rsid w:val="00261962"/>
    <w:rsid w:val="002735B4"/>
    <w:rsid w:val="00274B71"/>
    <w:rsid w:val="0028163D"/>
    <w:rsid w:val="0028496F"/>
    <w:rsid w:val="00284FC9"/>
    <w:rsid w:val="00292536"/>
    <w:rsid w:val="00296A89"/>
    <w:rsid w:val="002A65AD"/>
    <w:rsid w:val="002D3285"/>
    <w:rsid w:val="002E6EDD"/>
    <w:rsid w:val="002E7A4D"/>
    <w:rsid w:val="002F1998"/>
    <w:rsid w:val="002F62C4"/>
    <w:rsid w:val="002F7A19"/>
    <w:rsid w:val="003046E3"/>
    <w:rsid w:val="003201B1"/>
    <w:rsid w:val="00331226"/>
    <w:rsid w:val="00336C0B"/>
    <w:rsid w:val="00340D1C"/>
    <w:rsid w:val="003414DF"/>
    <w:rsid w:val="00351415"/>
    <w:rsid w:val="0036129B"/>
    <w:rsid w:val="00364197"/>
    <w:rsid w:val="0038765A"/>
    <w:rsid w:val="00390412"/>
    <w:rsid w:val="003A338E"/>
    <w:rsid w:val="003A6010"/>
    <w:rsid w:val="003B3981"/>
    <w:rsid w:val="003C3260"/>
    <w:rsid w:val="003C478A"/>
    <w:rsid w:val="003D4381"/>
    <w:rsid w:val="003F10C1"/>
    <w:rsid w:val="003F1D25"/>
    <w:rsid w:val="003F217C"/>
    <w:rsid w:val="003F7314"/>
    <w:rsid w:val="00402873"/>
    <w:rsid w:val="004047C2"/>
    <w:rsid w:val="00405D70"/>
    <w:rsid w:val="00407CB3"/>
    <w:rsid w:val="00417352"/>
    <w:rsid w:val="00422634"/>
    <w:rsid w:val="0043498F"/>
    <w:rsid w:val="00446CF9"/>
    <w:rsid w:val="00450964"/>
    <w:rsid w:val="004513B2"/>
    <w:rsid w:val="004560CE"/>
    <w:rsid w:val="00456D6E"/>
    <w:rsid w:val="00462F27"/>
    <w:rsid w:val="00475C1A"/>
    <w:rsid w:val="0048465D"/>
    <w:rsid w:val="00486FED"/>
    <w:rsid w:val="00487427"/>
    <w:rsid w:val="0049492F"/>
    <w:rsid w:val="004A12CF"/>
    <w:rsid w:val="004A13CC"/>
    <w:rsid w:val="004A18EF"/>
    <w:rsid w:val="004A5ABC"/>
    <w:rsid w:val="004A772A"/>
    <w:rsid w:val="004A7FE2"/>
    <w:rsid w:val="004B0A78"/>
    <w:rsid w:val="004C73FD"/>
    <w:rsid w:val="004C7DA5"/>
    <w:rsid w:val="004D1129"/>
    <w:rsid w:val="004D38F5"/>
    <w:rsid w:val="004E2202"/>
    <w:rsid w:val="004E27D0"/>
    <w:rsid w:val="004E387A"/>
    <w:rsid w:val="0050356C"/>
    <w:rsid w:val="00506304"/>
    <w:rsid w:val="005177B3"/>
    <w:rsid w:val="00520086"/>
    <w:rsid w:val="00523317"/>
    <w:rsid w:val="00533AD4"/>
    <w:rsid w:val="005361B1"/>
    <w:rsid w:val="00540E4A"/>
    <w:rsid w:val="005413CE"/>
    <w:rsid w:val="00557FD7"/>
    <w:rsid w:val="00560664"/>
    <w:rsid w:val="00571782"/>
    <w:rsid w:val="005808E2"/>
    <w:rsid w:val="00591F77"/>
    <w:rsid w:val="005969E3"/>
    <w:rsid w:val="005A04AA"/>
    <w:rsid w:val="005A5126"/>
    <w:rsid w:val="005A672D"/>
    <w:rsid w:val="005B64B7"/>
    <w:rsid w:val="005C03BE"/>
    <w:rsid w:val="005C274D"/>
    <w:rsid w:val="005C28D2"/>
    <w:rsid w:val="005C2CC1"/>
    <w:rsid w:val="005C4559"/>
    <w:rsid w:val="005C7FDE"/>
    <w:rsid w:val="005D6982"/>
    <w:rsid w:val="005E14D7"/>
    <w:rsid w:val="005E5AAB"/>
    <w:rsid w:val="005F38B7"/>
    <w:rsid w:val="005F725E"/>
    <w:rsid w:val="00610009"/>
    <w:rsid w:val="006209CF"/>
    <w:rsid w:val="00635878"/>
    <w:rsid w:val="0064118D"/>
    <w:rsid w:val="0064132A"/>
    <w:rsid w:val="006574B1"/>
    <w:rsid w:val="006613E0"/>
    <w:rsid w:val="00674196"/>
    <w:rsid w:val="006770ED"/>
    <w:rsid w:val="00684D1F"/>
    <w:rsid w:val="00686AF6"/>
    <w:rsid w:val="006900B1"/>
    <w:rsid w:val="00694F07"/>
    <w:rsid w:val="00695E39"/>
    <w:rsid w:val="00697A10"/>
    <w:rsid w:val="006A4765"/>
    <w:rsid w:val="006A4FF3"/>
    <w:rsid w:val="006C355A"/>
    <w:rsid w:val="006C4BFE"/>
    <w:rsid w:val="006D0375"/>
    <w:rsid w:val="006D1CD4"/>
    <w:rsid w:val="006E1792"/>
    <w:rsid w:val="006E2010"/>
    <w:rsid w:val="006E3A35"/>
    <w:rsid w:val="006F7476"/>
    <w:rsid w:val="00703EEA"/>
    <w:rsid w:val="00704813"/>
    <w:rsid w:val="00720C21"/>
    <w:rsid w:val="00727F43"/>
    <w:rsid w:val="00730798"/>
    <w:rsid w:val="0074017B"/>
    <w:rsid w:val="00741188"/>
    <w:rsid w:val="00753AB6"/>
    <w:rsid w:val="007558A5"/>
    <w:rsid w:val="007573A6"/>
    <w:rsid w:val="00762CC4"/>
    <w:rsid w:val="007708C9"/>
    <w:rsid w:val="00772E87"/>
    <w:rsid w:val="00774676"/>
    <w:rsid w:val="00783D57"/>
    <w:rsid w:val="007965C5"/>
    <w:rsid w:val="0079694E"/>
    <w:rsid w:val="007A0710"/>
    <w:rsid w:val="007B1761"/>
    <w:rsid w:val="007B58A9"/>
    <w:rsid w:val="007B6965"/>
    <w:rsid w:val="007C0157"/>
    <w:rsid w:val="007C0595"/>
    <w:rsid w:val="007D110F"/>
    <w:rsid w:val="007E503D"/>
    <w:rsid w:val="007E644F"/>
    <w:rsid w:val="0080214E"/>
    <w:rsid w:val="008022A6"/>
    <w:rsid w:val="008104F8"/>
    <w:rsid w:val="00811316"/>
    <w:rsid w:val="0081254C"/>
    <w:rsid w:val="00815D28"/>
    <w:rsid w:val="00823505"/>
    <w:rsid w:val="008275D2"/>
    <w:rsid w:val="008426E2"/>
    <w:rsid w:val="0085449E"/>
    <w:rsid w:val="00854B8A"/>
    <w:rsid w:val="008577C7"/>
    <w:rsid w:val="0086611B"/>
    <w:rsid w:val="00873503"/>
    <w:rsid w:val="00874E8D"/>
    <w:rsid w:val="00880161"/>
    <w:rsid w:val="00880A95"/>
    <w:rsid w:val="00880E01"/>
    <w:rsid w:val="008855B0"/>
    <w:rsid w:val="008919B8"/>
    <w:rsid w:val="008927ED"/>
    <w:rsid w:val="008A2A90"/>
    <w:rsid w:val="008A37E0"/>
    <w:rsid w:val="008B0095"/>
    <w:rsid w:val="008B29D4"/>
    <w:rsid w:val="008B6768"/>
    <w:rsid w:val="008D3001"/>
    <w:rsid w:val="008D3522"/>
    <w:rsid w:val="008D78F5"/>
    <w:rsid w:val="008E42A7"/>
    <w:rsid w:val="008E53D8"/>
    <w:rsid w:val="008F0D75"/>
    <w:rsid w:val="008F19C9"/>
    <w:rsid w:val="008F2740"/>
    <w:rsid w:val="00901663"/>
    <w:rsid w:val="009070A7"/>
    <w:rsid w:val="00911BF2"/>
    <w:rsid w:val="00912CB1"/>
    <w:rsid w:val="00912F31"/>
    <w:rsid w:val="00937A5D"/>
    <w:rsid w:val="0094006E"/>
    <w:rsid w:val="009419AC"/>
    <w:rsid w:val="00944587"/>
    <w:rsid w:val="009620A2"/>
    <w:rsid w:val="00970B13"/>
    <w:rsid w:val="009822B2"/>
    <w:rsid w:val="009835B9"/>
    <w:rsid w:val="00995B9E"/>
    <w:rsid w:val="00996D52"/>
    <w:rsid w:val="009D38EF"/>
    <w:rsid w:val="009D5C1C"/>
    <w:rsid w:val="009E1747"/>
    <w:rsid w:val="009E24B5"/>
    <w:rsid w:val="009E59CB"/>
    <w:rsid w:val="009E60A2"/>
    <w:rsid w:val="00A022F5"/>
    <w:rsid w:val="00A1526E"/>
    <w:rsid w:val="00A27367"/>
    <w:rsid w:val="00A318F7"/>
    <w:rsid w:val="00A3329F"/>
    <w:rsid w:val="00A33994"/>
    <w:rsid w:val="00A504D2"/>
    <w:rsid w:val="00A51425"/>
    <w:rsid w:val="00A51A01"/>
    <w:rsid w:val="00A53DAD"/>
    <w:rsid w:val="00A63560"/>
    <w:rsid w:val="00A6445A"/>
    <w:rsid w:val="00A6456A"/>
    <w:rsid w:val="00A743B3"/>
    <w:rsid w:val="00A779B0"/>
    <w:rsid w:val="00A811BB"/>
    <w:rsid w:val="00A82FB4"/>
    <w:rsid w:val="00A854F1"/>
    <w:rsid w:val="00A9068F"/>
    <w:rsid w:val="00A90C6A"/>
    <w:rsid w:val="00A9111C"/>
    <w:rsid w:val="00A9152C"/>
    <w:rsid w:val="00A92F80"/>
    <w:rsid w:val="00A961C9"/>
    <w:rsid w:val="00AA28D4"/>
    <w:rsid w:val="00AB328B"/>
    <w:rsid w:val="00AC0F8D"/>
    <w:rsid w:val="00AC5A0F"/>
    <w:rsid w:val="00AD0690"/>
    <w:rsid w:val="00AD44C8"/>
    <w:rsid w:val="00AD66DD"/>
    <w:rsid w:val="00AE01F8"/>
    <w:rsid w:val="00AE31E3"/>
    <w:rsid w:val="00AE49CE"/>
    <w:rsid w:val="00AF6BDD"/>
    <w:rsid w:val="00B02AFF"/>
    <w:rsid w:val="00B04130"/>
    <w:rsid w:val="00B0769B"/>
    <w:rsid w:val="00B14B48"/>
    <w:rsid w:val="00B150D1"/>
    <w:rsid w:val="00B15E27"/>
    <w:rsid w:val="00B20E1C"/>
    <w:rsid w:val="00B41D43"/>
    <w:rsid w:val="00B44952"/>
    <w:rsid w:val="00B4582D"/>
    <w:rsid w:val="00B5454A"/>
    <w:rsid w:val="00B55796"/>
    <w:rsid w:val="00B5731C"/>
    <w:rsid w:val="00B65C55"/>
    <w:rsid w:val="00B672A6"/>
    <w:rsid w:val="00B72CF1"/>
    <w:rsid w:val="00B7437E"/>
    <w:rsid w:val="00B9016B"/>
    <w:rsid w:val="00B94334"/>
    <w:rsid w:val="00BD050D"/>
    <w:rsid w:val="00BD1256"/>
    <w:rsid w:val="00BD1CBD"/>
    <w:rsid w:val="00BE4317"/>
    <w:rsid w:val="00BE48AE"/>
    <w:rsid w:val="00BF48F6"/>
    <w:rsid w:val="00BF616B"/>
    <w:rsid w:val="00C04922"/>
    <w:rsid w:val="00C0501E"/>
    <w:rsid w:val="00C06A9B"/>
    <w:rsid w:val="00C0777A"/>
    <w:rsid w:val="00C1365D"/>
    <w:rsid w:val="00C26035"/>
    <w:rsid w:val="00C274CE"/>
    <w:rsid w:val="00C40BD9"/>
    <w:rsid w:val="00C41D71"/>
    <w:rsid w:val="00C44982"/>
    <w:rsid w:val="00C47F5C"/>
    <w:rsid w:val="00C5232F"/>
    <w:rsid w:val="00C6047D"/>
    <w:rsid w:val="00C633C6"/>
    <w:rsid w:val="00C70AA2"/>
    <w:rsid w:val="00C77C19"/>
    <w:rsid w:val="00C80F4D"/>
    <w:rsid w:val="00C81D57"/>
    <w:rsid w:val="00C847A0"/>
    <w:rsid w:val="00C87E1A"/>
    <w:rsid w:val="00C94D4C"/>
    <w:rsid w:val="00CA07DC"/>
    <w:rsid w:val="00CA0916"/>
    <w:rsid w:val="00CB38FA"/>
    <w:rsid w:val="00CB49DA"/>
    <w:rsid w:val="00CC19D5"/>
    <w:rsid w:val="00CC32D3"/>
    <w:rsid w:val="00CC395C"/>
    <w:rsid w:val="00CC70AA"/>
    <w:rsid w:val="00CC7300"/>
    <w:rsid w:val="00CD5AE2"/>
    <w:rsid w:val="00CD6AAF"/>
    <w:rsid w:val="00CE2142"/>
    <w:rsid w:val="00CE295D"/>
    <w:rsid w:val="00CE2C0E"/>
    <w:rsid w:val="00CF03AF"/>
    <w:rsid w:val="00CF363F"/>
    <w:rsid w:val="00D121D6"/>
    <w:rsid w:val="00D12C4F"/>
    <w:rsid w:val="00D13234"/>
    <w:rsid w:val="00D1369A"/>
    <w:rsid w:val="00D13C7A"/>
    <w:rsid w:val="00D159DD"/>
    <w:rsid w:val="00D32CA8"/>
    <w:rsid w:val="00D443ED"/>
    <w:rsid w:val="00D5218C"/>
    <w:rsid w:val="00D65848"/>
    <w:rsid w:val="00D660E7"/>
    <w:rsid w:val="00D70516"/>
    <w:rsid w:val="00D715B0"/>
    <w:rsid w:val="00D77498"/>
    <w:rsid w:val="00D8012C"/>
    <w:rsid w:val="00D82140"/>
    <w:rsid w:val="00D83D7C"/>
    <w:rsid w:val="00D90043"/>
    <w:rsid w:val="00D90616"/>
    <w:rsid w:val="00DA3530"/>
    <w:rsid w:val="00DB4E96"/>
    <w:rsid w:val="00DC5BE7"/>
    <w:rsid w:val="00DC7584"/>
    <w:rsid w:val="00DD19A2"/>
    <w:rsid w:val="00DD758D"/>
    <w:rsid w:val="00DE316A"/>
    <w:rsid w:val="00DE3814"/>
    <w:rsid w:val="00DE4D3F"/>
    <w:rsid w:val="00DE5AF7"/>
    <w:rsid w:val="00E048DB"/>
    <w:rsid w:val="00E06E90"/>
    <w:rsid w:val="00E10134"/>
    <w:rsid w:val="00E1024F"/>
    <w:rsid w:val="00E10F1D"/>
    <w:rsid w:val="00E1366A"/>
    <w:rsid w:val="00E22A2D"/>
    <w:rsid w:val="00E27E75"/>
    <w:rsid w:val="00E40783"/>
    <w:rsid w:val="00E4230E"/>
    <w:rsid w:val="00E465AF"/>
    <w:rsid w:val="00E50131"/>
    <w:rsid w:val="00E563B1"/>
    <w:rsid w:val="00E66658"/>
    <w:rsid w:val="00E6766B"/>
    <w:rsid w:val="00E76384"/>
    <w:rsid w:val="00E7672A"/>
    <w:rsid w:val="00E8168B"/>
    <w:rsid w:val="00E81DC6"/>
    <w:rsid w:val="00E841FD"/>
    <w:rsid w:val="00E91099"/>
    <w:rsid w:val="00EA3E49"/>
    <w:rsid w:val="00EB2F3B"/>
    <w:rsid w:val="00EB591C"/>
    <w:rsid w:val="00EB6DD1"/>
    <w:rsid w:val="00EC2AB0"/>
    <w:rsid w:val="00ED1170"/>
    <w:rsid w:val="00ED7628"/>
    <w:rsid w:val="00EE6A06"/>
    <w:rsid w:val="00EE7D27"/>
    <w:rsid w:val="00EF3A30"/>
    <w:rsid w:val="00F00FA5"/>
    <w:rsid w:val="00F11AB0"/>
    <w:rsid w:val="00F138F2"/>
    <w:rsid w:val="00F16805"/>
    <w:rsid w:val="00F24042"/>
    <w:rsid w:val="00F34680"/>
    <w:rsid w:val="00F4077C"/>
    <w:rsid w:val="00F40859"/>
    <w:rsid w:val="00F53503"/>
    <w:rsid w:val="00F630D9"/>
    <w:rsid w:val="00F633DD"/>
    <w:rsid w:val="00F6454B"/>
    <w:rsid w:val="00F64C88"/>
    <w:rsid w:val="00F807E2"/>
    <w:rsid w:val="00F80CA4"/>
    <w:rsid w:val="00F8660B"/>
    <w:rsid w:val="00F86BC7"/>
    <w:rsid w:val="00F87049"/>
    <w:rsid w:val="00F911DB"/>
    <w:rsid w:val="00FA3B08"/>
    <w:rsid w:val="00FC2D19"/>
    <w:rsid w:val="00FC4115"/>
    <w:rsid w:val="00FC43EB"/>
    <w:rsid w:val="00FC5914"/>
    <w:rsid w:val="00FD0992"/>
    <w:rsid w:val="00FE04E9"/>
    <w:rsid w:val="00FE2C8B"/>
    <w:rsid w:val="00FE4FDA"/>
    <w:rsid w:val="00FE75D7"/>
  </w:rsids>
  <m:mathPr>
    <m:mathFont m:val="Cambria Math"/>
    <m:brkBin m:val="before"/>
    <m:brkBinSub m:val="--"/>
    <m:smallFrac m:val="0"/>
    <m:dispDef/>
    <m:lMargin m:val="0"/>
    <m:rMargin m:val="0"/>
    <m:defJc m:val="centerGroup"/>
    <m:wrapIndent m:val="1440"/>
    <m:intLim m:val="subSup"/>
    <m:naryLim m:val="undOvr"/>
  </m:mathPr>
  <w:themeFontLang w:val="es-C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17B"/>
    <w:rPr>
      <w:rFonts w:ascii="Calibri" w:eastAsia="Calibri" w:hAnsi="Calibri" w:cs="Times New Roman"/>
      <w:lang w:val="es-ES"/>
    </w:rPr>
  </w:style>
  <w:style w:type="paragraph" w:styleId="Heading1">
    <w:name w:val="heading 1"/>
    <w:basedOn w:val="Normal"/>
    <w:next w:val="Normal"/>
    <w:link w:val="Heading1Char"/>
    <w:uiPriority w:val="9"/>
    <w:qFormat/>
    <w:rsid w:val="0074017B"/>
    <w:pPr>
      <w:keepNext/>
      <w:tabs>
        <w:tab w:val="left" w:pos="567"/>
      </w:tabs>
      <w:autoSpaceDE w:val="0"/>
      <w:autoSpaceDN w:val="0"/>
      <w:adjustRightInd w:val="0"/>
      <w:spacing w:after="0" w:line="240" w:lineRule="auto"/>
      <w:jc w:val="center"/>
      <w:outlineLvl w:val="0"/>
    </w:pPr>
    <w:rPr>
      <w:rFonts w:ascii="Verdana" w:eastAsia="Times New Roman" w:hAnsi="Verdana" w:cs="Verdana"/>
      <w:b/>
      <w:bCs/>
      <w:iCs/>
      <w:caps/>
      <w:snapToGrid w:val="0"/>
      <w:sz w:val="20"/>
      <w:szCs w:val="20"/>
      <w:lang w:val="pt-BR" w:eastAsia="es-ES"/>
    </w:rPr>
  </w:style>
  <w:style w:type="paragraph" w:styleId="Heading2">
    <w:name w:val="heading 2"/>
    <w:basedOn w:val="Normal"/>
    <w:next w:val="Normal"/>
    <w:link w:val="Heading2Char"/>
    <w:uiPriority w:val="9"/>
    <w:unhideWhenUsed/>
    <w:qFormat/>
    <w:rsid w:val="0074017B"/>
    <w:pPr>
      <w:keepNext/>
      <w:spacing w:after="0" w:line="240" w:lineRule="auto"/>
      <w:jc w:val="both"/>
      <w:outlineLvl w:val="1"/>
    </w:pPr>
    <w:rPr>
      <w:rFonts w:ascii="Verdana" w:hAnsi="Verdana"/>
      <w:b/>
      <w:i/>
      <w:sz w:val="20"/>
      <w:szCs w:val="20"/>
      <w:lang w:val="pt-BR"/>
    </w:rPr>
  </w:style>
  <w:style w:type="paragraph" w:styleId="Heading3">
    <w:name w:val="heading 3"/>
    <w:basedOn w:val="Normal"/>
    <w:next w:val="Normal"/>
    <w:link w:val="Heading3Char"/>
    <w:uiPriority w:val="9"/>
    <w:unhideWhenUsed/>
    <w:qFormat/>
    <w:rsid w:val="0074017B"/>
    <w:pPr>
      <w:keepNext/>
      <w:spacing w:after="0" w:line="240" w:lineRule="auto"/>
      <w:jc w:val="both"/>
      <w:outlineLvl w:val="2"/>
    </w:pPr>
    <w:rPr>
      <w:rFonts w:ascii="Verdana" w:hAnsi="Verdana"/>
      <w:b/>
      <w:sz w:val="20"/>
      <w:szCs w:val="20"/>
      <w:lang w:val="pt-BR"/>
    </w:rPr>
  </w:style>
  <w:style w:type="paragraph" w:styleId="Heading4">
    <w:name w:val="heading 4"/>
    <w:basedOn w:val="Normal"/>
    <w:next w:val="Normal"/>
    <w:link w:val="Heading4Char"/>
    <w:uiPriority w:val="9"/>
    <w:unhideWhenUsed/>
    <w:qFormat/>
    <w:rsid w:val="00C80F4D"/>
    <w:pPr>
      <w:keepNext/>
      <w:tabs>
        <w:tab w:val="num" w:pos="0"/>
      </w:tabs>
      <w:autoSpaceDE w:val="0"/>
      <w:autoSpaceDN w:val="0"/>
      <w:adjustRightInd w:val="0"/>
      <w:spacing w:after="0" w:line="240" w:lineRule="auto"/>
      <w:jc w:val="both"/>
      <w:outlineLvl w:val="3"/>
    </w:pPr>
    <w:rPr>
      <w:rFonts w:ascii="Verdana" w:hAnsi="Verdana" w:cs="Verdana"/>
      <w:i/>
      <w:sz w:val="20"/>
      <w:szCs w:val="20"/>
      <w:lang w:val="es-PA"/>
    </w:rPr>
  </w:style>
  <w:style w:type="paragraph" w:styleId="Heading5">
    <w:name w:val="heading 5"/>
    <w:basedOn w:val="Normal"/>
    <w:next w:val="Normal"/>
    <w:link w:val="Heading5Char"/>
    <w:uiPriority w:val="9"/>
    <w:unhideWhenUsed/>
    <w:qFormat/>
    <w:rsid w:val="001A6E65"/>
    <w:pPr>
      <w:keepNext/>
      <w:widowControl w:val="0"/>
      <w:numPr>
        <w:numId w:val="3"/>
      </w:numPr>
      <w:spacing w:after="0" w:line="240" w:lineRule="auto"/>
      <w:jc w:val="both"/>
      <w:outlineLvl w:val="4"/>
    </w:pPr>
    <w:rPr>
      <w:rFonts w:ascii="Verdana" w:hAnsi="Verdana"/>
      <w:i/>
      <w:sz w:val="20"/>
      <w:szCs w:val="20"/>
      <w:lang w:val="es-P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17B"/>
    <w:rPr>
      <w:rFonts w:ascii="Verdana" w:eastAsia="Times New Roman" w:hAnsi="Verdana" w:cs="Verdana"/>
      <w:b/>
      <w:bCs/>
      <w:iCs/>
      <w:caps/>
      <w:snapToGrid w:val="0"/>
      <w:sz w:val="20"/>
      <w:szCs w:val="20"/>
      <w:lang w:val="pt-BR" w:eastAsia="es-ES"/>
    </w:rPr>
  </w:style>
  <w:style w:type="character" w:customStyle="1" w:styleId="Heading2Char">
    <w:name w:val="Heading 2 Char"/>
    <w:basedOn w:val="DefaultParagraphFont"/>
    <w:link w:val="Heading2"/>
    <w:uiPriority w:val="9"/>
    <w:rsid w:val="0074017B"/>
    <w:rPr>
      <w:rFonts w:ascii="Verdana" w:eastAsia="Calibri" w:hAnsi="Verdana" w:cs="Times New Roman"/>
      <w:b/>
      <w:i/>
      <w:sz w:val="20"/>
      <w:szCs w:val="20"/>
      <w:lang w:val="pt-BR"/>
    </w:rPr>
  </w:style>
  <w:style w:type="character" w:customStyle="1" w:styleId="Heading3Char">
    <w:name w:val="Heading 3 Char"/>
    <w:basedOn w:val="DefaultParagraphFont"/>
    <w:link w:val="Heading3"/>
    <w:uiPriority w:val="9"/>
    <w:rsid w:val="0074017B"/>
    <w:rPr>
      <w:rFonts w:ascii="Verdana" w:eastAsia="Calibri" w:hAnsi="Verdana" w:cs="Times New Roman"/>
      <w:b/>
      <w:sz w:val="20"/>
      <w:szCs w:val="20"/>
      <w:lang w:val="pt-BR"/>
    </w:rPr>
  </w:style>
  <w:style w:type="paragraph" w:styleId="FootnoteText">
    <w:name w:val="footnote text"/>
    <w:aliases w:val="2. Footnote Text,Footnote Tesina,Footnote Text Char Char Char Char Char,Footnote Text Char Char Char Char,Footnote reference,FA Fu,Footnote Text Char Char Char,Footnote Text Cha,FA Fußnotentext,FA Fuﬂnotentext,Ca,C"/>
    <w:basedOn w:val="Normal"/>
    <w:link w:val="FootnoteTextChar"/>
    <w:unhideWhenUsed/>
    <w:qFormat/>
    <w:rsid w:val="0074017B"/>
    <w:pPr>
      <w:spacing w:after="0" w:line="240" w:lineRule="auto"/>
      <w:jc w:val="both"/>
    </w:pPr>
    <w:rPr>
      <w:rFonts w:ascii="Verdana" w:hAnsi="Verdana"/>
      <w:sz w:val="16"/>
      <w:szCs w:val="20"/>
    </w:rPr>
  </w:style>
  <w:style w:type="character" w:customStyle="1" w:styleId="FootnoteTextChar">
    <w:name w:val="Footnote Text Char"/>
    <w:aliases w:val="2. Footnote Text Char,Footnote Tesina Char,Footnote Text Char Char Char Char Char Char,Footnote Text Char Char Char Char Char1,Footnote reference Char,FA Fu Char,Footnote Text Char Char Char Char1,Footnote Text Cha Char,Ca Char,C Char"/>
    <w:basedOn w:val="DefaultParagraphFont"/>
    <w:link w:val="FootnoteText"/>
    <w:rsid w:val="0074017B"/>
    <w:rPr>
      <w:rFonts w:ascii="Verdana" w:eastAsia="Calibri" w:hAnsi="Verdana" w:cs="Times New Roman"/>
      <w:sz w:val="16"/>
      <w:szCs w:val="20"/>
      <w:lang w:val="es-E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
    <w:basedOn w:val="DefaultParagraphFont"/>
    <w:link w:val="4GChar"/>
    <w:uiPriority w:val="99"/>
    <w:unhideWhenUsed/>
    <w:qFormat/>
    <w:rsid w:val="0074017B"/>
    <w:rPr>
      <w:rFonts w:ascii="Verdana" w:hAnsi="Verdana"/>
      <w:sz w:val="16"/>
      <w:vertAlign w:val="superscript"/>
    </w:rPr>
  </w:style>
  <w:style w:type="paragraph" w:styleId="ListParagraph">
    <w:name w:val="List Paragraph"/>
    <w:basedOn w:val="Normal"/>
    <w:uiPriority w:val="34"/>
    <w:qFormat/>
    <w:rsid w:val="0074017B"/>
    <w:pPr>
      <w:ind w:left="720"/>
      <w:contextualSpacing/>
    </w:pPr>
  </w:style>
  <w:style w:type="character" w:styleId="CommentReference">
    <w:name w:val="annotation reference"/>
    <w:basedOn w:val="DefaultParagraphFont"/>
    <w:uiPriority w:val="99"/>
    <w:semiHidden/>
    <w:unhideWhenUsed/>
    <w:rsid w:val="0074017B"/>
    <w:rPr>
      <w:sz w:val="16"/>
      <w:szCs w:val="16"/>
    </w:rPr>
  </w:style>
  <w:style w:type="paragraph" w:styleId="CommentText">
    <w:name w:val="annotation text"/>
    <w:basedOn w:val="Normal"/>
    <w:link w:val="CommentTextChar"/>
    <w:uiPriority w:val="99"/>
    <w:unhideWhenUsed/>
    <w:rsid w:val="0074017B"/>
    <w:pPr>
      <w:spacing w:line="240" w:lineRule="auto"/>
    </w:pPr>
    <w:rPr>
      <w:sz w:val="20"/>
      <w:szCs w:val="20"/>
    </w:rPr>
  </w:style>
  <w:style w:type="character" w:customStyle="1" w:styleId="CommentTextChar">
    <w:name w:val="Comment Text Char"/>
    <w:basedOn w:val="DefaultParagraphFont"/>
    <w:link w:val="CommentText"/>
    <w:uiPriority w:val="99"/>
    <w:rsid w:val="0074017B"/>
    <w:rPr>
      <w:rFonts w:ascii="Calibri" w:eastAsia="Calibri" w:hAnsi="Calibri"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74017B"/>
    <w:rPr>
      <w:b/>
      <w:bCs/>
    </w:rPr>
  </w:style>
  <w:style w:type="character" w:customStyle="1" w:styleId="CommentSubjectChar">
    <w:name w:val="Comment Subject Char"/>
    <w:basedOn w:val="CommentTextChar"/>
    <w:link w:val="CommentSubject"/>
    <w:uiPriority w:val="99"/>
    <w:semiHidden/>
    <w:rsid w:val="0074017B"/>
    <w:rPr>
      <w:rFonts w:ascii="Calibri" w:eastAsia="Calibri" w:hAnsi="Calibri" w:cs="Times New Roman"/>
      <w:b/>
      <w:bCs/>
      <w:sz w:val="20"/>
      <w:szCs w:val="20"/>
      <w:lang w:val="es-ES"/>
    </w:rPr>
  </w:style>
  <w:style w:type="paragraph" w:styleId="BalloonText">
    <w:name w:val="Balloon Text"/>
    <w:basedOn w:val="Normal"/>
    <w:link w:val="BalloonTextChar"/>
    <w:uiPriority w:val="99"/>
    <w:semiHidden/>
    <w:unhideWhenUsed/>
    <w:rsid w:val="00740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17B"/>
    <w:rPr>
      <w:rFonts w:ascii="Tahoma" w:eastAsia="Calibri" w:hAnsi="Tahoma" w:cs="Tahoma"/>
      <w:sz w:val="16"/>
      <w:szCs w:val="16"/>
      <w:lang w:val="es-ES"/>
    </w:rPr>
  </w:style>
  <w:style w:type="paragraph" w:styleId="Header">
    <w:name w:val="header"/>
    <w:basedOn w:val="Normal"/>
    <w:link w:val="HeaderChar"/>
    <w:uiPriority w:val="99"/>
    <w:unhideWhenUsed/>
    <w:rsid w:val="00740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17B"/>
    <w:rPr>
      <w:rFonts w:ascii="Calibri" w:eastAsia="Calibri" w:hAnsi="Calibri" w:cs="Times New Roman"/>
      <w:lang w:val="es-ES"/>
    </w:rPr>
  </w:style>
  <w:style w:type="paragraph" w:styleId="Footer">
    <w:name w:val="footer"/>
    <w:basedOn w:val="Normal"/>
    <w:link w:val="FooterChar"/>
    <w:uiPriority w:val="99"/>
    <w:unhideWhenUsed/>
    <w:rsid w:val="00740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17B"/>
    <w:rPr>
      <w:rFonts w:ascii="Calibri" w:eastAsia="Calibri" w:hAnsi="Calibri" w:cs="Times New Roman"/>
      <w:lang w:val="es-ES"/>
    </w:rPr>
  </w:style>
  <w:style w:type="paragraph" w:styleId="BlockText">
    <w:name w:val="Block Text"/>
    <w:basedOn w:val="Normal"/>
    <w:uiPriority w:val="99"/>
    <w:unhideWhenUsed/>
    <w:rsid w:val="0074017B"/>
    <w:pPr>
      <w:autoSpaceDE w:val="0"/>
      <w:autoSpaceDN w:val="0"/>
      <w:adjustRightInd w:val="0"/>
      <w:spacing w:after="0" w:line="240" w:lineRule="auto"/>
      <w:ind w:left="720" w:right="576"/>
      <w:jc w:val="both"/>
    </w:pPr>
    <w:rPr>
      <w:rFonts w:ascii="Verdana" w:hAnsi="Verdana" w:cs="Verdana"/>
      <w:sz w:val="18"/>
      <w:szCs w:val="18"/>
      <w:lang w:val="pt-BR"/>
    </w:rPr>
  </w:style>
  <w:style w:type="paragraph" w:customStyle="1" w:styleId="Default">
    <w:name w:val="Default"/>
    <w:rsid w:val="0074017B"/>
    <w:pPr>
      <w:autoSpaceDE w:val="0"/>
      <w:autoSpaceDN w:val="0"/>
      <w:adjustRightInd w:val="0"/>
      <w:spacing w:after="0" w:line="240" w:lineRule="auto"/>
    </w:pPr>
    <w:rPr>
      <w:rFonts w:ascii="Verdana" w:hAnsi="Verdana" w:cs="Verdana"/>
      <w:color w:val="000000"/>
      <w:sz w:val="24"/>
      <w:szCs w:val="24"/>
      <w:lang w:val="pt-BR"/>
    </w:rPr>
  </w:style>
  <w:style w:type="paragraph" w:styleId="Revision">
    <w:name w:val="Revision"/>
    <w:hidden/>
    <w:uiPriority w:val="99"/>
    <w:semiHidden/>
    <w:rsid w:val="0074017B"/>
    <w:pPr>
      <w:spacing w:after="0" w:line="240" w:lineRule="auto"/>
    </w:pPr>
    <w:rPr>
      <w:rFonts w:ascii="Calibri" w:eastAsia="Calibri" w:hAnsi="Calibri" w:cs="Times New Roman"/>
      <w:lang w:val="es-ES"/>
    </w:rPr>
  </w:style>
  <w:style w:type="character" w:styleId="Strong">
    <w:name w:val="Strong"/>
    <w:basedOn w:val="DefaultParagraphFont"/>
    <w:uiPriority w:val="22"/>
    <w:qFormat/>
    <w:rsid w:val="003201B1"/>
    <w:rPr>
      <w:b/>
      <w:bCs/>
    </w:rPr>
  </w:style>
  <w:style w:type="character" w:customStyle="1" w:styleId="Heading4Char">
    <w:name w:val="Heading 4 Char"/>
    <w:basedOn w:val="DefaultParagraphFont"/>
    <w:link w:val="Heading4"/>
    <w:uiPriority w:val="9"/>
    <w:rsid w:val="00C80F4D"/>
    <w:rPr>
      <w:rFonts w:ascii="Verdana" w:eastAsia="Calibri" w:hAnsi="Verdana" w:cs="Verdana"/>
      <w:i/>
      <w:sz w:val="20"/>
      <w:szCs w:val="20"/>
      <w:lang w:val="es-PA"/>
    </w:rPr>
  </w:style>
  <w:style w:type="character" w:customStyle="1" w:styleId="Heading5Char">
    <w:name w:val="Heading 5 Char"/>
    <w:basedOn w:val="DefaultParagraphFont"/>
    <w:link w:val="Heading5"/>
    <w:uiPriority w:val="9"/>
    <w:rsid w:val="001A6E65"/>
    <w:rPr>
      <w:rFonts w:ascii="Verdana" w:eastAsia="Calibri" w:hAnsi="Verdana" w:cs="Times New Roman"/>
      <w:i/>
      <w:sz w:val="20"/>
      <w:szCs w:val="20"/>
      <w:lang w:val="es-PA"/>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C633C6"/>
    <w:pPr>
      <w:spacing w:after="0" w:line="240" w:lineRule="auto"/>
      <w:jc w:val="both"/>
    </w:pPr>
    <w:rPr>
      <w:rFonts w:ascii="Verdana" w:eastAsiaTheme="minorHAnsi" w:hAnsi="Verdana" w:cstheme="minorBidi"/>
      <w:sz w:val="16"/>
      <w:vertAlign w:val="superscript"/>
      <w:lang w:val="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17B"/>
    <w:rPr>
      <w:rFonts w:ascii="Calibri" w:eastAsia="Calibri" w:hAnsi="Calibri" w:cs="Times New Roman"/>
      <w:lang w:val="es-ES"/>
    </w:rPr>
  </w:style>
  <w:style w:type="paragraph" w:styleId="Heading1">
    <w:name w:val="heading 1"/>
    <w:basedOn w:val="Normal"/>
    <w:next w:val="Normal"/>
    <w:link w:val="Heading1Char"/>
    <w:uiPriority w:val="9"/>
    <w:qFormat/>
    <w:rsid w:val="0074017B"/>
    <w:pPr>
      <w:keepNext/>
      <w:tabs>
        <w:tab w:val="left" w:pos="567"/>
      </w:tabs>
      <w:autoSpaceDE w:val="0"/>
      <w:autoSpaceDN w:val="0"/>
      <w:adjustRightInd w:val="0"/>
      <w:spacing w:after="0" w:line="240" w:lineRule="auto"/>
      <w:jc w:val="center"/>
      <w:outlineLvl w:val="0"/>
    </w:pPr>
    <w:rPr>
      <w:rFonts w:ascii="Verdana" w:eastAsia="Times New Roman" w:hAnsi="Verdana" w:cs="Verdana"/>
      <w:b/>
      <w:bCs/>
      <w:iCs/>
      <w:caps/>
      <w:snapToGrid w:val="0"/>
      <w:sz w:val="20"/>
      <w:szCs w:val="20"/>
      <w:lang w:val="pt-BR" w:eastAsia="es-ES"/>
    </w:rPr>
  </w:style>
  <w:style w:type="paragraph" w:styleId="Heading2">
    <w:name w:val="heading 2"/>
    <w:basedOn w:val="Normal"/>
    <w:next w:val="Normal"/>
    <w:link w:val="Heading2Char"/>
    <w:uiPriority w:val="9"/>
    <w:unhideWhenUsed/>
    <w:qFormat/>
    <w:rsid w:val="0074017B"/>
    <w:pPr>
      <w:keepNext/>
      <w:spacing w:after="0" w:line="240" w:lineRule="auto"/>
      <w:jc w:val="both"/>
      <w:outlineLvl w:val="1"/>
    </w:pPr>
    <w:rPr>
      <w:rFonts w:ascii="Verdana" w:hAnsi="Verdana"/>
      <w:b/>
      <w:i/>
      <w:sz w:val="20"/>
      <w:szCs w:val="20"/>
      <w:lang w:val="pt-BR"/>
    </w:rPr>
  </w:style>
  <w:style w:type="paragraph" w:styleId="Heading3">
    <w:name w:val="heading 3"/>
    <w:basedOn w:val="Normal"/>
    <w:next w:val="Normal"/>
    <w:link w:val="Heading3Char"/>
    <w:uiPriority w:val="9"/>
    <w:unhideWhenUsed/>
    <w:qFormat/>
    <w:rsid w:val="0074017B"/>
    <w:pPr>
      <w:keepNext/>
      <w:spacing w:after="0" w:line="240" w:lineRule="auto"/>
      <w:jc w:val="both"/>
      <w:outlineLvl w:val="2"/>
    </w:pPr>
    <w:rPr>
      <w:rFonts w:ascii="Verdana" w:hAnsi="Verdana"/>
      <w:b/>
      <w:sz w:val="20"/>
      <w:szCs w:val="20"/>
      <w:lang w:val="pt-BR"/>
    </w:rPr>
  </w:style>
  <w:style w:type="paragraph" w:styleId="Heading4">
    <w:name w:val="heading 4"/>
    <w:basedOn w:val="Normal"/>
    <w:next w:val="Normal"/>
    <w:link w:val="Heading4Char"/>
    <w:uiPriority w:val="9"/>
    <w:unhideWhenUsed/>
    <w:qFormat/>
    <w:rsid w:val="00C80F4D"/>
    <w:pPr>
      <w:keepNext/>
      <w:tabs>
        <w:tab w:val="num" w:pos="0"/>
      </w:tabs>
      <w:autoSpaceDE w:val="0"/>
      <w:autoSpaceDN w:val="0"/>
      <w:adjustRightInd w:val="0"/>
      <w:spacing w:after="0" w:line="240" w:lineRule="auto"/>
      <w:jc w:val="both"/>
      <w:outlineLvl w:val="3"/>
    </w:pPr>
    <w:rPr>
      <w:rFonts w:ascii="Verdana" w:hAnsi="Verdana" w:cs="Verdana"/>
      <w:i/>
      <w:sz w:val="20"/>
      <w:szCs w:val="20"/>
      <w:lang w:val="es-PA"/>
    </w:rPr>
  </w:style>
  <w:style w:type="paragraph" w:styleId="Heading5">
    <w:name w:val="heading 5"/>
    <w:basedOn w:val="Normal"/>
    <w:next w:val="Normal"/>
    <w:link w:val="Heading5Char"/>
    <w:uiPriority w:val="9"/>
    <w:unhideWhenUsed/>
    <w:qFormat/>
    <w:rsid w:val="001A6E65"/>
    <w:pPr>
      <w:keepNext/>
      <w:widowControl w:val="0"/>
      <w:numPr>
        <w:numId w:val="3"/>
      </w:numPr>
      <w:spacing w:after="0" w:line="240" w:lineRule="auto"/>
      <w:jc w:val="both"/>
      <w:outlineLvl w:val="4"/>
    </w:pPr>
    <w:rPr>
      <w:rFonts w:ascii="Verdana" w:hAnsi="Verdana"/>
      <w:i/>
      <w:sz w:val="20"/>
      <w:szCs w:val="20"/>
      <w:lang w:val="es-P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17B"/>
    <w:rPr>
      <w:rFonts w:ascii="Verdana" w:eastAsia="Times New Roman" w:hAnsi="Verdana" w:cs="Verdana"/>
      <w:b/>
      <w:bCs/>
      <w:iCs/>
      <w:caps/>
      <w:snapToGrid w:val="0"/>
      <w:sz w:val="20"/>
      <w:szCs w:val="20"/>
      <w:lang w:val="pt-BR" w:eastAsia="es-ES"/>
    </w:rPr>
  </w:style>
  <w:style w:type="character" w:customStyle="1" w:styleId="Heading2Char">
    <w:name w:val="Heading 2 Char"/>
    <w:basedOn w:val="DefaultParagraphFont"/>
    <w:link w:val="Heading2"/>
    <w:uiPriority w:val="9"/>
    <w:rsid w:val="0074017B"/>
    <w:rPr>
      <w:rFonts w:ascii="Verdana" w:eastAsia="Calibri" w:hAnsi="Verdana" w:cs="Times New Roman"/>
      <w:b/>
      <w:i/>
      <w:sz w:val="20"/>
      <w:szCs w:val="20"/>
      <w:lang w:val="pt-BR"/>
    </w:rPr>
  </w:style>
  <w:style w:type="character" w:customStyle="1" w:styleId="Heading3Char">
    <w:name w:val="Heading 3 Char"/>
    <w:basedOn w:val="DefaultParagraphFont"/>
    <w:link w:val="Heading3"/>
    <w:uiPriority w:val="9"/>
    <w:rsid w:val="0074017B"/>
    <w:rPr>
      <w:rFonts w:ascii="Verdana" w:eastAsia="Calibri" w:hAnsi="Verdana" w:cs="Times New Roman"/>
      <w:b/>
      <w:sz w:val="20"/>
      <w:szCs w:val="20"/>
      <w:lang w:val="pt-BR"/>
    </w:rPr>
  </w:style>
  <w:style w:type="paragraph" w:styleId="FootnoteText">
    <w:name w:val="footnote text"/>
    <w:aliases w:val="2. Footnote Text,Footnote Tesina,Footnote Text Char Char Char Char Char,Footnote Text Char Char Char Char,Footnote reference,FA Fu,Footnote Text Char Char Char,Footnote Text Cha,FA Fußnotentext,FA Fuﬂnotentext,Ca,C"/>
    <w:basedOn w:val="Normal"/>
    <w:link w:val="FootnoteTextChar"/>
    <w:unhideWhenUsed/>
    <w:qFormat/>
    <w:rsid w:val="0074017B"/>
    <w:pPr>
      <w:spacing w:after="0" w:line="240" w:lineRule="auto"/>
      <w:jc w:val="both"/>
    </w:pPr>
    <w:rPr>
      <w:rFonts w:ascii="Verdana" w:hAnsi="Verdana"/>
      <w:sz w:val="16"/>
      <w:szCs w:val="20"/>
    </w:rPr>
  </w:style>
  <w:style w:type="character" w:customStyle="1" w:styleId="FootnoteTextChar">
    <w:name w:val="Footnote Text Char"/>
    <w:aliases w:val="2. Footnote Text Char,Footnote Tesina Char,Footnote Text Char Char Char Char Char Char,Footnote Text Char Char Char Char Char1,Footnote reference Char,FA Fu Char,Footnote Text Char Char Char Char1,Footnote Text Cha Char,Ca Char,C Char"/>
    <w:basedOn w:val="DefaultParagraphFont"/>
    <w:link w:val="FootnoteText"/>
    <w:rsid w:val="0074017B"/>
    <w:rPr>
      <w:rFonts w:ascii="Verdana" w:eastAsia="Calibri" w:hAnsi="Verdana" w:cs="Times New Roman"/>
      <w:sz w:val="16"/>
      <w:szCs w:val="20"/>
      <w:lang w:val="es-E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
    <w:basedOn w:val="DefaultParagraphFont"/>
    <w:link w:val="4GChar"/>
    <w:uiPriority w:val="99"/>
    <w:unhideWhenUsed/>
    <w:qFormat/>
    <w:rsid w:val="0074017B"/>
    <w:rPr>
      <w:rFonts w:ascii="Verdana" w:hAnsi="Verdana"/>
      <w:sz w:val="16"/>
      <w:vertAlign w:val="superscript"/>
    </w:rPr>
  </w:style>
  <w:style w:type="paragraph" w:styleId="ListParagraph">
    <w:name w:val="List Paragraph"/>
    <w:basedOn w:val="Normal"/>
    <w:uiPriority w:val="34"/>
    <w:qFormat/>
    <w:rsid w:val="0074017B"/>
    <w:pPr>
      <w:ind w:left="720"/>
      <w:contextualSpacing/>
    </w:pPr>
  </w:style>
  <w:style w:type="character" w:styleId="CommentReference">
    <w:name w:val="annotation reference"/>
    <w:basedOn w:val="DefaultParagraphFont"/>
    <w:uiPriority w:val="99"/>
    <w:semiHidden/>
    <w:unhideWhenUsed/>
    <w:rsid w:val="0074017B"/>
    <w:rPr>
      <w:sz w:val="16"/>
      <w:szCs w:val="16"/>
    </w:rPr>
  </w:style>
  <w:style w:type="paragraph" w:styleId="CommentText">
    <w:name w:val="annotation text"/>
    <w:basedOn w:val="Normal"/>
    <w:link w:val="CommentTextChar"/>
    <w:uiPriority w:val="99"/>
    <w:unhideWhenUsed/>
    <w:rsid w:val="0074017B"/>
    <w:pPr>
      <w:spacing w:line="240" w:lineRule="auto"/>
    </w:pPr>
    <w:rPr>
      <w:sz w:val="20"/>
      <w:szCs w:val="20"/>
    </w:rPr>
  </w:style>
  <w:style w:type="character" w:customStyle="1" w:styleId="CommentTextChar">
    <w:name w:val="Comment Text Char"/>
    <w:basedOn w:val="DefaultParagraphFont"/>
    <w:link w:val="CommentText"/>
    <w:uiPriority w:val="99"/>
    <w:rsid w:val="0074017B"/>
    <w:rPr>
      <w:rFonts w:ascii="Calibri" w:eastAsia="Calibri" w:hAnsi="Calibri"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74017B"/>
    <w:rPr>
      <w:b/>
      <w:bCs/>
    </w:rPr>
  </w:style>
  <w:style w:type="character" w:customStyle="1" w:styleId="CommentSubjectChar">
    <w:name w:val="Comment Subject Char"/>
    <w:basedOn w:val="CommentTextChar"/>
    <w:link w:val="CommentSubject"/>
    <w:uiPriority w:val="99"/>
    <w:semiHidden/>
    <w:rsid w:val="0074017B"/>
    <w:rPr>
      <w:rFonts w:ascii="Calibri" w:eastAsia="Calibri" w:hAnsi="Calibri" w:cs="Times New Roman"/>
      <w:b/>
      <w:bCs/>
      <w:sz w:val="20"/>
      <w:szCs w:val="20"/>
      <w:lang w:val="es-ES"/>
    </w:rPr>
  </w:style>
  <w:style w:type="paragraph" w:styleId="BalloonText">
    <w:name w:val="Balloon Text"/>
    <w:basedOn w:val="Normal"/>
    <w:link w:val="BalloonTextChar"/>
    <w:uiPriority w:val="99"/>
    <w:semiHidden/>
    <w:unhideWhenUsed/>
    <w:rsid w:val="00740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17B"/>
    <w:rPr>
      <w:rFonts w:ascii="Tahoma" w:eastAsia="Calibri" w:hAnsi="Tahoma" w:cs="Tahoma"/>
      <w:sz w:val="16"/>
      <w:szCs w:val="16"/>
      <w:lang w:val="es-ES"/>
    </w:rPr>
  </w:style>
  <w:style w:type="paragraph" w:styleId="Header">
    <w:name w:val="header"/>
    <w:basedOn w:val="Normal"/>
    <w:link w:val="HeaderChar"/>
    <w:uiPriority w:val="99"/>
    <w:unhideWhenUsed/>
    <w:rsid w:val="00740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17B"/>
    <w:rPr>
      <w:rFonts w:ascii="Calibri" w:eastAsia="Calibri" w:hAnsi="Calibri" w:cs="Times New Roman"/>
      <w:lang w:val="es-ES"/>
    </w:rPr>
  </w:style>
  <w:style w:type="paragraph" w:styleId="Footer">
    <w:name w:val="footer"/>
    <w:basedOn w:val="Normal"/>
    <w:link w:val="FooterChar"/>
    <w:uiPriority w:val="99"/>
    <w:unhideWhenUsed/>
    <w:rsid w:val="00740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17B"/>
    <w:rPr>
      <w:rFonts w:ascii="Calibri" w:eastAsia="Calibri" w:hAnsi="Calibri" w:cs="Times New Roman"/>
      <w:lang w:val="es-ES"/>
    </w:rPr>
  </w:style>
  <w:style w:type="paragraph" w:styleId="BlockText">
    <w:name w:val="Block Text"/>
    <w:basedOn w:val="Normal"/>
    <w:uiPriority w:val="99"/>
    <w:unhideWhenUsed/>
    <w:rsid w:val="0074017B"/>
    <w:pPr>
      <w:autoSpaceDE w:val="0"/>
      <w:autoSpaceDN w:val="0"/>
      <w:adjustRightInd w:val="0"/>
      <w:spacing w:after="0" w:line="240" w:lineRule="auto"/>
      <w:ind w:left="720" w:right="576"/>
      <w:jc w:val="both"/>
    </w:pPr>
    <w:rPr>
      <w:rFonts w:ascii="Verdana" w:hAnsi="Verdana" w:cs="Verdana"/>
      <w:sz w:val="18"/>
      <w:szCs w:val="18"/>
      <w:lang w:val="pt-BR"/>
    </w:rPr>
  </w:style>
  <w:style w:type="paragraph" w:customStyle="1" w:styleId="Default">
    <w:name w:val="Default"/>
    <w:rsid w:val="0074017B"/>
    <w:pPr>
      <w:autoSpaceDE w:val="0"/>
      <w:autoSpaceDN w:val="0"/>
      <w:adjustRightInd w:val="0"/>
      <w:spacing w:after="0" w:line="240" w:lineRule="auto"/>
    </w:pPr>
    <w:rPr>
      <w:rFonts w:ascii="Verdana" w:hAnsi="Verdana" w:cs="Verdana"/>
      <w:color w:val="000000"/>
      <w:sz w:val="24"/>
      <w:szCs w:val="24"/>
      <w:lang w:val="pt-BR"/>
    </w:rPr>
  </w:style>
  <w:style w:type="paragraph" w:styleId="Revision">
    <w:name w:val="Revision"/>
    <w:hidden/>
    <w:uiPriority w:val="99"/>
    <w:semiHidden/>
    <w:rsid w:val="0074017B"/>
    <w:pPr>
      <w:spacing w:after="0" w:line="240" w:lineRule="auto"/>
    </w:pPr>
    <w:rPr>
      <w:rFonts w:ascii="Calibri" w:eastAsia="Calibri" w:hAnsi="Calibri" w:cs="Times New Roman"/>
      <w:lang w:val="es-ES"/>
    </w:rPr>
  </w:style>
  <w:style w:type="character" w:styleId="Strong">
    <w:name w:val="Strong"/>
    <w:basedOn w:val="DefaultParagraphFont"/>
    <w:uiPriority w:val="22"/>
    <w:qFormat/>
    <w:rsid w:val="003201B1"/>
    <w:rPr>
      <w:b/>
      <w:bCs/>
    </w:rPr>
  </w:style>
  <w:style w:type="character" w:customStyle="1" w:styleId="Heading4Char">
    <w:name w:val="Heading 4 Char"/>
    <w:basedOn w:val="DefaultParagraphFont"/>
    <w:link w:val="Heading4"/>
    <w:uiPriority w:val="9"/>
    <w:rsid w:val="00C80F4D"/>
    <w:rPr>
      <w:rFonts w:ascii="Verdana" w:eastAsia="Calibri" w:hAnsi="Verdana" w:cs="Verdana"/>
      <w:i/>
      <w:sz w:val="20"/>
      <w:szCs w:val="20"/>
      <w:lang w:val="es-PA"/>
    </w:rPr>
  </w:style>
  <w:style w:type="character" w:customStyle="1" w:styleId="Heading5Char">
    <w:name w:val="Heading 5 Char"/>
    <w:basedOn w:val="DefaultParagraphFont"/>
    <w:link w:val="Heading5"/>
    <w:uiPriority w:val="9"/>
    <w:rsid w:val="001A6E65"/>
    <w:rPr>
      <w:rFonts w:ascii="Verdana" w:eastAsia="Calibri" w:hAnsi="Verdana" w:cs="Times New Roman"/>
      <w:i/>
      <w:sz w:val="20"/>
      <w:szCs w:val="20"/>
      <w:lang w:val="es-PA"/>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C633C6"/>
    <w:pPr>
      <w:spacing w:after="0" w:line="240" w:lineRule="auto"/>
      <w:jc w:val="both"/>
    </w:pPr>
    <w:rPr>
      <w:rFonts w:ascii="Verdana" w:eastAsiaTheme="minorHAnsi" w:hAnsi="Verdana" w:cstheme="minorBidi"/>
      <w:sz w:val="16"/>
      <w:vertAlign w:val="superscript"/>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69893">
      <w:bodyDiv w:val="1"/>
      <w:marLeft w:val="0"/>
      <w:marRight w:val="0"/>
      <w:marTop w:val="0"/>
      <w:marBottom w:val="0"/>
      <w:divBdr>
        <w:top w:val="none" w:sz="0" w:space="0" w:color="auto"/>
        <w:left w:val="none" w:sz="0" w:space="0" w:color="auto"/>
        <w:bottom w:val="none" w:sz="0" w:space="0" w:color="auto"/>
        <w:right w:val="none" w:sz="0" w:space="0" w:color="auto"/>
      </w:divBdr>
    </w:div>
    <w:div w:id="722824470">
      <w:bodyDiv w:val="1"/>
      <w:marLeft w:val="0"/>
      <w:marRight w:val="0"/>
      <w:marTop w:val="0"/>
      <w:marBottom w:val="0"/>
      <w:divBdr>
        <w:top w:val="none" w:sz="0" w:space="0" w:color="auto"/>
        <w:left w:val="none" w:sz="0" w:space="0" w:color="auto"/>
        <w:bottom w:val="none" w:sz="0" w:space="0" w:color="auto"/>
        <w:right w:val="none" w:sz="0" w:space="0" w:color="auto"/>
      </w:divBdr>
      <w:divsChild>
        <w:div w:id="843595462">
          <w:marLeft w:val="0"/>
          <w:marRight w:val="0"/>
          <w:marTop w:val="0"/>
          <w:marBottom w:val="0"/>
          <w:divBdr>
            <w:top w:val="none" w:sz="0" w:space="0" w:color="auto"/>
            <w:left w:val="none" w:sz="0" w:space="0" w:color="auto"/>
            <w:bottom w:val="none" w:sz="0" w:space="0" w:color="auto"/>
            <w:right w:val="none" w:sz="0" w:space="0" w:color="auto"/>
          </w:divBdr>
        </w:div>
        <w:div w:id="1288665018">
          <w:marLeft w:val="0"/>
          <w:marRight w:val="0"/>
          <w:marTop w:val="0"/>
          <w:marBottom w:val="0"/>
          <w:divBdr>
            <w:top w:val="none" w:sz="0" w:space="0" w:color="auto"/>
            <w:left w:val="none" w:sz="0" w:space="0" w:color="auto"/>
            <w:bottom w:val="none" w:sz="0" w:space="0" w:color="auto"/>
            <w:right w:val="none" w:sz="0" w:space="0" w:color="auto"/>
          </w:divBdr>
        </w:div>
        <w:div w:id="1144587019">
          <w:marLeft w:val="0"/>
          <w:marRight w:val="0"/>
          <w:marTop w:val="0"/>
          <w:marBottom w:val="0"/>
          <w:divBdr>
            <w:top w:val="none" w:sz="0" w:space="0" w:color="auto"/>
            <w:left w:val="none" w:sz="0" w:space="0" w:color="auto"/>
            <w:bottom w:val="none" w:sz="0" w:space="0" w:color="auto"/>
            <w:right w:val="none" w:sz="0" w:space="0" w:color="auto"/>
          </w:divBdr>
        </w:div>
        <w:div w:id="985009063">
          <w:marLeft w:val="0"/>
          <w:marRight w:val="0"/>
          <w:marTop w:val="0"/>
          <w:marBottom w:val="0"/>
          <w:divBdr>
            <w:top w:val="none" w:sz="0" w:space="0" w:color="auto"/>
            <w:left w:val="none" w:sz="0" w:space="0" w:color="auto"/>
            <w:bottom w:val="none" w:sz="0" w:space="0" w:color="auto"/>
            <w:right w:val="none" w:sz="0" w:space="0" w:color="auto"/>
          </w:divBdr>
        </w:div>
        <w:div w:id="2124374725">
          <w:marLeft w:val="0"/>
          <w:marRight w:val="0"/>
          <w:marTop w:val="0"/>
          <w:marBottom w:val="0"/>
          <w:divBdr>
            <w:top w:val="none" w:sz="0" w:space="0" w:color="auto"/>
            <w:left w:val="none" w:sz="0" w:space="0" w:color="auto"/>
            <w:bottom w:val="none" w:sz="0" w:space="0" w:color="auto"/>
            <w:right w:val="none" w:sz="0" w:space="0" w:color="auto"/>
          </w:divBdr>
        </w:div>
        <w:div w:id="1310549848">
          <w:marLeft w:val="0"/>
          <w:marRight w:val="0"/>
          <w:marTop w:val="0"/>
          <w:marBottom w:val="0"/>
          <w:divBdr>
            <w:top w:val="none" w:sz="0" w:space="0" w:color="auto"/>
            <w:left w:val="none" w:sz="0" w:space="0" w:color="auto"/>
            <w:bottom w:val="none" w:sz="0" w:space="0" w:color="auto"/>
            <w:right w:val="none" w:sz="0" w:space="0" w:color="auto"/>
          </w:divBdr>
        </w:div>
        <w:div w:id="1119563637">
          <w:marLeft w:val="0"/>
          <w:marRight w:val="0"/>
          <w:marTop w:val="0"/>
          <w:marBottom w:val="0"/>
          <w:divBdr>
            <w:top w:val="none" w:sz="0" w:space="0" w:color="auto"/>
            <w:left w:val="none" w:sz="0" w:space="0" w:color="auto"/>
            <w:bottom w:val="none" w:sz="0" w:space="0" w:color="auto"/>
            <w:right w:val="none" w:sz="0" w:space="0" w:color="auto"/>
          </w:divBdr>
        </w:div>
        <w:div w:id="627659874">
          <w:marLeft w:val="0"/>
          <w:marRight w:val="0"/>
          <w:marTop w:val="0"/>
          <w:marBottom w:val="0"/>
          <w:divBdr>
            <w:top w:val="none" w:sz="0" w:space="0" w:color="auto"/>
            <w:left w:val="none" w:sz="0" w:space="0" w:color="auto"/>
            <w:bottom w:val="none" w:sz="0" w:space="0" w:color="auto"/>
            <w:right w:val="none" w:sz="0" w:space="0" w:color="auto"/>
          </w:divBdr>
        </w:div>
        <w:div w:id="1614244997">
          <w:marLeft w:val="0"/>
          <w:marRight w:val="0"/>
          <w:marTop w:val="0"/>
          <w:marBottom w:val="0"/>
          <w:divBdr>
            <w:top w:val="none" w:sz="0" w:space="0" w:color="auto"/>
            <w:left w:val="none" w:sz="0" w:space="0" w:color="auto"/>
            <w:bottom w:val="none" w:sz="0" w:space="0" w:color="auto"/>
            <w:right w:val="none" w:sz="0" w:space="0" w:color="auto"/>
          </w:divBdr>
        </w:div>
        <w:div w:id="1145389235">
          <w:marLeft w:val="0"/>
          <w:marRight w:val="0"/>
          <w:marTop w:val="0"/>
          <w:marBottom w:val="0"/>
          <w:divBdr>
            <w:top w:val="none" w:sz="0" w:space="0" w:color="auto"/>
            <w:left w:val="none" w:sz="0" w:space="0" w:color="auto"/>
            <w:bottom w:val="none" w:sz="0" w:space="0" w:color="auto"/>
            <w:right w:val="none" w:sz="0" w:space="0" w:color="auto"/>
          </w:divBdr>
        </w:div>
      </w:divsChild>
    </w:div>
    <w:div w:id="804391025">
      <w:bodyDiv w:val="1"/>
      <w:marLeft w:val="0"/>
      <w:marRight w:val="0"/>
      <w:marTop w:val="0"/>
      <w:marBottom w:val="0"/>
      <w:divBdr>
        <w:top w:val="none" w:sz="0" w:space="0" w:color="auto"/>
        <w:left w:val="none" w:sz="0" w:space="0" w:color="auto"/>
        <w:bottom w:val="none" w:sz="0" w:space="0" w:color="auto"/>
        <w:right w:val="none" w:sz="0" w:space="0" w:color="auto"/>
      </w:divBdr>
    </w:div>
    <w:div w:id="1026128937">
      <w:bodyDiv w:val="1"/>
      <w:marLeft w:val="0"/>
      <w:marRight w:val="0"/>
      <w:marTop w:val="0"/>
      <w:marBottom w:val="0"/>
      <w:divBdr>
        <w:top w:val="none" w:sz="0" w:space="0" w:color="auto"/>
        <w:left w:val="none" w:sz="0" w:space="0" w:color="auto"/>
        <w:bottom w:val="none" w:sz="0" w:space="0" w:color="auto"/>
        <w:right w:val="none" w:sz="0" w:space="0" w:color="auto"/>
      </w:divBdr>
      <w:divsChild>
        <w:div w:id="1871456762">
          <w:marLeft w:val="0"/>
          <w:marRight w:val="0"/>
          <w:marTop w:val="0"/>
          <w:marBottom w:val="0"/>
          <w:divBdr>
            <w:top w:val="none" w:sz="0" w:space="0" w:color="auto"/>
            <w:left w:val="none" w:sz="0" w:space="0" w:color="auto"/>
            <w:bottom w:val="none" w:sz="0" w:space="0" w:color="auto"/>
            <w:right w:val="none" w:sz="0" w:space="0" w:color="auto"/>
          </w:divBdr>
        </w:div>
        <w:div w:id="2009408823">
          <w:marLeft w:val="0"/>
          <w:marRight w:val="0"/>
          <w:marTop w:val="0"/>
          <w:marBottom w:val="0"/>
          <w:divBdr>
            <w:top w:val="none" w:sz="0" w:space="0" w:color="auto"/>
            <w:left w:val="none" w:sz="0" w:space="0" w:color="auto"/>
            <w:bottom w:val="none" w:sz="0" w:space="0" w:color="auto"/>
            <w:right w:val="none" w:sz="0" w:space="0" w:color="auto"/>
          </w:divBdr>
        </w:div>
        <w:div w:id="128878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A8C07-CA6F-4412-967D-3B550E91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5859</Words>
  <Characters>32053</Characters>
  <Application>Microsoft Office Word</Application>
  <DocSecurity>0</DocSecurity>
  <Lines>696</Lines>
  <Paragraphs>173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2</cp:revision>
  <cp:lastPrinted>2018-02-16T22:04:00Z</cp:lastPrinted>
  <dcterms:created xsi:type="dcterms:W3CDTF">2018-02-19T17:17:00Z</dcterms:created>
  <dcterms:modified xsi:type="dcterms:W3CDTF">2018-02-19T17:17:00Z</dcterms:modified>
</cp:coreProperties>
</file>