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0B83F" w14:textId="28C9FBED" w:rsidR="00673536" w:rsidRDefault="00673536" w:rsidP="00691B1D">
      <w:pPr>
        <w:pStyle w:val="Footnotes"/>
        <w:rPr>
          <w:lang w:val="es-CR"/>
        </w:rPr>
      </w:pPr>
      <w:bookmarkStart w:id="0" w:name="_Toc358579010"/>
      <w:bookmarkStart w:id="1" w:name="_Toc370486187"/>
    </w:p>
    <w:p w14:paraId="1DF43347" w14:textId="77777777" w:rsidR="00162541" w:rsidRPr="006A0A3F" w:rsidRDefault="00162541" w:rsidP="00691B1D">
      <w:pPr>
        <w:pStyle w:val="Footnotes"/>
        <w:rPr>
          <w:lang w:val="es-CR"/>
        </w:rPr>
      </w:pPr>
    </w:p>
    <w:p w14:paraId="3433CB7A" w14:textId="77777777" w:rsidR="00024A41" w:rsidRPr="006A0A3F" w:rsidRDefault="00024A41" w:rsidP="00691B1D">
      <w:pPr>
        <w:pStyle w:val="Footnotes"/>
        <w:rPr>
          <w:lang w:val="es-CR"/>
        </w:rPr>
      </w:pPr>
    </w:p>
    <w:p w14:paraId="4211E0B6" w14:textId="77777777" w:rsidR="00024A41" w:rsidRPr="006A0A3F" w:rsidRDefault="00024A41" w:rsidP="00691B1D">
      <w:pPr>
        <w:pStyle w:val="Footnotes"/>
        <w:rPr>
          <w:lang w:val="es-CR"/>
        </w:rPr>
      </w:pPr>
    </w:p>
    <w:p w14:paraId="6B6916A9" w14:textId="77777777" w:rsidR="007B3B4E" w:rsidRDefault="007B3B4E" w:rsidP="007B3B4E">
      <w:pPr>
        <w:spacing w:after="0" w:line="240" w:lineRule="auto"/>
        <w:rPr>
          <w:rFonts w:ascii="Verdana" w:hAnsi="Verdana"/>
          <w:b/>
          <w:sz w:val="20"/>
          <w:szCs w:val="20"/>
        </w:rPr>
      </w:pPr>
    </w:p>
    <w:p w14:paraId="56AEA875" w14:textId="77777777" w:rsidR="007B3B4E" w:rsidRPr="006A0A3F" w:rsidRDefault="007B3B4E" w:rsidP="007B3B4E">
      <w:pPr>
        <w:spacing w:after="0" w:line="240" w:lineRule="auto"/>
        <w:rPr>
          <w:rFonts w:ascii="Verdana" w:hAnsi="Verdana"/>
          <w:b/>
          <w:sz w:val="20"/>
          <w:szCs w:val="20"/>
        </w:rPr>
      </w:pPr>
    </w:p>
    <w:p w14:paraId="05817609" w14:textId="77777777" w:rsidR="007B3B4E" w:rsidRPr="006A0A3F" w:rsidRDefault="007B3B4E" w:rsidP="007B3B4E">
      <w:pPr>
        <w:spacing w:after="0" w:line="240" w:lineRule="auto"/>
        <w:rPr>
          <w:rFonts w:ascii="Verdana" w:hAnsi="Verdana"/>
          <w:b/>
          <w:sz w:val="20"/>
          <w:szCs w:val="20"/>
        </w:rPr>
      </w:pPr>
    </w:p>
    <w:p w14:paraId="5299EF77" w14:textId="77777777" w:rsidR="007B3B4E" w:rsidRPr="006A0A3F" w:rsidRDefault="007B3B4E" w:rsidP="007B3B4E">
      <w:pPr>
        <w:spacing w:after="0" w:line="240" w:lineRule="auto"/>
        <w:rPr>
          <w:rFonts w:ascii="Verdana" w:hAnsi="Verdana"/>
          <w:b/>
          <w:sz w:val="20"/>
          <w:szCs w:val="20"/>
        </w:rPr>
      </w:pPr>
    </w:p>
    <w:p w14:paraId="76848AE8" w14:textId="77777777" w:rsidR="007B3B4E" w:rsidRDefault="007B3B4E" w:rsidP="007B3B4E">
      <w:pPr>
        <w:spacing w:after="0" w:line="240" w:lineRule="auto"/>
        <w:rPr>
          <w:rFonts w:ascii="Verdana" w:hAnsi="Verdana"/>
          <w:b/>
          <w:sz w:val="20"/>
          <w:szCs w:val="20"/>
        </w:rPr>
      </w:pPr>
    </w:p>
    <w:p w14:paraId="0D0411D0" w14:textId="77777777" w:rsidR="003A7EAB" w:rsidRPr="006A0A3F" w:rsidRDefault="003A7EAB" w:rsidP="007B3B4E">
      <w:pPr>
        <w:spacing w:after="0" w:line="240" w:lineRule="auto"/>
        <w:rPr>
          <w:rFonts w:ascii="Verdana" w:hAnsi="Verdana"/>
          <w:b/>
          <w:sz w:val="20"/>
          <w:szCs w:val="20"/>
        </w:rPr>
      </w:pPr>
    </w:p>
    <w:p w14:paraId="55D1EEF3" w14:textId="77777777" w:rsidR="007B3B4E" w:rsidRPr="006A0A3F" w:rsidRDefault="007B3B4E" w:rsidP="007B3B4E">
      <w:pPr>
        <w:spacing w:after="0" w:line="240" w:lineRule="auto"/>
        <w:rPr>
          <w:rFonts w:ascii="Verdana" w:hAnsi="Verdana"/>
          <w:b/>
          <w:sz w:val="20"/>
          <w:szCs w:val="20"/>
        </w:rPr>
      </w:pPr>
    </w:p>
    <w:p w14:paraId="71C8C61A" w14:textId="77777777" w:rsidR="007B3B4E" w:rsidRPr="006A0A3F" w:rsidRDefault="007B3B4E" w:rsidP="007B3B4E">
      <w:pPr>
        <w:spacing w:after="0" w:line="240" w:lineRule="auto"/>
        <w:rPr>
          <w:rFonts w:ascii="Verdana" w:hAnsi="Verdana"/>
          <w:b/>
          <w:sz w:val="20"/>
          <w:szCs w:val="20"/>
        </w:rPr>
      </w:pPr>
    </w:p>
    <w:p w14:paraId="3E64CDE1" w14:textId="77777777" w:rsidR="007B3B4E" w:rsidRPr="006A0A3F" w:rsidRDefault="007B3B4E" w:rsidP="007B3B4E">
      <w:pPr>
        <w:spacing w:after="0" w:line="240" w:lineRule="auto"/>
        <w:rPr>
          <w:rFonts w:ascii="Verdana" w:hAnsi="Verdana"/>
          <w:b/>
          <w:sz w:val="20"/>
          <w:szCs w:val="20"/>
        </w:rPr>
      </w:pPr>
    </w:p>
    <w:p w14:paraId="3C3B0316" w14:textId="77777777" w:rsidR="007B3B4E" w:rsidRPr="006A0A3F" w:rsidRDefault="007B3B4E" w:rsidP="007B3B4E">
      <w:pPr>
        <w:pStyle w:val="Title"/>
        <w:ind w:right="-138"/>
        <w:jc w:val="center"/>
        <w:rPr>
          <w:rFonts w:eastAsia="MS Mincho"/>
          <w:lang w:val="es-CR"/>
        </w:rPr>
      </w:pPr>
      <w:r w:rsidRPr="006A0A3F">
        <w:rPr>
          <w:rFonts w:eastAsia="MS Mincho"/>
          <w:lang w:val="es-CR"/>
        </w:rPr>
        <w:t>CORTE INTERAMERICANA DE DERECHOS HUMANOS</w:t>
      </w:r>
    </w:p>
    <w:p w14:paraId="3EF22E5F" w14:textId="77777777" w:rsidR="007B3B4E" w:rsidRPr="006A0A3F" w:rsidRDefault="007B3B4E" w:rsidP="007B3B4E">
      <w:pPr>
        <w:spacing w:after="0" w:line="240" w:lineRule="auto"/>
        <w:jc w:val="center"/>
        <w:rPr>
          <w:rFonts w:ascii="Verdana" w:hAnsi="Verdana"/>
          <w:b/>
          <w:sz w:val="20"/>
          <w:szCs w:val="20"/>
        </w:rPr>
      </w:pPr>
    </w:p>
    <w:p w14:paraId="6BE9C202" w14:textId="77777777" w:rsidR="007B3B4E" w:rsidRPr="006A0A3F" w:rsidRDefault="007B3B4E" w:rsidP="0064464E">
      <w:pPr>
        <w:spacing w:after="0" w:line="240" w:lineRule="auto"/>
        <w:jc w:val="center"/>
        <w:rPr>
          <w:rFonts w:ascii="Verdana" w:hAnsi="Verdana"/>
          <w:b/>
          <w:sz w:val="20"/>
          <w:szCs w:val="20"/>
        </w:rPr>
      </w:pPr>
    </w:p>
    <w:p w14:paraId="73755CA0" w14:textId="4C6F9FFE" w:rsidR="007B3B4E" w:rsidRPr="006A0A3F" w:rsidRDefault="00CA328B" w:rsidP="00D64068">
      <w:pPr>
        <w:autoSpaceDE w:val="0"/>
        <w:autoSpaceDN w:val="0"/>
        <w:adjustRightInd w:val="0"/>
        <w:spacing w:after="0" w:line="240" w:lineRule="auto"/>
        <w:jc w:val="center"/>
        <w:rPr>
          <w:rFonts w:ascii="Verdana" w:eastAsia="MS Mincho" w:hAnsi="Verdana" w:cs="Times New Roman"/>
          <w:b/>
          <w:i/>
          <w:sz w:val="20"/>
          <w:szCs w:val="20"/>
          <w:lang w:eastAsia="es-ES" w:bidi="en-US"/>
        </w:rPr>
      </w:pPr>
      <w:r w:rsidRPr="006A0A3F">
        <w:rPr>
          <w:rFonts w:ascii="Verdana" w:eastAsia="MS Mincho" w:hAnsi="Verdana" w:cs="Times New Roman"/>
          <w:b/>
          <w:i/>
          <w:sz w:val="20"/>
          <w:szCs w:val="20"/>
          <w:lang w:eastAsia="es-ES" w:bidi="en-US"/>
        </w:rPr>
        <w:t xml:space="preserve">CASO </w:t>
      </w:r>
      <w:r w:rsidR="00EA362E" w:rsidRPr="006A0A3F">
        <w:rPr>
          <w:rFonts w:ascii="Verdana" w:eastAsia="MS Mincho" w:hAnsi="Verdana" w:cs="Times New Roman"/>
          <w:b/>
          <w:i/>
          <w:sz w:val="20"/>
          <w:szCs w:val="20"/>
          <w:lang w:eastAsia="es-ES" w:bidi="en-US"/>
        </w:rPr>
        <w:t>SAN MIGUEL SOSA Y OTRAS VS. VENEZUELA</w:t>
      </w:r>
    </w:p>
    <w:p w14:paraId="786F4D60" w14:textId="77777777" w:rsidR="007B3B4E" w:rsidRPr="006A0A3F" w:rsidRDefault="007B3B4E" w:rsidP="007B3B4E">
      <w:pPr>
        <w:pStyle w:val="Title"/>
        <w:ind w:right="-138"/>
        <w:jc w:val="center"/>
        <w:rPr>
          <w:rFonts w:eastAsia="MS Mincho"/>
          <w:lang w:val="es-CR"/>
        </w:rPr>
      </w:pPr>
    </w:p>
    <w:p w14:paraId="0A9D5174" w14:textId="77777777" w:rsidR="00CA328B" w:rsidRPr="006A0A3F" w:rsidRDefault="00CA328B" w:rsidP="007B3B4E">
      <w:pPr>
        <w:pStyle w:val="Title"/>
        <w:ind w:right="-138"/>
        <w:jc w:val="center"/>
        <w:rPr>
          <w:rFonts w:eastAsia="MS Mincho"/>
          <w:lang w:val="es-CR"/>
        </w:rPr>
      </w:pPr>
    </w:p>
    <w:p w14:paraId="17509CD5" w14:textId="29172E5E" w:rsidR="00CA328B" w:rsidRPr="006A0A3F" w:rsidRDefault="00CA328B" w:rsidP="00CA328B">
      <w:pPr>
        <w:pStyle w:val="Title"/>
        <w:ind w:right="-138"/>
        <w:jc w:val="center"/>
        <w:rPr>
          <w:rFonts w:eastAsia="MS Mincho"/>
          <w:lang w:val="es-CR"/>
        </w:rPr>
      </w:pPr>
      <w:r w:rsidRPr="006A0A3F">
        <w:rPr>
          <w:rFonts w:eastAsia="MS Mincho"/>
          <w:lang w:val="es-CR"/>
        </w:rPr>
        <w:t xml:space="preserve">SENTENCIA DE </w:t>
      </w:r>
      <w:r w:rsidR="00E57EF1" w:rsidRPr="006A0A3F">
        <w:rPr>
          <w:rFonts w:eastAsia="MS Mincho"/>
          <w:lang w:val="es-CR"/>
        </w:rPr>
        <w:t>8</w:t>
      </w:r>
      <w:r w:rsidRPr="006A0A3F">
        <w:rPr>
          <w:rFonts w:eastAsia="MS Mincho"/>
          <w:lang w:val="es-CR"/>
        </w:rPr>
        <w:t xml:space="preserve"> DE </w:t>
      </w:r>
      <w:r w:rsidR="0014030C" w:rsidRPr="006A0A3F">
        <w:rPr>
          <w:rFonts w:eastAsia="MS Mincho"/>
          <w:lang w:val="es-CR"/>
        </w:rPr>
        <w:t xml:space="preserve">FEBRERO </w:t>
      </w:r>
      <w:r w:rsidR="00DD49CA" w:rsidRPr="006A0A3F">
        <w:rPr>
          <w:rFonts w:eastAsia="MS Mincho"/>
          <w:lang w:val="es-CR"/>
        </w:rPr>
        <w:t>DE 201</w:t>
      </w:r>
      <w:r w:rsidR="0039120A" w:rsidRPr="006A0A3F">
        <w:rPr>
          <w:rFonts w:eastAsia="MS Mincho"/>
          <w:lang w:val="es-CR"/>
        </w:rPr>
        <w:t>8</w:t>
      </w:r>
    </w:p>
    <w:p w14:paraId="3261837B" w14:textId="77777777" w:rsidR="007B3B4E" w:rsidRPr="006A0A3F" w:rsidRDefault="007B3B4E" w:rsidP="007B3B4E">
      <w:pPr>
        <w:pStyle w:val="Title"/>
        <w:ind w:right="-138"/>
        <w:jc w:val="center"/>
        <w:rPr>
          <w:rFonts w:eastAsia="MS Mincho"/>
          <w:lang w:val="es-CR"/>
        </w:rPr>
      </w:pPr>
      <w:r w:rsidRPr="006A0A3F">
        <w:rPr>
          <w:rFonts w:eastAsia="MS Mincho"/>
          <w:lang w:val="es-CR"/>
        </w:rPr>
        <w:t>(Fondo, Reparaciones y Costas)</w:t>
      </w:r>
    </w:p>
    <w:p w14:paraId="61FDCDEA" w14:textId="77777777" w:rsidR="007B3B4E" w:rsidRPr="006A0A3F" w:rsidRDefault="007B3B4E" w:rsidP="007B3B4E">
      <w:pPr>
        <w:pStyle w:val="Title"/>
        <w:ind w:left="-502" w:right="-138"/>
        <w:rPr>
          <w:rFonts w:eastAsia="MS Mincho"/>
          <w:lang w:val="es-CR"/>
        </w:rPr>
      </w:pPr>
    </w:p>
    <w:p w14:paraId="60D167BE" w14:textId="77777777" w:rsidR="007B3B4E" w:rsidRDefault="007B3B4E" w:rsidP="007B3B4E">
      <w:pPr>
        <w:spacing w:after="0" w:line="240" w:lineRule="auto"/>
        <w:jc w:val="both"/>
        <w:rPr>
          <w:rFonts w:ascii="Verdana" w:hAnsi="Verdana"/>
          <w:b/>
          <w:i/>
          <w:sz w:val="20"/>
          <w:szCs w:val="20"/>
        </w:rPr>
      </w:pPr>
    </w:p>
    <w:p w14:paraId="030F1AD5" w14:textId="77777777" w:rsidR="003A7EAB" w:rsidRDefault="003A7EAB" w:rsidP="007B3B4E">
      <w:pPr>
        <w:spacing w:after="0" w:line="240" w:lineRule="auto"/>
        <w:jc w:val="both"/>
        <w:rPr>
          <w:rFonts w:ascii="Verdana" w:hAnsi="Verdana"/>
          <w:b/>
          <w:i/>
          <w:sz w:val="20"/>
          <w:szCs w:val="20"/>
        </w:rPr>
      </w:pPr>
    </w:p>
    <w:p w14:paraId="758511AD" w14:textId="77777777" w:rsidR="003A7EAB" w:rsidRPr="006A0A3F" w:rsidRDefault="003A7EAB" w:rsidP="007B3B4E">
      <w:pPr>
        <w:spacing w:after="0" w:line="240" w:lineRule="auto"/>
        <w:jc w:val="both"/>
        <w:rPr>
          <w:rFonts w:ascii="Verdana" w:hAnsi="Verdana"/>
          <w:b/>
          <w:i/>
          <w:sz w:val="20"/>
          <w:szCs w:val="20"/>
        </w:rPr>
      </w:pPr>
    </w:p>
    <w:p w14:paraId="5C85C6C7" w14:textId="77777777" w:rsidR="007B3B4E" w:rsidRPr="006A0A3F" w:rsidRDefault="007B3B4E" w:rsidP="007B3B4E">
      <w:pPr>
        <w:spacing w:after="0" w:line="240" w:lineRule="auto"/>
        <w:jc w:val="both"/>
        <w:rPr>
          <w:rFonts w:ascii="Verdana" w:hAnsi="Verdana"/>
          <w:b/>
          <w:i/>
          <w:sz w:val="20"/>
          <w:szCs w:val="20"/>
        </w:rPr>
      </w:pPr>
    </w:p>
    <w:p w14:paraId="6A81532E" w14:textId="7159C2D7" w:rsidR="00EA362E" w:rsidRPr="006A0A3F" w:rsidRDefault="007B3B4E" w:rsidP="00EA362E">
      <w:pPr>
        <w:autoSpaceDE w:val="0"/>
        <w:autoSpaceDN w:val="0"/>
        <w:adjustRightInd w:val="0"/>
        <w:spacing w:after="0" w:line="240" w:lineRule="auto"/>
        <w:rPr>
          <w:rFonts w:ascii="Verdana" w:eastAsia="MS Mincho" w:hAnsi="Verdana" w:cs="Times New Roman"/>
          <w:b/>
          <w:sz w:val="20"/>
          <w:szCs w:val="20"/>
          <w:lang w:eastAsia="es-ES" w:bidi="en-US"/>
        </w:rPr>
      </w:pPr>
      <w:r w:rsidRPr="006A0A3F">
        <w:rPr>
          <w:rFonts w:ascii="Verdana" w:hAnsi="Verdana"/>
          <w:sz w:val="20"/>
          <w:szCs w:val="20"/>
        </w:rPr>
        <w:t xml:space="preserve">En el </w:t>
      </w:r>
      <w:r w:rsidRPr="006A0A3F">
        <w:rPr>
          <w:rFonts w:ascii="Verdana" w:hAnsi="Verdana"/>
          <w:i/>
          <w:sz w:val="20"/>
          <w:szCs w:val="20"/>
        </w:rPr>
        <w:t xml:space="preserve">caso </w:t>
      </w:r>
      <w:r w:rsidR="00EA362E" w:rsidRPr="006A0A3F">
        <w:rPr>
          <w:rFonts w:ascii="Verdana" w:hAnsi="Verdana"/>
          <w:i/>
          <w:sz w:val="20"/>
          <w:szCs w:val="20"/>
        </w:rPr>
        <w:t xml:space="preserve">San Miguel Sosa y </w:t>
      </w:r>
      <w:r w:rsidR="00CA328B" w:rsidRPr="006A0A3F">
        <w:rPr>
          <w:rFonts w:ascii="Verdana" w:hAnsi="Verdana"/>
          <w:i/>
          <w:sz w:val="20"/>
          <w:szCs w:val="20"/>
        </w:rPr>
        <w:t>o</w:t>
      </w:r>
      <w:r w:rsidR="00EA362E" w:rsidRPr="006A0A3F">
        <w:rPr>
          <w:rFonts w:ascii="Verdana" w:hAnsi="Verdana"/>
          <w:i/>
          <w:sz w:val="20"/>
          <w:szCs w:val="20"/>
        </w:rPr>
        <w:t>tras</w:t>
      </w:r>
      <w:r w:rsidR="00CA328B" w:rsidRPr="006A0A3F">
        <w:rPr>
          <w:rFonts w:ascii="Verdana" w:hAnsi="Verdana"/>
          <w:i/>
          <w:sz w:val="20"/>
          <w:szCs w:val="20"/>
        </w:rPr>
        <w:t>,</w:t>
      </w:r>
      <w:r w:rsidR="00EA362E" w:rsidRPr="006A0A3F">
        <w:rPr>
          <w:rFonts w:ascii="Verdana" w:eastAsia="MS Mincho" w:hAnsi="Verdana" w:cs="Times New Roman"/>
          <w:b/>
          <w:sz w:val="20"/>
          <w:szCs w:val="20"/>
          <w:lang w:eastAsia="es-ES" w:bidi="en-US"/>
        </w:rPr>
        <w:t xml:space="preserve"> </w:t>
      </w:r>
    </w:p>
    <w:p w14:paraId="73A10161" w14:textId="7DB381A3" w:rsidR="007B3B4E" w:rsidRPr="006A0A3F" w:rsidRDefault="007B3B4E" w:rsidP="00EA362E">
      <w:pPr>
        <w:autoSpaceDE w:val="0"/>
        <w:autoSpaceDN w:val="0"/>
        <w:adjustRightInd w:val="0"/>
        <w:spacing w:after="0" w:line="240" w:lineRule="auto"/>
        <w:rPr>
          <w:rFonts w:ascii="Verdana" w:hAnsi="Verdana"/>
          <w:sz w:val="20"/>
          <w:szCs w:val="20"/>
        </w:rPr>
      </w:pPr>
    </w:p>
    <w:p w14:paraId="02BEE10D" w14:textId="77777777" w:rsidR="007B3B4E" w:rsidRPr="006A0A3F" w:rsidRDefault="007B3B4E" w:rsidP="007B3B4E">
      <w:pPr>
        <w:spacing w:after="0" w:line="240" w:lineRule="auto"/>
        <w:jc w:val="both"/>
        <w:rPr>
          <w:rFonts w:ascii="Verdana" w:hAnsi="Verdana"/>
          <w:sz w:val="20"/>
          <w:szCs w:val="20"/>
        </w:rPr>
      </w:pPr>
      <w:proofErr w:type="gramStart"/>
      <w:r w:rsidRPr="006A0A3F">
        <w:rPr>
          <w:rFonts w:ascii="Verdana" w:hAnsi="Verdana"/>
          <w:sz w:val="20"/>
          <w:szCs w:val="20"/>
        </w:rPr>
        <w:t>la</w:t>
      </w:r>
      <w:proofErr w:type="gramEnd"/>
      <w:r w:rsidRPr="006A0A3F">
        <w:rPr>
          <w:rFonts w:ascii="Verdana" w:hAnsi="Verdana"/>
          <w:sz w:val="20"/>
          <w:szCs w:val="20"/>
        </w:rPr>
        <w:t xml:space="preserve"> Corte Interamericana de Derechos Humanos (en adelante “la Corte Interamericana”, “la Corte” o “el Tribunal”), integrada por los siguientes Jueces:</w:t>
      </w:r>
    </w:p>
    <w:p w14:paraId="6FCC581B" w14:textId="77777777" w:rsidR="007B3B4E" w:rsidRPr="006A0A3F" w:rsidRDefault="007B3B4E" w:rsidP="007B3B4E">
      <w:pPr>
        <w:spacing w:after="0" w:line="240" w:lineRule="auto"/>
        <w:jc w:val="both"/>
        <w:rPr>
          <w:rFonts w:ascii="Verdana" w:hAnsi="Verdana"/>
          <w:sz w:val="20"/>
          <w:szCs w:val="20"/>
        </w:rPr>
      </w:pPr>
    </w:p>
    <w:p w14:paraId="0D5D0058" w14:textId="71104707" w:rsidR="007B3B4E" w:rsidRPr="006A0A3F" w:rsidRDefault="004A3363" w:rsidP="007B3B4E">
      <w:pPr>
        <w:spacing w:after="0" w:line="240" w:lineRule="auto"/>
        <w:ind w:left="720"/>
        <w:jc w:val="both"/>
        <w:rPr>
          <w:rFonts w:ascii="Verdana" w:hAnsi="Verdana"/>
          <w:sz w:val="20"/>
          <w:szCs w:val="20"/>
        </w:rPr>
      </w:pPr>
      <w:r w:rsidRPr="006A0A3F">
        <w:rPr>
          <w:rFonts w:ascii="Verdana" w:eastAsia="Verdana" w:hAnsi="Verdana" w:cs="Verdana"/>
          <w:spacing w:val="-1"/>
          <w:sz w:val="20"/>
          <w:szCs w:val="20"/>
        </w:rPr>
        <w:t xml:space="preserve">Eduardo Ferrer Mac-Gregor </w:t>
      </w:r>
      <w:proofErr w:type="spellStart"/>
      <w:r w:rsidRPr="006A0A3F">
        <w:rPr>
          <w:rFonts w:ascii="Verdana" w:eastAsia="Verdana" w:hAnsi="Verdana" w:cs="Verdana"/>
          <w:spacing w:val="-1"/>
          <w:sz w:val="20"/>
          <w:szCs w:val="20"/>
        </w:rPr>
        <w:t>Poisot</w:t>
      </w:r>
      <w:proofErr w:type="spellEnd"/>
      <w:r w:rsidR="007B3B4E" w:rsidRPr="006A0A3F">
        <w:rPr>
          <w:rFonts w:ascii="Verdana" w:eastAsia="Verdana" w:hAnsi="Verdana" w:cs="Verdana"/>
          <w:spacing w:val="-1"/>
          <w:sz w:val="20"/>
          <w:szCs w:val="20"/>
        </w:rPr>
        <w:t>, Presidente;</w:t>
      </w:r>
    </w:p>
    <w:p w14:paraId="43E2F62D" w14:textId="71EDC3D7" w:rsidR="007B3B4E" w:rsidRPr="006A0A3F" w:rsidRDefault="004A3363" w:rsidP="007B3B4E">
      <w:pPr>
        <w:spacing w:after="0" w:line="240" w:lineRule="auto"/>
        <w:ind w:left="720"/>
        <w:jc w:val="both"/>
        <w:rPr>
          <w:rFonts w:ascii="Verdana" w:hAnsi="Verdana"/>
          <w:sz w:val="20"/>
          <w:szCs w:val="20"/>
        </w:rPr>
      </w:pPr>
      <w:r w:rsidRPr="006A0A3F">
        <w:rPr>
          <w:rFonts w:ascii="Verdana" w:eastAsia="Verdana" w:hAnsi="Verdana" w:cs="Verdana"/>
          <w:spacing w:val="-1"/>
          <w:sz w:val="20"/>
          <w:szCs w:val="20"/>
        </w:rPr>
        <w:t>Eduardo Vio Grossi</w:t>
      </w:r>
      <w:r w:rsidR="007B3B4E" w:rsidRPr="006A0A3F">
        <w:rPr>
          <w:rFonts w:ascii="Verdana" w:eastAsia="Verdana" w:hAnsi="Verdana" w:cs="Verdana"/>
          <w:spacing w:val="-1"/>
          <w:sz w:val="20"/>
          <w:szCs w:val="20"/>
        </w:rPr>
        <w:t xml:space="preserve">, Vicepresidente; </w:t>
      </w:r>
    </w:p>
    <w:p w14:paraId="750AFDC0" w14:textId="497F0844" w:rsidR="007B3B4E" w:rsidRPr="006A0A3F" w:rsidRDefault="004A3363" w:rsidP="007B3B4E">
      <w:pPr>
        <w:spacing w:after="0" w:line="240" w:lineRule="auto"/>
        <w:ind w:left="720"/>
        <w:jc w:val="both"/>
        <w:rPr>
          <w:rFonts w:ascii="Verdana" w:hAnsi="Verdana"/>
          <w:sz w:val="20"/>
          <w:szCs w:val="20"/>
        </w:rPr>
      </w:pPr>
      <w:r w:rsidRPr="006A0A3F">
        <w:rPr>
          <w:rFonts w:ascii="Verdana" w:eastAsia="Verdana" w:hAnsi="Verdana" w:cs="Verdana"/>
          <w:spacing w:val="-1"/>
          <w:sz w:val="20"/>
          <w:szCs w:val="20"/>
        </w:rPr>
        <w:t>Roberto F. Caldas</w:t>
      </w:r>
      <w:r w:rsidR="007B3B4E" w:rsidRPr="006A0A3F">
        <w:rPr>
          <w:rFonts w:ascii="Verdana" w:eastAsia="Verdana" w:hAnsi="Verdana" w:cs="Verdana"/>
          <w:spacing w:val="-1"/>
          <w:sz w:val="20"/>
          <w:szCs w:val="20"/>
        </w:rPr>
        <w:t>, juez;</w:t>
      </w:r>
    </w:p>
    <w:p w14:paraId="41B5B40C"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eastAsia="Verdana" w:hAnsi="Verdana" w:cs="Verdana"/>
          <w:spacing w:val="-1"/>
          <w:sz w:val="20"/>
          <w:szCs w:val="20"/>
        </w:rPr>
        <w:t>H</w:t>
      </w:r>
      <w:r w:rsidRPr="006A0A3F">
        <w:rPr>
          <w:rFonts w:ascii="Verdana" w:eastAsia="Verdana" w:hAnsi="Verdana" w:cs="Verdana"/>
          <w:spacing w:val="1"/>
          <w:sz w:val="20"/>
          <w:szCs w:val="20"/>
        </w:rPr>
        <w:t>u</w:t>
      </w:r>
      <w:r w:rsidRPr="006A0A3F">
        <w:rPr>
          <w:rFonts w:ascii="Verdana" w:eastAsia="Verdana" w:hAnsi="Verdana" w:cs="Verdana"/>
          <w:sz w:val="20"/>
          <w:szCs w:val="20"/>
        </w:rPr>
        <w:t>m</w:t>
      </w:r>
      <w:r w:rsidRPr="006A0A3F">
        <w:rPr>
          <w:rFonts w:ascii="Verdana" w:eastAsia="Verdana" w:hAnsi="Verdana" w:cs="Verdana"/>
          <w:spacing w:val="1"/>
          <w:sz w:val="20"/>
          <w:szCs w:val="20"/>
        </w:rPr>
        <w:t>be</w:t>
      </w:r>
      <w:r w:rsidRPr="006A0A3F">
        <w:rPr>
          <w:rFonts w:ascii="Verdana" w:eastAsia="Verdana" w:hAnsi="Verdana" w:cs="Verdana"/>
          <w:spacing w:val="-1"/>
          <w:sz w:val="20"/>
          <w:szCs w:val="20"/>
        </w:rPr>
        <w:t>r</w:t>
      </w:r>
      <w:r w:rsidRPr="006A0A3F">
        <w:rPr>
          <w:rFonts w:ascii="Verdana" w:eastAsia="Verdana" w:hAnsi="Verdana" w:cs="Verdana"/>
          <w:spacing w:val="1"/>
          <w:sz w:val="20"/>
          <w:szCs w:val="20"/>
        </w:rPr>
        <w:t>t</w:t>
      </w:r>
      <w:r w:rsidRPr="006A0A3F">
        <w:rPr>
          <w:rFonts w:ascii="Verdana" w:eastAsia="Verdana" w:hAnsi="Verdana" w:cs="Verdana"/>
          <w:sz w:val="20"/>
          <w:szCs w:val="20"/>
        </w:rPr>
        <w:t>o</w:t>
      </w:r>
      <w:r w:rsidRPr="006A0A3F">
        <w:rPr>
          <w:rFonts w:ascii="Verdana" w:eastAsia="Verdana" w:hAnsi="Verdana" w:cs="Verdana"/>
          <w:spacing w:val="-11"/>
          <w:sz w:val="20"/>
          <w:szCs w:val="20"/>
        </w:rPr>
        <w:t xml:space="preserve"> </w:t>
      </w:r>
      <w:r w:rsidRPr="006A0A3F">
        <w:rPr>
          <w:rFonts w:ascii="Verdana" w:eastAsia="Verdana" w:hAnsi="Verdana" w:cs="Verdana"/>
          <w:sz w:val="20"/>
          <w:szCs w:val="20"/>
        </w:rPr>
        <w:t>A</w:t>
      </w:r>
      <w:r w:rsidRPr="006A0A3F">
        <w:rPr>
          <w:rFonts w:ascii="Verdana" w:eastAsia="Verdana" w:hAnsi="Verdana" w:cs="Verdana"/>
          <w:spacing w:val="1"/>
          <w:sz w:val="20"/>
          <w:szCs w:val="20"/>
        </w:rPr>
        <w:t>nt</w:t>
      </w:r>
      <w:r w:rsidRPr="006A0A3F">
        <w:rPr>
          <w:rFonts w:ascii="Verdana" w:eastAsia="Verdana" w:hAnsi="Verdana" w:cs="Verdana"/>
          <w:spacing w:val="-1"/>
          <w:sz w:val="20"/>
          <w:szCs w:val="20"/>
        </w:rPr>
        <w:t>o</w:t>
      </w:r>
      <w:r w:rsidRPr="006A0A3F">
        <w:rPr>
          <w:rFonts w:ascii="Verdana" w:eastAsia="Verdana" w:hAnsi="Verdana" w:cs="Verdana"/>
          <w:spacing w:val="1"/>
          <w:sz w:val="20"/>
          <w:szCs w:val="20"/>
        </w:rPr>
        <w:t>n</w:t>
      </w:r>
      <w:r w:rsidRPr="006A0A3F">
        <w:rPr>
          <w:rFonts w:ascii="Verdana" w:eastAsia="Verdana" w:hAnsi="Verdana" w:cs="Verdana"/>
          <w:spacing w:val="3"/>
          <w:sz w:val="20"/>
          <w:szCs w:val="20"/>
        </w:rPr>
        <w:t>i</w:t>
      </w:r>
      <w:r w:rsidRPr="006A0A3F">
        <w:rPr>
          <w:rFonts w:ascii="Verdana" w:eastAsia="Verdana" w:hAnsi="Verdana" w:cs="Verdana"/>
          <w:sz w:val="20"/>
          <w:szCs w:val="20"/>
        </w:rPr>
        <w:t>o</w:t>
      </w:r>
      <w:r w:rsidRPr="006A0A3F">
        <w:rPr>
          <w:rFonts w:ascii="Verdana" w:eastAsia="Verdana" w:hAnsi="Verdana" w:cs="Verdana"/>
          <w:spacing w:val="-9"/>
          <w:sz w:val="20"/>
          <w:szCs w:val="20"/>
        </w:rPr>
        <w:t xml:space="preserve"> </w:t>
      </w:r>
      <w:r w:rsidRPr="006A0A3F">
        <w:rPr>
          <w:rFonts w:ascii="Verdana" w:eastAsia="Verdana" w:hAnsi="Verdana" w:cs="Verdana"/>
          <w:sz w:val="20"/>
          <w:szCs w:val="20"/>
        </w:rPr>
        <w:t>S</w:t>
      </w:r>
      <w:r w:rsidRPr="006A0A3F">
        <w:rPr>
          <w:rFonts w:ascii="Verdana" w:eastAsia="Verdana" w:hAnsi="Verdana" w:cs="Verdana"/>
          <w:spacing w:val="3"/>
          <w:sz w:val="20"/>
          <w:szCs w:val="20"/>
        </w:rPr>
        <w:t>i</w:t>
      </w:r>
      <w:r w:rsidRPr="006A0A3F">
        <w:rPr>
          <w:rFonts w:ascii="Verdana" w:eastAsia="Verdana" w:hAnsi="Verdana" w:cs="Verdana"/>
          <w:spacing w:val="-1"/>
          <w:sz w:val="20"/>
          <w:szCs w:val="20"/>
        </w:rPr>
        <w:t>e</w:t>
      </w:r>
      <w:r w:rsidRPr="006A0A3F">
        <w:rPr>
          <w:rFonts w:ascii="Verdana" w:eastAsia="Verdana" w:hAnsi="Verdana" w:cs="Verdana"/>
          <w:spacing w:val="1"/>
          <w:sz w:val="20"/>
          <w:szCs w:val="20"/>
        </w:rPr>
        <w:t>rr</w:t>
      </w:r>
      <w:r w:rsidRPr="006A0A3F">
        <w:rPr>
          <w:rFonts w:ascii="Verdana" w:eastAsia="Verdana" w:hAnsi="Verdana" w:cs="Verdana"/>
          <w:sz w:val="20"/>
          <w:szCs w:val="20"/>
        </w:rPr>
        <w:t>a</w:t>
      </w:r>
      <w:r w:rsidRPr="006A0A3F">
        <w:rPr>
          <w:rFonts w:ascii="Verdana" w:eastAsia="Verdana" w:hAnsi="Verdana" w:cs="Verdana"/>
          <w:spacing w:val="-6"/>
          <w:sz w:val="20"/>
          <w:szCs w:val="20"/>
        </w:rPr>
        <w:t xml:space="preserve"> </w:t>
      </w:r>
      <w:r w:rsidRPr="006A0A3F">
        <w:rPr>
          <w:rFonts w:ascii="Verdana" w:eastAsia="Verdana" w:hAnsi="Verdana" w:cs="Verdana"/>
          <w:sz w:val="20"/>
          <w:szCs w:val="20"/>
        </w:rPr>
        <w:t>P</w:t>
      </w:r>
      <w:r w:rsidRPr="006A0A3F">
        <w:rPr>
          <w:rFonts w:ascii="Verdana" w:eastAsia="Verdana" w:hAnsi="Verdana" w:cs="Verdana"/>
          <w:spacing w:val="1"/>
          <w:sz w:val="20"/>
          <w:szCs w:val="20"/>
        </w:rPr>
        <w:t>o</w:t>
      </w:r>
      <w:r w:rsidRPr="006A0A3F">
        <w:rPr>
          <w:rFonts w:ascii="Verdana" w:eastAsia="Verdana" w:hAnsi="Verdana" w:cs="Verdana"/>
          <w:spacing w:val="-1"/>
          <w:sz w:val="20"/>
          <w:szCs w:val="20"/>
        </w:rPr>
        <w:t>r</w:t>
      </w:r>
      <w:r w:rsidRPr="006A0A3F">
        <w:rPr>
          <w:rFonts w:ascii="Verdana" w:eastAsia="Verdana" w:hAnsi="Verdana" w:cs="Verdana"/>
          <w:spacing w:val="1"/>
          <w:sz w:val="20"/>
          <w:szCs w:val="20"/>
        </w:rPr>
        <w:t>t</w:t>
      </w:r>
      <w:r w:rsidRPr="006A0A3F">
        <w:rPr>
          <w:rFonts w:ascii="Verdana" w:eastAsia="Verdana" w:hAnsi="Verdana" w:cs="Verdana"/>
          <w:spacing w:val="-1"/>
          <w:sz w:val="20"/>
          <w:szCs w:val="20"/>
        </w:rPr>
        <w:t>o</w:t>
      </w:r>
      <w:r w:rsidRPr="006A0A3F">
        <w:rPr>
          <w:rFonts w:ascii="Verdana" w:eastAsia="Verdana" w:hAnsi="Verdana" w:cs="Verdana"/>
          <w:sz w:val="20"/>
          <w:szCs w:val="20"/>
        </w:rPr>
        <w:t>,</w:t>
      </w:r>
      <w:r w:rsidRPr="006A0A3F">
        <w:rPr>
          <w:rFonts w:ascii="Verdana" w:eastAsia="Verdana" w:hAnsi="Verdana" w:cs="Verdana"/>
          <w:spacing w:val="-5"/>
          <w:sz w:val="20"/>
          <w:szCs w:val="20"/>
        </w:rPr>
        <w:t xml:space="preserve"> </w:t>
      </w:r>
      <w:r w:rsidRPr="006A0A3F">
        <w:rPr>
          <w:rFonts w:ascii="Verdana" w:eastAsia="Verdana" w:hAnsi="Verdana" w:cs="Verdana"/>
          <w:spacing w:val="2"/>
          <w:sz w:val="20"/>
          <w:szCs w:val="20"/>
        </w:rPr>
        <w:t>juez</w:t>
      </w:r>
      <w:r w:rsidRPr="006A0A3F">
        <w:rPr>
          <w:rFonts w:ascii="Verdana" w:eastAsia="Verdana" w:hAnsi="Verdana" w:cs="Verdana"/>
          <w:sz w:val="20"/>
          <w:szCs w:val="20"/>
        </w:rPr>
        <w:t xml:space="preserve">; </w:t>
      </w:r>
    </w:p>
    <w:p w14:paraId="72C90F97"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eastAsia="Verdana" w:hAnsi="Verdana" w:cs="Verdana"/>
          <w:sz w:val="20"/>
          <w:szCs w:val="20"/>
        </w:rPr>
        <w:t>Elizabeth Odio Benito, jueza;</w:t>
      </w:r>
    </w:p>
    <w:p w14:paraId="26680EE4"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eastAsia="Verdana" w:hAnsi="Verdana" w:cs="Verdana"/>
          <w:sz w:val="20"/>
          <w:szCs w:val="20"/>
        </w:rPr>
        <w:t xml:space="preserve">Eugenio Raúl </w:t>
      </w:r>
      <w:proofErr w:type="spellStart"/>
      <w:r w:rsidRPr="006A0A3F">
        <w:rPr>
          <w:rFonts w:ascii="Verdana" w:eastAsia="Verdana" w:hAnsi="Verdana" w:cs="Verdana"/>
          <w:sz w:val="20"/>
          <w:szCs w:val="20"/>
        </w:rPr>
        <w:t>Zaffaroni</w:t>
      </w:r>
      <w:proofErr w:type="spellEnd"/>
      <w:r w:rsidRPr="006A0A3F">
        <w:rPr>
          <w:rFonts w:ascii="Verdana" w:eastAsia="Verdana" w:hAnsi="Verdana" w:cs="Verdana"/>
          <w:sz w:val="20"/>
          <w:szCs w:val="20"/>
        </w:rPr>
        <w:t>, juez, y</w:t>
      </w:r>
    </w:p>
    <w:p w14:paraId="010FFE33"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eastAsia="Verdana" w:hAnsi="Verdana" w:cs="Verdana"/>
          <w:sz w:val="20"/>
          <w:szCs w:val="20"/>
        </w:rPr>
        <w:t>L. Patricio Pazmiño Freire, juez;</w:t>
      </w:r>
    </w:p>
    <w:p w14:paraId="5D9794EF" w14:textId="77777777" w:rsidR="007B3B4E" w:rsidRPr="006A0A3F" w:rsidRDefault="007B3B4E" w:rsidP="007B3B4E">
      <w:pPr>
        <w:widowControl w:val="0"/>
        <w:tabs>
          <w:tab w:val="left" w:pos="5670"/>
        </w:tabs>
        <w:spacing w:after="0" w:line="240" w:lineRule="auto"/>
        <w:ind w:left="100" w:right="4630"/>
        <w:rPr>
          <w:rFonts w:ascii="Verdana" w:eastAsia="Verdana" w:hAnsi="Verdana" w:cs="Verdana"/>
          <w:sz w:val="20"/>
          <w:szCs w:val="20"/>
        </w:rPr>
      </w:pPr>
    </w:p>
    <w:p w14:paraId="1B398DB0" w14:textId="77777777" w:rsidR="007B3B4E" w:rsidRPr="006A0A3F" w:rsidRDefault="007B3B4E" w:rsidP="007B3B4E">
      <w:pPr>
        <w:spacing w:after="0" w:line="240" w:lineRule="auto"/>
        <w:jc w:val="both"/>
        <w:rPr>
          <w:rFonts w:ascii="Verdana" w:hAnsi="Verdana"/>
          <w:sz w:val="20"/>
          <w:szCs w:val="20"/>
        </w:rPr>
      </w:pPr>
      <w:proofErr w:type="gramStart"/>
      <w:r w:rsidRPr="006A0A3F">
        <w:rPr>
          <w:rFonts w:ascii="Verdana" w:hAnsi="Verdana"/>
          <w:sz w:val="20"/>
          <w:szCs w:val="20"/>
        </w:rPr>
        <w:t>presentes</w:t>
      </w:r>
      <w:proofErr w:type="gramEnd"/>
      <w:r w:rsidRPr="006A0A3F">
        <w:rPr>
          <w:rFonts w:ascii="Verdana" w:hAnsi="Verdana"/>
          <w:sz w:val="20"/>
          <w:szCs w:val="20"/>
        </w:rPr>
        <w:t xml:space="preserve">, además, </w:t>
      </w:r>
    </w:p>
    <w:p w14:paraId="09FD575B" w14:textId="77777777" w:rsidR="007B3B4E" w:rsidRPr="006A0A3F" w:rsidRDefault="007B3B4E" w:rsidP="007B3B4E">
      <w:pPr>
        <w:spacing w:after="0" w:line="240" w:lineRule="auto"/>
        <w:jc w:val="both"/>
        <w:rPr>
          <w:rFonts w:ascii="Verdana" w:hAnsi="Verdana"/>
          <w:sz w:val="20"/>
          <w:szCs w:val="20"/>
        </w:rPr>
      </w:pPr>
    </w:p>
    <w:p w14:paraId="570CFD4C"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hAnsi="Verdana"/>
          <w:sz w:val="20"/>
          <w:szCs w:val="20"/>
        </w:rPr>
        <w:t>Pablo Saavedra Alessandri, Secretario, y</w:t>
      </w:r>
    </w:p>
    <w:p w14:paraId="285E3224" w14:textId="77777777" w:rsidR="007B3B4E" w:rsidRPr="006A0A3F" w:rsidRDefault="007B3B4E" w:rsidP="007B3B4E">
      <w:pPr>
        <w:spacing w:after="0" w:line="240" w:lineRule="auto"/>
        <w:ind w:left="720"/>
        <w:jc w:val="both"/>
        <w:rPr>
          <w:rFonts w:ascii="Verdana" w:hAnsi="Verdana"/>
          <w:sz w:val="20"/>
          <w:szCs w:val="20"/>
        </w:rPr>
      </w:pPr>
      <w:r w:rsidRPr="006A0A3F">
        <w:rPr>
          <w:rFonts w:ascii="Verdana" w:hAnsi="Verdana"/>
          <w:sz w:val="20"/>
          <w:szCs w:val="20"/>
        </w:rPr>
        <w:t>Emilia Segares Rodríguez, Secretaria Adjunta,</w:t>
      </w:r>
    </w:p>
    <w:p w14:paraId="40B64746" w14:textId="77777777" w:rsidR="007B3B4E" w:rsidRPr="006A0A3F" w:rsidRDefault="007B3B4E" w:rsidP="007B3B4E">
      <w:pPr>
        <w:spacing w:after="0" w:line="240" w:lineRule="auto"/>
        <w:jc w:val="both"/>
        <w:rPr>
          <w:rFonts w:ascii="Verdana" w:hAnsi="Verdana"/>
          <w:sz w:val="20"/>
          <w:szCs w:val="20"/>
        </w:rPr>
      </w:pPr>
    </w:p>
    <w:p w14:paraId="2BD92B1D" w14:textId="67B1AA6C" w:rsidR="007B3B4E" w:rsidRPr="006A0A3F" w:rsidRDefault="007B3B4E" w:rsidP="007B3B4E">
      <w:pPr>
        <w:spacing w:after="0" w:line="240" w:lineRule="auto"/>
        <w:jc w:val="both"/>
        <w:rPr>
          <w:rFonts w:ascii="Verdana" w:hAnsi="Verdana"/>
          <w:sz w:val="20"/>
          <w:szCs w:val="20"/>
        </w:rPr>
      </w:pPr>
      <w:proofErr w:type="gramStart"/>
      <w:r w:rsidRPr="006A0A3F">
        <w:rPr>
          <w:rFonts w:ascii="Verdana" w:hAnsi="Verdana"/>
          <w:sz w:val="20"/>
          <w:szCs w:val="20"/>
        </w:rPr>
        <w:t>de</w:t>
      </w:r>
      <w:proofErr w:type="gramEnd"/>
      <w:r w:rsidRPr="006A0A3F">
        <w:rPr>
          <w:rFonts w:ascii="Verdana" w:hAnsi="Verdana"/>
          <w:sz w:val="20"/>
          <w:szCs w:val="20"/>
        </w:rPr>
        <w:t xml:space="preserve"> conformidad con los artículos 62.3 y 63.1 de la Convención Americana sobre Derechos Humanos (en adelante “la Convención” o “la Convención Americana”) y con los artículos 31, 32, 65 y 67 del Reglamento de la Corte (en adelante “el Reglamento”), dicta la presente Sentencia, que se e</w:t>
      </w:r>
      <w:r w:rsidR="009A17C3" w:rsidRPr="006A0A3F">
        <w:rPr>
          <w:rFonts w:ascii="Verdana" w:hAnsi="Verdana"/>
          <w:sz w:val="20"/>
          <w:szCs w:val="20"/>
        </w:rPr>
        <w:t>structura en el siguiente orden:</w:t>
      </w:r>
    </w:p>
    <w:p w14:paraId="4557B37A" w14:textId="77777777" w:rsidR="007B3B4E" w:rsidRPr="006A0A3F" w:rsidRDefault="007B3B4E" w:rsidP="007B3B4E">
      <w:pPr>
        <w:spacing w:after="0" w:line="240" w:lineRule="auto"/>
        <w:jc w:val="both"/>
        <w:rPr>
          <w:rFonts w:ascii="Verdana" w:hAnsi="Verdana"/>
          <w:sz w:val="20"/>
          <w:szCs w:val="20"/>
        </w:rPr>
      </w:pPr>
    </w:p>
    <w:p w14:paraId="508D3526" w14:textId="77777777" w:rsidR="007B3B4E" w:rsidRPr="006A0A3F" w:rsidRDefault="007B3B4E" w:rsidP="007B3B4E">
      <w:pPr>
        <w:spacing w:after="0" w:line="240" w:lineRule="auto"/>
        <w:jc w:val="both"/>
        <w:rPr>
          <w:rFonts w:ascii="Verdana" w:hAnsi="Verdana"/>
          <w:sz w:val="20"/>
          <w:szCs w:val="20"/>
        </w:rPr>
      </w:pPr>
    </w:p>
    <w:p w14:paraId="543CC6E0" w14:textId="77777777" w:rsidR="007B3B4E" w:rsidRPr="006A0A3F" w:rsidRDefault="007B3B4E" w:rsidP="007B3B4E">
      <w:pPr>
        <w:spacing w:after="0" w:line="240" w:lineRule="auto"/>
        <w:rPr>
          <w:rFonts w:ascii="Verdana" w:hAnsi="Verdana" w:cs="Times New Roman"/>
          <w:sz w:val="20"/>
          <w:szCs w:val="20"/>
        </w:rPr>
      </w:pPr>
      <w:r w:rsidRPr="006A0A3F">
        <w:rPr>
          <w:rFonts w:ascii="Verdana" w:hAnsi="Verdana" w:cs="Times New Roman"/>
          <w:sz w:val="20"/>
          <w:szCs w:val="20"/>
        </w:rPr>
        <w:br w:type="page"/>
      </w:r>
    </w:p>
    <w:p w14:paraId="3AA65192" w14:textId="77777777" w:rsidR="007B3B4E" w:rsidRPr="006A0A3F" w:rsidRDefault="007B3B4E" w:rsidP="00476FD9">
      <w:pPr>
        <w:jc w:val="center"/>
        <w:rPr>
          <w:rFonts w:ascii="Verdana" w:hAnsi="Verdana"/>
          <w:b/>
          <w:noProof/>
          <w:snapToGrid w:val="0"/>
          <w:sz w:val="20"/>
          <w:szCs w:val="20"/>
          <w:lang w:eastAsia="es-ES"/>
        </w:rPr>
      </w:pPr>
      <w:r w:rsidRPr="006A0A3F">
        <w:rPr>
          <w:rFonts w:ascii="Verdana" w:hAnsi="Verdana"/>
          <w:b/>
          <w:noProof/>
          <w:snapToGrid w:val="0"/>
          <w:sz w:val="20"/>
          <w:szCs w:val="20"/>
          <w:lang w:eastAsia="es-ES"/>
        </w:rPr>
        <w:lastRenderedPageBreak/>
        <w:t>TABLA DE CONTENIDO</w:t>
      </w:r>
    </w:p>
    <w:sdt>
      <w:sdtPr>
        <w:rPr>
          <w:rFonts w:asciiTheme="minorHAnsi" w:hAnsiTheme="minorHAnsi"/>
          <w:b/>
          <w:bCs/>
          <w:noProof w:val="0"/>
          <w:sz w:val="22"/>
          <w:szCs w:val="20"/>
        </w:rPr>
        <w:id w:val="2141462081"/>
        <w:docPartObj>
          <w:docPartGallery w:val="Table of Contents"/>
          <w:docPartUnique/>
        </w:docPartObj>
      </w:sdtPr>
      <w:sdtEndPr>
        <w:rPr>
          <w:b w:val="0"/>
          <w:bCs w:val="0"/>
        </w:rPr>
      </w:sdtEndPr>
      <w:sdtContent>
        <w:p w14:paraId="16712E23" w14:textId="77777777" w:rsidR="008F2A57" w:rsidRDefault="00476FD9">
          <w:pPr>
            <w:pStyle w:val="TOC1"/>
            <w:rPr>
              <w:rFonts w:asciiTheme="minorHAnsi" w:eastAsiaTheme="minorEastAsia" w:hAnsiTheme="minorHAnsi"/>
              <w:sz w:val="22"/>
              <w:lang w:eastAsia="es-CR"/>
            </w:rPr>
          </w:pPr>
          <w:r w:rsidRPr="006A0A3F">
            <w:rPr>
              <w:noProof w:val="0"/>
              <w:szCs w:val="20"/>
            </w:rPr>
            <w:fldChar w:fldCharType="begin"/>
          </w:r>
          <w:r w:rsidRPr="006A0A3F">
            <w:rPr>
              <w:szCs w:val="20"/>
            </w:rPr>
            <w:instrText xml:space="preserve"> TOC \o "1-3" \h \z \u </w:instrText>
          </w:r>
          <w:r w:rsidRPr="006A0A3F">
            <w:rPr>
              <w:noProof w:val="0"/>
              <w:szCs w:val="20"/>
            </w:rPr>
            <w:fldChar w:fldCharType="separate"/>
          </w:r>
          <w:hyperlink w:anchor="_Toc505876980" w:history="1">
            <w:r w:rsidR="008F2A57" w:rsidRPr="009D6029">
              <w:rPr>
                <w:rStyle w:val="Hyperlink"/>
                <w:rFonts w:cs="Verdana"/>
                <w:caps/>
                <w:snapToGrid w:val="0"/>
                <w:lang w:eastAsia="es-ES"/>
              </w:rPr>
              <w:t>I INTRODUCCIÓN DE LA CAUSA Y OBJETO DE LA CONTROVERSIA</w:t>
            </w:r>
            <w:r w:rsidR="008F2A57">
              <w:rPr>
                <w:webHidden/>
              </w:rPr>
              <w:tab/>
            </w:r>
            <w:r w:rsidR="008F2A57">
              <w:rPr>
                <w:webHidden/>
              </w:rPr>
              <w:fldChar w:fldCharType="begin"/>
            </w:r>
            <w:r w:rsidR="008F2A57">
              <w:rPr>
                <w:webHidden/>
              </w:rPr>
              <w:instrText xml:space="preserve"> PAGEREF _Toc505876980 \h </w:instrText>
            </w:r>
            <w:r w:rsidR="008F2A57">
              <w:rPr>
                <w:webHidden/>
              </w:rPr>
            </w:r>
            <w:r w:rsidR="008F2A57">
              <w:rPr>
                <w:webHidden/>
              </w:rPr>
              <w:fldChar w:fldCharType="separate"/>
            </w:r>
            <w:r w:rsidR="003F7C8D">
              <w:rPr>
                <w:webHidden/>
              </w:rPr>
              <w:t>3</w:t>
            </w:r>
            <w:r w:rsidR="008F2A57">
              <w:rPr>
                <w:webHidden/>
              </w:rPr>
              <w:fldChar w:fldCharType="end"/>
            </w:r>
          </w:hyperlink>
        </w:p>
        <w:p w14:paraId="034D8878" w14:textId="57AF7E75" w:rsidR="008F2A57" w:rsidRDefault="008F2A57">
          <w:pPr>
            <w:pStyle w:val="TOC1"/>
            <w:rPr>
              <w:rStyle w:val="Hyperlink"/>
            </w:rPr>
          </w:pPr>
        </w:p>
        <w:p w14:paraId="0F03C2F1" w14:textId="77777777" w:rsidR="008F2A57" w:rsidRDefault="00837BB9">
          <w:pPr>
            <w:pStyle w:val="TOC1"/>
            <w:rPr>
              <w:rFonts w:asciiTheme="minorHAnsi" w:eastAsiaTheme="minorEastAsia" w:hAnsiTheme="minorHAnsi"/>
              <w:sz w:val="22"/>
              <w:lang w:eastAsia="es-CR"/>
            </w:rPr>
          </w:pPr>
          <w:hyperlink w:anchor="_Toc505876981" w:history="1">
            <w:r w:rsidR="008F2A57" w:rsidRPr="009D6029">
              <w:rPr>
                <w:rStyle w:val="Hyperlink"/>
                <w:rFonts w:cs="Verdana"/>
                <w:caps/>
                <w:snapToGrid w:val="0"/>
                <w:lang w:eastAsia="es-ES"/>
              </w:rPr>
              <w:t>II PROCEDIMIENTO ANTE LA CORTE</w:t>
            </w:r>
            <w:r w:rsidR="008F2A57">
              <w:rPr>
                <w:webHidden/>
              </w:rPr>
              <w:tab/>
            </w:r>
            <w:r w:rsidR="008F2A57">
              <w:rPr>
                <w:webHidden/>
              </w:rPr>
              <w:fldChar w:fldCharType="begin"/>
            </w:r>
            <w:r w:rsidR="008F2A57">
              <w:rPr>
                <w:webHidden/>
              </w:rPr>
              <w:instrText xml:space="preserve"> PAGEREF _Toc505876981 \h </w:instrText>
            </w:r>
            <w:r w:rsidR="008F2A57">
              <w:rPr>
                <w:webHidden/>
              </w:rPr>
            </w:r>
            <w:r w:rsidR="008F2A57">
              <w:rPr>
                <w:webHidden/>
              </w:rPr>
              <w:fldChar w:fldCharType="separate"/>
            </w:r>
            <w:r w:rsidR="003F7C8D">
              <w:rPr>
                <w:webHidden/>
              </w:rPr>
              <w:t>4</w:t>
            </w:r>
            <w:r w:rsidR="008F2A57">
              <w:rPr>
                <w:webHidden/>
              </w:rPr>
              <w:fldChar w:fldCharType="end"/>
            </w:r>
          </w:hyperlink>
        </w:p>
        <w:p w14:paraId="02FDDBC3" w14:textId="77777777" w:rsidR="008F2A57" w:rsidRDefault="008F2A57">
          <w:pPr>
            <w:pStyle w:val="TOC1"/>
            <w:rPr>
              <w:rStyle w:val="Hyperlink"/>
            </w:rPr>
          </w:pPr>
        </w:p>
        <w:p w14:paraId="1E5A634E" w14:textId="77777777" w:rsidR="008F2A57" w:rsidRDefault="00837BB9">
          <w:pPr>
            <w:pStyle w:val="TOC1"/>
            <w:rPr>
              <w:rFonts w:asciiTheme="minorHAnsi" w:eastAsiaTheme="minorEastAsia" w:hAnsiTheme="minorHAnsi"/>
              <w:sz w:val="22"/>
              <w:lang w:eastAsia="es-CR"/>
            </w:rPr>
          </w:pPr>
          <w:hyperlink w:anchor="_Toc505876982" w:history="1">
            <w:r w:rsidR="008F2A57" w:rsidRPr="009D6029">
              <w:rPr>
                <w:rStyle w:val="Hyperlink"/>
                <w:rFonts w:cs="Verdana"/>
                <w:caps/>
                <w:snapToGrid w:val="0"/>
                <w:lang w:eastAsia="es-ES"/>
              </w:rPr>
              <w:t>III COMPETENCIA</w:t>
            </w:r>
            <w:r w:rsidR="008F2A57">
              <w:rPr>
                <w:webHidden/>
              </w:rPr>
              <w:tab/>
            </w:r>
            <w:r w:rsidR="008F2A57">
              <w:rPr>
                <w:webHidden/>
              </w:rPr>
              <w:fldChar w:fldCharType="begin"/>
            </w:r>
            <w:r w:rsidR="008F2A57">
              <w:rPr>
                <w:webHidden/>
              </w:rPr>
              <w:instrText xml:space="preserve"> PAGEREF _Toc505876982 \h </w:instrText>
            </w:r>
            <w:r w:rsidR="008F2A57">
              <w:rPr>
                <w:webHidden/>
              </w:rPr>
            </w:r>
            <w:r w:rsidR="008F2A57">
              <w:rPr>
                <w:webHidden/>
              </w:rPr>
              <w:fldChar w:fldCharType="separate"/>
            </w:r>
            <w:r w:rsidR="003F7C8D">
              <w:rPr>
                <w:webHidden/>
              </w:rPr>
              <w:t>6</w:t>
            </w:r>
            <w:r w:rsidR="008F2A57">
              <w:rPr>
                <w:webHidden/>
              </w:rPr>
              <w:fldChar w:fldCharType="end"/>
            </w:r>
          </w:hyperlink>
        </w:p>
        <w:p w14:paraId="37006FF0" w14:textId="77777777" w:rsidR="008F2A57" w:rsidRDefault="008F2A57">
          <w:pPr>
            <w:pStyle w:val="TOC1"/>
            <w:rPr>
              <w:rStyle w:val="Hyperlink"/>
            </w:rPr>
          </w:pPr>
        </w:p>
        <w:p w14:paraId="0CA07351" w14:textId="77777777" w:rsidR="008F2A57" w:rsidRDefault="00837BB9">
          <w:pPr>
            <w:pStyle w:val="TOC1"/>
            <w:rPr>
              <w:rFonts w:asciiTheme="minorHAnsi" w:eastAsiaTheme="minorEastAsia" w:hAnsiTheme="minorHAnsi"/>
              <w:sz w:val="22"/>
              <w:lang w:eastAsia="es-CR"/>
            </w:rPr>
          </w:pPr>
          <w:hyperlink w:anchor="_Toc505876983" w:history="1">
            <w:r w:rsidR="008F2A57" w:rsidRPr="009D6029">
              <w:rPr>
                <w:rStyle w:val="Hyperlink"/>
                <w:rFonts w:cs="Verdana"/>
                <w:caps/>
                <w:snapToGrid w:val="0"/>
                <w:lang w:eastAsia="es-ES"/>
              </w:rPr>
              <w:t>IV CONSIDERACIONES PREVIAS</w:t>
            </w:r>
            <w:r w:rsidR="008F2A57">
              <w:rPr>
                <w:webHidden/>
              </w:rPr>
              <w:tab/>
            </w:r>
            <w:r w:rsidR="008F2A57">
              <w:rPr>
                <w:webHidden/>
              </w:rPr>
              <w:fldChar w:fldCharType="begin"/>
            </w:r>
            <w:r w:rsidR="008F2A57">
              <w:rPr>
                <w:webHidden/>
              </w:rPr>
              <w:instrText xml:space="preserve"> PAGEREF _Toc505876983 \h </w:instrText>
            </w:r>
            <w:r w:rsidR="008F2A57">
              <w:rPr>
                <w:webHidden/>
              </w:rPr>
            </w:r>
            <w:r w:rsidR="008F2A57">
              <w:rPr>
                <w:webHidden/>
              </w:rPr>
              <w:fldChar w:fldCharType="separate"/>
            </w:r>
            <w:r w:rsidR="003F7C8D">
              <w:rPr>
                <w:webHidden/>
              </w:rPr>
              <w:t>6</w:t>
            </w:r>
            <w:r w:rsidR="008F2A57">
              <w:rPr>
                <w:webHidden/>
              </w:rPr>
              <w:fldChar w:fldCharType="end"/>
            </w:r>
          </w:hyperlink>
        </w:p>
        <w:p w14:paraId="013667FD" w14:textId="77777777" w:rsidR="008F2A57" w:rsidRDefault="008F2A57">
          <w:pPr>
            <w:pStyle w:val="TOC1"/>
            <w:rPr>
              <w:rStyle w:val="Hyperlink"/>
            </w:rPr>
          </w:pPr>
        </w:p>
        <w:p w14:paraId="0274A4F3" w14:textId="77777777" w:rsidR="008F2A57" w:rsidRDefault="00837BB9">
          <w:pPr>
            <w:pStyle w:val="TOC1"/>
            <w:rPr>
              <w:rFonts w:asciiTheme="minorHAnsi" w:eastAsiaTheme="minorEastAsia" w:hAnsiTheme="minorHAnsi"/>
              <w:sz w:val="22"/>
              <w:lang w:eastAsia="es-CR"/>
            </w:rPr>
          </w:pPr>
          <w:hyperlink w:anchor="_Toc505876984" w:history="1">
            <w:r w:rsidR="008F2A57" w:rsidRPr="009D6029">
              <w:rPr>
                <w:rStyle w:val="Hyperlink"/>
                <w:rFonts w:cs="Verdana"/>
                <w:caps/>
                <w:snapToGrid w:val="0"/>
                <w:lang w:eastAsia="es-ES"/>
              </w:rPr>
              <w:t>V PRUEBA</w:t>
            </w:r>
            <w:r w:rsidR="008F2A57">
              <w:rPr>
                <w:webHidden/>
              </w:rPr>
              <w:tab/>
            </w:r>
            <w:r w:rsidR="008F2A57">
              <w:rPr>
                <w:webHidden/>
              </w:rPr>
              <w:fldChar w:fldCharType="begin"/>
            </w:r>
            <w:r w:rsidR="008F2A57">
              <w:rPr>
                <w:webHidden/>
              </w:rPr>
              <w:instrText xml:space="preserve"> PAGEREF _Toc505876984 \h </w:instrText>
            </w:r>
            <w:r w:rsidR="008F2A57">
              <w:rPr>
                <w:webHidden/>
              </w:rPr>
            </w:r>
            <w:r w:rsidR="008F2A57">
              <w:rPr>
                <w:webHidden/>
              </w:rPr>
              <w:fldChar w:fldCharType="separate"/>
            </w:r>
            <w:r w:rsidR="003F7C8D">
              <w:rPr>
                <w:webHidden/>
              </w:rPr>
              <w:t>10</w:t>
            </w:r>
            <w:r w:rsidR="008F2A57">
              <w:rPr>
                <w:webHidden/>
              </w:rPr>
              <w:fldChar w:fldCharType="end"/>
            </w:r>
          </w:hyperlink>
        </w:p>
        <w:p w14:paraId="4FE8AC6F"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85" w:history="1">
            <w:r w:rsidR="008F2A57" w:rsidRPr="008F2A57">
              <w:rPr>
                <w:rStyle w:val="Hyperlink"/>
                <w:sz w:val="18"/>
                <w:lang w:val="es-CR"/>
              </w:rPr>
              <w:t>A.</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Prueba documental, testimonial y pericial</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_Toc505876985 \h </w:instrText>
            </w:r>
            <w:r w:rsidR="008F2A57" w:rsidRPr="008F2A57">
              <w:rPr>
                <w:webHidden/>
                <w:sz w:val="18"/>
              </w:rPr>
            </w:r>
            <w:r w:rsidR="008F2A57" w:rsidRPr="008F2A57">
              <w:rPr>
                <w:webHidden/>
                <w:sz w:val="18"/>
              </w:rPr>
              <w:fldChar w:fldCharType="separate"/>
            </w:r>
            <w:r w:rsidR="003F7C8D">
              <w:rPr>
                <w:webHidden/>
                <w:sz w:val="18"/>
              </w:rPr>
              <w:t>10</w:t>
            </w:r>
            <w:r w:rsidR="008F2A57" w:rsidRPr="008F2A57">
              <w:rPr>
                <w:webHidden/>
                <w:sz w:val="18"/>
              </w:rPr>
              <w:fldChar w:fldCharType="end"/>
            </w:r>
          </w:hyperlink>
        </w:p>
        <w:p w14:paraId="2C2BF3F9"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86" w:history="1">
            <w:r w:rsidR="008F2A57" w:rsidRPr="008F2A57">
              <w:rPr>
                <w:rStyle w:val="Hyperlink"/>
                <w:sz w:val="18"/>
                <w:lang w:val="es-CR"/>
              </w:rPr>
              <w:t>B.</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Admisibilidad de la prueba</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_Toc505876986 \h </w:instrText>
            </w:r>
            <w:r w:rsidR="008F2A57" w:rsidRPr="008F2A57">
              <w:rPr>
                <w:webHidden/>
                <w:sz w:val="18"/>
              </w:rPr>
            </w:r>
            <w:r w:rsidR="008F2A57" w:rsidRPr="008F2A57">
              <w:rPr>
                <w:webHidden/>
                <w:sz w:val="18"/>
              </w:rPr>
              <w:fldChar w:fldCharType="separate"/>
            </w:r>
            <w:r w:rsidR="003F7C8D">
              <w:rPr>
                <w:webHidden/>
                <w:sz w:val="18"/>
              </w:rPr>
              <w:t>10</w:t>
            </w:r>
            <w:r w:rsidR="008F2A57" w:rsidRPr="008F2A57">
              <w:rPr>
                <w:webHidden/>
                <w:sz w:val="18"/>
              </w:rPr>
              <w:fldChar w:fldCharType="end"/>
            </w:r>
          </w:hyperlink>
        </w:p>
        <w:p w14:paraId="2D3B532D"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87" w:history="1">
            <w:r w:rsidR="008F2A57" w:rsidRPr="008F2A57">
              <w:rPr>
                <w:rStyle w:val="Hyperlink"/>
                <w:sz w:val="18"/>
                <w:lang w:val="es-CR"/>
              </w:rPr>
              <w:t>C.</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Valoración de la prueba</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_Toc505876987 \h </w:instrText>
            </w:r>
            <w:r w:rsidR="008F2A57" w:rsidRPr="008F2A57">
              <w:rPr>
                <w:webHidden/>
                <w:sz w:val="18"/>
              </w:rPr>
            </w:r>
            <w:r w:rsidR="008F2A57" w:rsidRPr="008F2A57">
              <w:rPr>
                <w:webHidden/>
                <w:sz w:val="18"/>
              </w:rPr>
              <w:fldChar w:fldCharType="separate"/>
            </w:r>
            <w:r w:rsidR="003F7C8D">
              <w:rPr>
                <w:webHidden/>
                <w:sz w:val="18"/>
              </w:rPr>
              <w:t>14</w:t>
            </w:r>
            <w:r w:rsidR="008F2A57" w:rsidRPr="008F2A57">
              <w:rPr>
                <w:webHidden/>
                <w:sz w:val="18"/>
              </w:rPr>
              <w:fldChar w:fldCharType="end"/>
            </w:r>
          </w:hyperlink>
        </w:p>
        <w:p w14:paraId="386D59CD" w14:textId="77777777" w:rsidR="008F2A57" w:rsidRDefault="008F2A57">
          <w:pPr>
            <w:pStyle w:val="TOC1"/>
            <w:rPr>
              <w:rStyle w:val="Hyperlink"/>
            </w:rPr>
          </w:pPr>
        </w:p>
        <w:p w14:paraId="57F2B645" w14:textId="77777777" w:rsidR="008F2A57" w:rsidRDefault="00837BB9">
          <w:pPr>
            <w:pStyle w:val="TOC1"/>
            <w:rPr>
              <w:rFonts w:asciiTheme="minorHAnsi" w:eastAsiaTheme="minorEastAsia" w:hAnsiTheme="minorHAnsi"/>
              <w:sz w:val="22"/>
              <w:lang w:eastAsia="es-CR"/>
            </w:rPr>
          </w:pPr>
          <w:hyperlink w:anchor="_Toc505876988" w:history="1">
            <w:r w:rsidR="008F2A57" w:rsidRPr="009D6029">
              <w:rPr>
                <w:rStyle w:val="Hyperlink"/>
                <w:rFonts w:cs="Verdana"/>
                <w:caps/>
                <w:snapToGrid w:val="0"/>
                <w:lang w:eastAsia="es-ES"/>
              </w:rPr>
              <w:t>VI hechos</w:t>
            </w:r>
            <w:r w:rsidR="008F2A57">
              <w:rPr>
                <w:webHidden/>
              </w:rPr>
              <w:tab/>
            </w:r>
            <w:r w:rsidR="008F2A57">
              <w:rPr>
                <w:webHidden/>
              </w:rPr>
              <w:fldChar w:fldCharType="begin"/>
            </w:r>
            <w:r w:rsidR="008F2A57">
              <w:rPr>
                <w:webHidden/>
              </w:rPr>
              <w:instrText xml:space="preserve"> PAGEREF _Toc505876988 \h </w:instrText>
            </w:r>
            <w:r w:rsidR="008F2A57">
              <w:rPr>
                <w:webHidden/>
              </w:rPr>
            </w:r>
            <w:r w:rsidR="008F2A57">
              <w:rPr>
                <w:webHidden/>
              </w:rPr>
              <w:fldChar w:fldCharType="separate"/>
            </w:r>
            <w:r w:rsidR="003F7C8D">
              <w:rPr>
                <w:webHidden/>
              </w:rPr>
              <w:t>14</w:t>
            </w:r>
            <w:r w:rsidR="008F2A57">
              <w:rPr>
                <w:webHidden/>
              </w:rPr>
              <w:fldChar w:fldCharType="end"/>
            </w:r>
          </w:hyperlink>
        </w:p>
        <w:p w14:paraId="15475581"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89" w:history="1">
            <w:r w:rsidR="008F2A57" w:rsidRPr="008F2A57">
              <w:rPr>
                <w:rStyle w:val="Hyperlink"/>
                <w:sz w:val="18"/>
                <w:lang w:val="es-CR"/>
              </w:rPr>
              <w:t>A.</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Contexto</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_Toc505876989 \h </w:instrText>
            </w:r>
            <w:r w:rsidR="008F2A57" w:rsidRPr="008F2A57">
              <w:rPr>
                <w:webHidden/>
                <w:sz w:val="18"/>
              </w:rPr>
            </w:r>
            <w:r w:rsidR="008F2A57" w:rsidRPr="008F2A57">
              <w:rPr>
                <w:webHidden/>
                <w:sz w:val="18"/>
              </w:rPr>
              <w:fldChar w:fldCharType="separate"/>
            </w:r>
            <w:r w:rsidR="003F7C8D">
              <w:rPr>
                <w:webHidden/>
                <w:sz w:val="18"/>
              </w:rPr>
              <w:t>14</w:t>
            </w:r>
            <w:r w:rsidR="008F2A57" w:rsidRPr="008F2A57">
              <w:rPr>
                <w:webHidden/>
                <w:sz w:val="18"/>
              </w:rPr>
              <w:fldChar w:fldCharType="end"/>
            </w:r>
          </w:hyperlink>
        </w:p>
        <w:p w14:paraId="6CA7E092"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90" w:history="1">
            <w:r w:rsidR="008F2A57" w:rsidRPr="008F2A57">
              <w:rPr>
                <w:rStyle w:val="Hyperlink"/>
                <w:sz w:val="18"/>
                <w:lang w:val="es-CR"/>
              </w:rPr>
              <w:t>B.</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La terminación de los contratos</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_Toc505876990 \h </w:instrText>
            </w:r>
            <w:r w:rsidR="008F2A57" w:rsidRPr="008F2A57">
              <w:rPr>
                <w:webHidden/>
                <w:sz w:val="18"/>
              </w:rPr>
            </w:r>
            <w:r w:rsidR="008F2A57" w:rsidRPr="008F2A57">
              <w:rPr>
                <w:webHidden/>
                <w:sz w:val="18"/>
              </w:rPr>
              <w:fldChar w:fldCharType="separate"/>
            </w:r>
            <w:r w:rsidR="003F7C8D">
              <w:rPr>
                <w:webHidden/>
                <w:sz w:val="18"/>
              </w:rPr>
              <w:t>25</w:t>
            </w:r>
            <w:r w:rsidR="008F2A57" w:rsidRPr="008F2A57">
              <w:rPr>
                <w:webHidden/>
                <w:sz w:val="18"/>
              </w:rPr>
              <w:fldChar w:fldCharType="end"/>
            </w:r>
          </w:hyperlink>
        </w:p>
        <w:p w14:paraId="7F5F2F68" w14:textId="77777777" w:rsidR="008F2A57" w:rsidRPr="008F2A57"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6991" w:history="1">
            <w:r w:rsidR="008F2A57" w:rsidRPr="008F2A57">
              <w:rPr>
                <w:rStyle w:val="Hyperlink"/>
                <w:sz w:val="18"/>
                <w:lang w:val="es-CR"/>
              </w:rPr>
              <w:t>C.</w:t>
            </w:r>
            <w:r w:rsidR="008F2A57" w:rsidRPr="008F2A57">
              <w:rPr>
                <w:rFonts w:asciiTheme="minorHAnsi" w:eastAsiaTheme="minorEastAsia" w:hAnsiTheme="minorHAnsi" w:cstheme="minorBidi"/>
                <w:bCs w:val="0"/>
                <w:i w:val="0"/>
                <w:iCs w:val="0"/>
                <w:szCs w:val="22"/>
                <w:lang w:val="es-CR" w:eastAsia="es-CR"/>
              </w:rPr>
              <w:tab/>
            </w:r>
            <w:r w:rsidR="008F2A57" w:rsidRPr="008F2A57">
              <w:rPr>
                <w:rStyle w:val="Hyperlink"/>
                <w:sz w:val="18"/>
                <w:lang w:val="es-CR"/>
              </w:rPr>
              <w:t>Denuncias y procesos internos</w:t>
            </w:r>
            <w:r w:rsidR="008F2A57" w:rsidRPr="008F2A57">
              <w:rPr>
                <w:webHidden/>
                <w:sz w:val="18"/>
              </w:rPr>
              <w:tab/>
            </w:r>
            <w:r w:rsidR="008F2A57" w:rsidRPr="008F2A57">
              <w:rPr>
                <w:webHidden/>
                <w:sz w:val="18"/>
              </w:rPr>
              <w:fldChar w:fldCharType="begin"/>
            </w:r>
            <w:r w:rsidR="008F2A57" w:rsidRPr="008F2A57">
              <w:rPr>
                <w:webHidden/>
                <w:sz w:val="18"/>
              </w:rPr>
              <w:instrText xml:space="preserve"> PAGEREF _Toc505876991 \h </w:instrText>
            </w:r>
            <w:r w:rsidR="008F2A57" w:rsidRPr="008F2A57">
              <w:rPr>
                <w:webHidden/>
                <w:sz w:val="18"/>
              </w:rPr>
            </w:r>
            <w:r w:rsidR="008F2A57" w:rsidRPr="008F2A57">
              <w:rPr>
                <w:webHidden/>
                <w:sz w:val="18"/>
              </w:rPr>
              <w:fldChar w:fldCharType="separate"/>
            </w:r>
            <w:r w:rsidR="003F7C8D">
              <w:rPr>
                <w:webHidden/>
                <w:sz w:val="18"/>
              </w:rPr>
              <w:t>28</w:t>
            </w:r>
            <w:r w:rsidR="008F2A57" w:rsidRPr="008F2A57">
              <w:rPr>
                <w:webHidden/>
                <w:sz w:val="18"/>
              </w:rPr>
              <w:fldChar w:fldCharType="end"/>
            </w:r>
          </w:hyperlink>
        </w:p>
        <w:p w14:paraId="3175CE84" w14:textId="77777777" w:rsidR="008F2A57" w:rsidRDefault="008F2A57">
          <w:pPr>
            <w:pStyle w:val="TOC1"/>
            <w:rPr>
              <w:rStyle w:val="Hyperlink"/>
            </w:rPr>
          </w:pPr>
        </w:p>
        <w:p w14:paraId="01AA980E" w14:textId="77777777" w:rsidR="008F2A57" w:rsidRDefault="00837BB9">
          <w:pPr>
            <w:pStyle w:val="TOC1"/>
            <w:rPr>
              <w:rFonts w:asciiTheme="minorHAnsi" w:eastAsiaTheme="minorEastAsia" w:hAnsiTheme="minorHAnsi"/>
              <w:sz w:val="22"/>
              <w:lang w:eastAsia="es-CR"/>
            </w:rPr>
          </w:pPr>
          <w:hyperlink w:anchor="_Toc505876992" w:history="1">
            <w:r w:rsidR="008F2A57" w:rsidRPr="009D6029">
              <w:rPr>
                <w:rStyle w:val="Hyperlink"/>
                <w:rFonts w:cs="Verdana"/>
                <w:caps/>
                <w:snapToGrid w:val="0"/>
                <w:lang w:eastAsia="es-ES"/>
              </w:rPr>
              <w:t>VII FONDO</w:t>
            </w:r>
            <w:r w:rsidR="008F2A57">
              <w:rPr>
                <w:webHidden/>
              </w:rPr>
              <w:tab/>
            </w:r>
            <w:r w:rsidR="008F2A57">
              <w:rPr>
                <w:webHidden/>
              </w:rPr>
              <w:fldChar w:fldCharType="begin"/>
            </w:r>
            <w:r w:rsidR="008F2A57">
              <w:rPr>
                <w:webHidden/>
              </w:rPr>
              <w:instrText xml:space="preserve"> PAGEREF _Toc505876992 \h </w:instrText>
            </w:r>
            <w:r w:rsidR="008F2A57">
              <w:rPr>
                <w:webHidden/>
              </w:rPr>
            </w:r>
            <w:r w:rsidR="008F2A57">
              <w:rPr>
                <w:webHidden/>
              </w:rPr>
              <w:fldChar w:fldCharType="separate"/>
            </w:r>
            <w:r w:rsidR="003F7C8D">
              <w:rPr>
                <w:webHidden/>
              </w:rPr>
              <w:t>32</w:t>
            </w:r>
            <w:r w:rsidR="008F2A57">
              <w:rPr>
                <w:webHidden/>
              </w:rPr>
              <w:fldChar w:fldCharType="end"/>
            </w:r>
          </w:hyperlink>
        </w:p>
        <w:p w14:paraId="6345C416" w14:textId="77777777" w:rsidR="008F2A57" w:rsidRDefault="008F2A57">
          <w:pPr>
            <w:pStyle w:val="TOC1"/>
            <w:rPr>
              <w:rStyle w:val="Hyperlink"/>
            </w:rPr>
          </w:pPr>
        </w:p>
        <w:p w14:paraId="0897FA86" w14:textId="77777777" w:rsidR="008F2A57" w:rsidRDefault="00837BB9" w:rsidP="008F2A57">
          <w:pPr>
            <w:pStyle w:val="TOC1"/>
            <w:ind w:left="284"/>
            <w:rPr>
              <w:rFonts w:asciiTheme="minorHAnsi" w:eastAsiaTheme="minorEastAsia" w:hAnsiTheme="minorHAnsi"/>
              <w:sz w:val="22"/>
              <w:lang w:eastAsia="es-CR"/>
            </w:rPr>
          </w:pPr>
          <w:hyperlink w:anchor="_Toc505876993" w:history="1">
            <w:r w:rsidR="008F2A57" w:rsidRPr="009D6029">
              <w:rPr>
                <w:rStyle w:val="Hyperlink"/>
                <w:rFonts w:cs="Verdana"/>
                <w:caps/>
                <w:snapToGrid w:val="0"/>
                <w:lang w:eastAsia="es-ES"/>
              </w:rPr>
              <w:t>ViI.1 derechos políticos, principio de no discriminación, Libertad de expresión y derechos a la igualdad ante la ley y a la integridad personal</w:t>
            </w:r>
            <w:r w:rsidR="008F2A57">
              <w:rPr>
                <w:webHidden/>
              </w:rPr>
              <w:tab/>
            </w:r>
            <w:r w:rsidR="008F2A57">
              <w:rPr>
                <w:webHidden/>
              </w:rPr>
              <w:fldChar w:fldCharType="begin"/>
            </w:r>
            <w:r w:rsidR="008F2A57">
              <w:rPr>
                <w:webHidden/>
              </w:rPr>
              <w:instrText xml:space="preserve"> PAGEREF _Toc505876993 \h </w:instrText>
            </w:r>
            <w:r w:rsidR="008F2A57">
              <w:rPr>
                <w:webHidden/>
              </w:rPr>
            </w:r>
            <w:r w:rsidR="008F2A57">
              <w:rPr>
                <w:webHidden/>
              </w:rPr>
              <w:fldChar w:fldCharType="separate"/>
            </w:r>
            <w:r w:rsidR="003F7C8D">
              <w:rPr>
                <w:webHidden/>
              </w:rPr>
              <w:t>32</w:t>
            </w:r>
            <w:r w:rsidR="008F2A57">
              <w:rPr>
                <w:webHidden/>
              </w:rPr>
              <w:fldChar w:fldCharType="end"/>
            </w:r>
          </w:hyperlink>
        </w:p>
        <w:p w14:paraId="4972AB51" w14:textId="77777777" w:rsidR="008F2A57" w:rsidRPr="000B3FD0" w:rsidRDefault="00837BB9" w:rsidP="000B3FD0">
          <w:pPr>
            <w:pStyle w:val="TOC3"/>
            <w:tabs>
              <w:tab w:val="left" w:pos="1100"/>
              <w:tab w:val="right" w:leader="dot" w:pos="9356"/>
            </w:tabs>
            <w:spacing w:after="0" w:line="240" w:lineRule="auto"/>
            <w:ind w:left="442"/>
            <w:rPr>
              <w:rFonts w:ascii="Verdana" w:eastAsiaTheme="minorEastAsia" w:hAnsi="Verdana"/>
              <w:noProof/>
              <w:sz w:val="20"/>
              <w:lang w:eastAsia="es-CR"/>
            </w:rPr>
          </w:pPr>
          <w:hyperlink w:anchor="_Toc505876994" w:history="1">
            <w:r w:rsidR="008F2A57" w:rsidRPr="000B3FD0">
              <w:rPr>
                <w:rStyle w:val="Hyperlink"/>
                <w:rFonts w:ascii="Verdana" w:hAnsi="Verdana"/>
                <w:i/>
                <w:smallCaps/>
                <w:noProof/>
                <w:sz w:val="20"/>
              </w:rPr>
              <w:t>A)</w:t>
            </w:r>
            <w:r w:rsidR="008F2A57" w:rsidRPr="000B3FD0">
              <w:rPr>
                <w:rFonts w:ascii="Verdana" w:eastAsiaTheme="minorEastAsia" w:hAnsi="Verdana"/>
                <w:noProof/>
                <w:sz w:val="20"/>
                <w:lang w:eastAsia="es-CR"/>
              </w:rPr>
              <w:tab/>
            </w:r>
            <w:r w:rsidR="008F2A57" w:rsidRPr="000B3FD0">
              <w:rPr>
                <w:rStyle w:val="Hyperlink"/>
                <w:rFonts w:ascii="Verdana" w:hAnsi="Verdana"/>
                <w:i/>
                <w:smallCaps/>
                <w:noProof/>
                <w:sz w:val="20"/>
              </w:rPr>
              <w:t>Derecho a la participación política y principio de no discriminación</w:t>
            </w:r>
            <w:r w:rsidR="008F2A57" w:rsidRPr="000B3FD0">
              <w:rPr>
                <w:rFonts w:ascii="Verdana" w:hAnsi="Verdana"/>
                <w:noProof/>
                <w:webHidden/>
                <w:sz w:val="20"/>
              </w:rPr>
              <w:tab/>
            </w:r>
            <w:r w:rsidR="008F2A57" w:rsidRPr="000B3FD0">
              <w:rPr>
                <w:rFonts w:ascii="Verdana" w:hAnsi="Verdana"/>
                <w:noProof/>
                <w:webHidden/>
                <w:sz w:val="20"/>
              </w:rPr>
              <w:fldChar w:fldCharType="begin"/>
            </w:r>
            <w:r w:rsidR="008F2A57" w:rsidRPr="000B3FD0">
              <w:rPr>
                <w:rFonts w:ascii="Verdana" w:hAnsi="Verdana"/>
                <w:noProof/>
                <w:webHidden/>
                <w:sz w:val="20"/>
              </w:rPr>
              <w:instrText xml:space="preserve"> PAGEREF _Toc505876994 \h </w:instrText>
            </w:r>
            <w:r w:rsidR="008F2A57" w:rsidRPr="000B3FD0">
              <w:rPr>
                <w:rFonts w:ascii="Verdana" w:hAnsi="Verdana"/>
                <w:noProof/>
                <w:webHidden/>
                <w:sz w:val="20"/>
              </w:rPr>
            </w:r>
            <w:r w:rsidR="008F2A57" w:rsidRPr="000B3FD0">
              <w:rPr>
                <w:rFonts w:ascii="Verdana" w:hAnsi="Verdana"/>
                <w:noProof/>
                <w:webHidden/>
                <w:sz w:val="20"/>
              </w:rPr>
              <w:fldChar w:fldCharType="separate"/>
            </w:r>
            <w:r w:rsidR="003F7C8D">
              <w:rPr>
                <w:rFonts w:ascii="Verdana" w:hAnsi="Verdana"/>
                <w:noProof/>
                <w:webHidden/>
                <w:sz w:val="20"/>
              </w:rPr>
              <w:t>35</w:t>
            </w:r>
            <w:r w:rsidR="008F2A57" w:rsidRPr="000B3FD0">
              <w:rPr>
                <w:rFonts w:ascii="Verdana" w:hAnsi="Verdana"/>
                <w:noProof/>
                <w:webHidden/>
                <w:sz w:val="20"/>
              </w:rPr>
              <w:fldChar w:fldCharType="end"/>
            </w:r>
          </w:hyperlink>
        </w:p>
        <w:p w14:paraId="4F231B95" w14:textId="43165805" w:rsidR="008F2A57" w:rsidRPr="000B3FD0" w:rsidRDefault="00837BB9" w:rsidP="000B3FD0">
          <w:pPr>
            <w:pStyle w:val="TOC3"/>
            <w:tabs>
              <w:tab w:val="left" w:pos="1100"/>
              <w:tab w:val="right" w:leader="dot" w:pos="9356"/>
            </w:tabs>
            <w:spacing w:after="0" w:line="240" w:lineRule="auto"/>
            <w:ind w:left="442"/>
            <w:rPr>
              <w:rFonts w:ascii="Verdana" w:eastAsiaTheme="minorEastAsia" w:hAnsi="Verdana"/>
              <w:noProof/>
              <w:sz w:val="20"/>
              <w:lang w:eastAsia="es-CR"/>
            </w:rPr>
          </w:pPr>
          <w:hyperlink w:anchor="_Toc505876995" w:history="1">
            <w:r w:rsidR="008F2A57" w:rsidRPr="000B3FD0">
              <w:rPr>
                <w:rStyle w:val="Hyperlink"/>
                <w:rFonts w:ascii="Verdana" w:hAnsi="Verdana"/>
                <w:i/>
                <w:smallCaps/>
                <w:noProof/>
                <w:sz w:val="20"/>
              </w:rPr>
              <w:t>B)</w:t>
            </w:r>
            <w:r w:rsidR="008F2A57" w:rsidRPr="000B3FD0">
              <w:rPr>
                <w:rFonts w:ascii="Verdana" w:eastAsiaTheme="minorEastAsia" w:hAnsi="Verdana"/>
                <w:noProof/>
                <w:sz w:val="20"/>
                <w:lang w:eastAsia="es-CR"/>
              </w:rPr>
              <w:tab/>
            </w:r>
            <w:r w:rsidR="008F2A57" w:rsidRPr="000B3FD0">
              <w:rPr>
                <w:rStyle w:val="Hyperlink"/>
                <w:rFonts w:ascii="Verdana" w:hAnsi="Verdana"/>
                <w:i/>
                <w:smallCaps/>
                <w:noProof/>
                <w:sz w:val="20"/>
              </w:rPr>
              <w:t>libertad de pensamiento y expresión</w:t>
            </w:r>
            <w:r w:rsidR="008F2A57" w:rsidRPr="000B3FD0">
              <w:rPr>
                <w:rFonts w:ascii="Verdana" w:hAnsi="Verdana"/>
                <w:noProof/>
                <w:webHidden/>
                <w:sz w:val="20"/>
              </w:rPr>
              <w:tab/>
            </w:r>
            <w:r w:rsidR="008F2A57" w:rsidRPr="000B3FD0">
              <w:rPr>
                <w:rFonts w:ascii="Verdana" w:hAnsi="Verdana"/>
                <w:noProof/>
                <w:webHidden/>
                <w:sz w:val="20"/>
              </w:rPr>
              <w:fldChar w:fldCharType="begin"/>
            </w:r>
            <w:r w:rsidR="008F2A57" w:rsidRPr="000B3FD0">
              <w:rPr>
                <w:rFonts w:ascii="Verdana" w:hAnsi="Verdana"/>
                <w:noProof/>
                <w:webHidden/>
                <w:sz w:val="20"/>
              </w:rPr>
              <w:instrText xml:space="preserve"> PAGEREF _Toc505876995 \h </w:instrText>
            </w:r>
            <w:r w:rsidR="008F2A57" w:rsidRPr="000B3FD0">
              <w:rPr>
                <w:rFonts w:ascii="Verdana" w:hAnsi="Verdana"/>
                <w:noProof/>
                <w:webHidden/>
                <w:sz w:val="20"/>
              </w:rPr>
            </w:r>
            <w:r w:rsidR="008F2A57" w:rsidRPr="000B3FD0">
              <w:rPr>
                <w:rFonts w:ascii="Verdana" w:hAnsi="Verdana"/>
                <w:noProof/>
                <w:webHidden/>
                <w:sz w:val="20"/>
              </w:rPr>
              <w:fldChar w:fldCharType="separate"/>
            </w:r>
            <w:r w:rsidR="003F7C8D">
              <w:rPr>
                <w:rFonts w:ascii="Verdana" w:hAnsi="Verdana"/>
                <w:noProof/>
                <w:webHidden/>
                <w:sz w:val="20"/>
              </w:rPr>
              <w:t>45</w:t>
            </w:r>
            <w:r w:rsidR="008F2A57" w:rsidRPr="000B3FD0">
              <w:rPr>
                <w:rFonts w:ascii="Verdana" w:hAnsi="Verdana"/>
                <w:noProof/>
                <w:webHidden/>
                <w:sz w:val="20"/>
              </w:rPr>
              <w:fldChar w:fldCharType="end"/>
            </w:r>
          </w:hyperlink>
        </w:p>
        <w:p w14:paraId="10E5F388" w14:textId="77777777" w:rsidR="008F2A57" w:rsidRPr="000B3FD0" w:rsidRDefault="00837BB9" w:rsidP="000B3FD0">
          <w:pPr>
            <w:pStyle w:val="TOC3"/>
            <w:tabs>
              <w:tab w:val="left" w:pos="1100"/>
              <w:tab w:val="right" w:leader="dot" w:pos="9356"/>
            </w:tabs>
            <w:spacing w:after="0" w:line="240" w:lineRule="auto"/>
            <w:ind w:left="442"/>
            <w:rPr>
              <w:rFonts w:ascii="Verdana" w:eastAsiaTheme="minorEastAsia" w:hAnsi="Verdana"/>
              <w:noProof/>
              <w:sz w:val="20"/>
              <w:lang w:eastAsia="es-CR"/>
            </w:rPr>
          </w:pPr>
          <w:hyperlink w:anchor="_Toc505876996" w:history="1">
            <w:r w:rsidR="008F2A57" w:rsidRPr="000B3FD0">
              <w:rPr>
                <w:rStyle w:val="Hyperlink"/>
                <w:rFonts w:ascii="Verdana" w:hAnsi="Verdana"/>
                <w:i/>
                <w:smallCaps/>
                <w:noProof/>
                <w:sz w:val="20"/>
              </w:rPr>
              <w:t>C)</w:t>
            </w:r>
            <w:r w:rsidR="008F2A57" w:rsidRPr="000B3FD0">
              <w:rPr>
                <w:rFonts w:ascii="Verdana" w:eastAsiaTheme="minorEastAsia" w:hAnsi="Verdana"/>
                <w:noProof/>
                <w:sz w:val="20"/>
                <w:lang w:eastAsia="es-CR"/>
              </w:rPr>
              <w:tab/>
            </w:r>
            <w:r w:rsidR="008F2A57" w:rsidRPr="000B3FD0">
              <w:rPr>
                <w:rStyle w:val="Hyperlink"/>
                <w:rFonts w:ascii="Verdana" w:hAnsi="Verdana"/>
                <w:i/>
                <w:smallCaps/>
                <w:noProof/>
                <w:sz w:val="20"/>
              </w:rPr>
              <w:t>Alegada violación del derecho a igual protección ante la ley</w:t>
            </w:r>
            <w:r w:rsidR="008F2A57" w:rsidRPr="000B3FD0">
              <w:rPr>
                <w:rFonts w:ascii="Verdana" w:hAnsi="Verdana"/>
                <w:noProof/>
                <w:webHidden/>
                <w:sz w:val="20"/>
              </w:rPr>
              <w:tab/>
            </w:r>
            <w:r w:rsidR="008F2A57" w:rsidRPr="000B3FD0">
              <w:rPr>
                <w:rFonts w:ascii="Verdana" w:hAnsi="Verdana"/>
                <w:noProof/>
                <w:webHidden/>
                <w:sz w:val="20"/>
              </w:rPr>
              <w:fldChar w:fldCharType="begin"/>
            </w:r>
            <w:r w:rsidR="008F2A57" w:rsidRPr="000B3FD0">
              <w:rPr>
                <w:rFonts w:ascii="Verdana" w:hAnsi="Verdana"/>
                <w:noProof/>
                <w:webHidden/>
                <w:sz w:val="20"/>
              </w:rPr>
              <w:instrText xml:space="preserve"> PAGEREF _Toc505876996 \h </w:instrText>
            </w:r>
            <w:r w:rsidR="008F2A57" w:rsidRPr="000B3FD0">
              <w:rPr>
                <w:rFonts w:ascii="Verdana" w:hAnsi="Verdana"/>
                <w:noProof/>
                <w:webHidden/>
                <w:sz w:val="20"/>
              </w:rPr>
            </w:r>
            <w:r w:rsidR="008F2A57" w:rsidRPr="000B3FD0">
              <w:rPr>
                <w:rFonts w:ascii="Verdana" w:hAnsi="Verdana"/>
                <w:noProof/>
                <w:webHidden/>
                <w:sz w:val="20"/>
              </w:rPr>
              <w:fldChar w:fldCharType="separate"/>
            </w:r>
            <w:r w:rsidR="003F7C8D">
              <w:rPr>
                <w:rFonts w:ascii="Verdana" w:hAnsi="Verdana"/>
                <w:noProof/>
                <w:webHidden/>
                <w:sz w:val="20"/>
              </w:rPr>
              <w:t>47</w:t>
            </w:r>
            <w:r w:rsidR="008F2A57" w:rsidRPr="000B3FD0">
              <w:rPr>
                <w:rFonts w:ascii="Verdana" w:hAnsi="Verdana"/>
                <w:noProof/>
                <w:webHidden/>
                <w:sz w:val="20"/>
              </w:rPr>
              <w:fldChar w:fldCharType="end"/>
            </w:r>
          </w:hyperlink>
        </w:p>
        <w:p w14:paraId="60BC580F" w14:textId="77777777" w:rsidR="008F2A57" w:rsidRPr="000B3FD0" w:rsidRDefault="00837BB9" w:rsidP="000B3FD0">
          <w:pPr>
            <w:pStyle w:val="TOC3"/>
            <w:tabs>
              <w:tab w:val="left" w:pos="1100"/>
              <w:tab w:val="right" w:leader="dot" w:pos="9356"/>
            </w:tabs>
            <w:spacing w:after="0" w:line="240" w:lineRule="auto"/>
            <w:ind w:left="442"/>
            <w:rPr>
              <w:rFonts w:ascii="Verdana" w:eastAsiaTheme="minorEastAsia" w:hAnsi="Verdana"/>
              <w:noProof/>
              <w:sz w:val="20"/>
              <w:lang w:eastAsia="es-CR"/>
            </w:rPr>
          </w:pPr>
          <w:hyperlink w:anchor="_Toc505876997" w:history="1">
            <w:r w:rsidR="008F2A57" w:rsidRPr="000B3FD0">
              <w:rPr>
                <w:rStyle w:val="Hyperlink"/>
                <w:rFonts w:ascii="Verdana" w:hAnsi="Verdana"/>
                <w:i/>
                <w:smallCaps/>
                <w:noProof/>
                <w:sz w:val="20"/>
              </w:rPr>
              <w:t>D)</w:t>
            </w:r>
            <w:r w:rsidR="008F2A57" w:rsidRPr="000B3FD0">
              <w:rPr>
                <w:rFonts w:ascii="Verdana" w:eastAsiaTheme="minorEastAsia" w:hAnsi="Verdana"/>
                <w:noProof/>
                <w:sz w:val="20"/>
                <w:lang w:eastAsia="es-CR"/>
              </w:rPr>
              <w:tab/>
            </w:r>
            <w:r w:rsidR="008F2A57" w:rsidRPr="000B3FD0">
              <w:rPr>
                <w:rStyle w:val="Hyperlink"/>
                <w:rFonts w:ascii="Verdana" w:hAnsi="Verdana"/>
                <w:i/>
                <w:smallCaps/>
                <w:noProof/>
                <w:sz w:val="20"/>
              </w:rPr>
              <w:t>Alegado incumplimiento del deber de adoptar disposiciones de derecho interno.</w:t>
            </w:r>
            <w:r w:rsidR="008F2A57" w:rsidRPr="000B3FD0">
              <w:rPr>
                <w:rFonts w:ascii="Verdana" w:hAnsi="Verdana"/>
                <w:noProof/>
                <w:webHidden/>
                <w:sz w:val="20"/>
              </w:rPr>
              <w:tab/>
            </w:r>
            <w:r w:rsidR="008F2A57" w:rsidRPr="000B3FD0">
              <w:rPr>
                <w:rFonts w:ascii="Verdana" w:hAnsi="Verdana"/>
                <w:noProof/>
                <w:webHidden/>
                <w:sz w:val="20"/>
              </w:rPr>
              <w:fldChar w:fldCharType="begin"/>
            </w:r>
            <w:r w:rsidR="008F2A57" w:rsidRPr="000B3FD0">
              <w:rPr>
                <w:rFonts w:ascii="Verdana" w:hAnsi="Verdana"/>
                <w:noProof/>
                <w:webHidden/>
                <w:sz w:val="20"/>
              </w:rPr>
              <w:instrText xml:space="preserve"> PAGEREF _Toc505876997 \h </w:instrText>
            </w:r>
            <w:r w:rsidR="008F2A57" w:rsidRPr="000B3FD0">
              <w:rPr>
                <w:rFonts w:ascii="Verdana" w:hAnsi="Verdana"/>
                <w:noProof/>
                <w:webHidden/>
                <w:sz w:val="20"/>
              </w:rPr>
            </w:r>
            <w:r w:rsidR="008F2A57" w:rsidRPr="000B3FD0">
              <w:rPr>
                <w:rFonts w:ascii="Verdana" w:hAnsi="Verdana"/>
                <w:noProof/>
                <w:webHidden/>
                <w:sz w:val="20"/>
              </w:rPr>
              <w:fldChar w:fldCharType="separate"/>
            </w:r>
            <w:r w:rsidR="003F7C8D">
              <w:rPr>
                <w:rFonts w:ascii="Verdana" w:hAnsi="Verdana"/>
                <w:noProof/>
                <w:webHidden/>
                <w:sz w:val="20"/>
              </w:rPr>
              <w:t>48</w:t>
            </w:r>
            <w:r w:rsidR="008F2A57" w:rsidRPr="000B3FD0">
              <w:rPr>
                <w:rFonts w:ascii="Verdana" w:hAnsi="Verdana"/>
                <w:noProof/>
                <w:webHidden/>
                <w:sz w:val="20"/>
              </w:rPr>
              <w:fldChar w:fldCharType="end"/>
            </w:r>
          </w:hyperlink>
        </w:p>
        <w:p w14:paraId="348B255F" w14:textId="77777777" w:rsidR="008F2A57" w:rsidRPr="000B3FD0" w:rsidRDefault="00837BB9" w:rsidP="000B3FD0">
          <w:pPr>
            <w:pStyle w:val="TOC3"/>
            <w:tabs>
              <w:tab w:val="left" w:pos="1100"/>
              <w:tab w:val="right" w:leader="dot" w:pos="9356"/>
            </w:tabs>
            <w:spacing w:after="0" w:line="240" w:lineRule="auto"/>
            <w:ind w:left="442"/>
            <w:rPr>
              <w:rFonts w:ascii="Verdana" w:eastAsiaTheme="minorEastAsia" w:hAnsi="Verdana"/>
              <w:noProof/>
              <w:sz w:val="20"/>
              <w:lang w:eastAsia="es-CR"/>
            </w:rPr>
          </w:pPr>
          <w:hyperlink w:anchor="_Toc505876998" w:history="1">
            <w:r w:rsidR="008F2A57" w:rsidRPr="000B3FD0">
              <w:rPr>
                <w:rStyle w:val="Hyperlink"/>
                <w:rFonts w:ascii="Verdana" w:hAnsi="Verdana"/>
                <w:i/>
                <w:smallCaps/>
                <w:noProof/>
                <w:sz w:val="20"/>
              </w:rPr>
              <w:t>E)</w:t>
            </w:r>
            <w:r w:rsidR="008F2A57" w:rsidRPr="000B3FD0">
              <w:rPr>
                <w:rFonts w:ascii="Verdana" w:eastAsiaTheme="minorEastAsia" w:hAnsi="Verdana"/>
                <w:noProof/>
                <w:sz w:val="20"/>
                <w:lang w:eastAsia="es-CR"/>
              </w:rPr>
              <w:tab/>
            </w:r>
            <w:r w:rsidR="008F2A57" w:rsidRPr="000B3FD0">
              <w:rPr>
                <w:rStyle w:val="Hyperlink"/>
                <w:rFonts w:ascii="Verdana" w:hAnsi="Verdana"/>
                <w:i/>
                <w:smallCaps/>
                <w:noProof/>
                <w:sz w:val="20"/>
              </w:rPr>
              <w:t>Alegada violación del derecho a la integridad personal.</w:t>
            </w:r>
            <w:r w:rsidR="008F2A57" w:rsidRPr="000B3FD0">
              <w:rPr>
                <w:rFonts w:ascii="Verdana" w:hAnsi="Verdana"/>
                <w:noProof/>
                <w:webHidden/>
                <w:sz w:val="20"/>
              </w:rPr>
              <w:tab/>
            </w:r>
            <w:r w:rsidR="008F2A57" w:rsidRPr="000B3FD0">
              <w:rPr>
                <w:rFonts w:ascii="Verdana" w:hAnsi="Verdana"/>
                <w:noProof/>
                <w:webHidden/>
                <w:sz w:val="20"/>
              </w:rPr>
              <w:fldChar w:fldCharType="begin"/>
            </w:r>
            <w:r w:rsidR="008F2A57" w:rsidRPr="000B3FD0">
              <w:rPr>
                <w:rFonts w:ascii="Verdana" w:hAnsi="Verdana"/>
                <w:noProof/>
                <w:webHidden/>
                <w:sz w:val="20"/>
              </w:rPr>
              <w:instrText xml:space="preserve"> PAGEREF _Toc505876998 \h </w:instrText>
            </w:r>
            <w:r w:rsidR="008F2A57" w:rsidRPr="000B3FD0">
              <w:rPr>
                <w:rFonts w:ascii="Verdana" w:hAnsi="Verdana"/>
                <w:noProof/>
                <w:webHidden/>
                <w:sz w:val="20"/>
              </w:rPr>
            </w:r>
            <w:r w:rsidR="008F2A57" w:rsidRPr="000B3FD0">
              <w:rPr>
                <w:rFonts w:ascii="Verdana" w:hAnsi="Verdana"/>
                <w:noProof/>
                <w:webHidden/>
                <w:sz w:val="20"/>
              </w:rPr>
              <w:fldChar w:fldCharType="separate"/>
            </w:r>
            <w:r w:rsidR="003F7C8D">
              <w:rPr>
                <w:rFonts w:ascii="Verdana" w:hAnsi="Verdana"/>
                <w:noProof/>
                <w:webHidden/>
                <w:sz w:val="20"/>
              </w:rPr>
              <w:t>48</w:t>
            </w:r>
            <w:r w:rsidR="008F2A57" w:rsidRPr="000B3FD0">
              <w:rPr>
                <w:rFonts w:ascii="Verdana" w:hAnsi="Verdana"/>
                <w:noProof/>
                <w:webHidden/>
                <w:sz w:val="20"/>
              </w:rPr>
              <w:fldChar w:fldCharType="end"/>
            </w:r>
          </w:hyperlink>
        </w:p>
        <w:p w14:paraId="1B566A77" w14:textId="77777777" w:rsidR="008F2A57" w:rsidRDefault="008F2A57">
          <w:pPr>
            <w:pStyle w:val="TOC1"/>
            <w:rPr>
              <w:rStyle w:val="Hyperlink"/>
            </w:rPr>
          </w:pPr>
        </w:p>
        <w:p w14:paraId="592572E5" w14:textId="77777777" w:rsidR="008F2A57" w:rsidRDefault="00837BB9" w:rsidP="008F2A57">
          <w:pPr>
            <w:pStyle w:val="TOC1"/>
            <w:ind w:left="284"/>
            <w:rPr>
              <w:rFonts w:asciiTheme="minorHAnsi" w:eastAsiaTheme="minorEastAsia" w:hAnsiTheme="minorHAnsi"/>
              <w:sz w:val="22"/>
              <w:lang w:eastAsia="es-CR"/>
            </w:rPr>
          </w:pPr>
          <w:hyperlink w:anchor="_Toc505876999" w:history="1">
            <w:r w:rsidR="008F2A57" w:rsidRPr="009D6029">
              <w:rPr>
                <w:rStyle w:val="Hyperlink"/>
                <w:rFonts w:cs="Verdana"/>
                <w:caps/>
                <w:snapToGrid w:val="0"/>
                <w:lang w:eastAsia="es-ES"/>
              </w:rPr>
              <w:t>ViI.2 derecho a las garantías judiciales y Protección judicial</w:t>
            </w:r>
            <w:r w:rsidR="008F2A57">
              <w:rPr>
                <w:webHidden/>
              </w:rPr>
              <w:tab/>
            </w:r>
            <w:r w:rsidR="008F2A57">
              <w:rPr>
                <w:webHidden/>
              </w:rPr>
              <w:fldChar w:fldCharType="begin"/>
            </w:r>
            <w:r w:rsidR="008F2A57">
              <w:rPr>
                <w:webHidden/>
              </w:rPr>
              <w:instrText xml:space="preserve"> PAGEREF _Toc505876999 \h </w:instrText>
            </w:r>
            <w:r w:rsidR="008F2A57">
              <w:rPr>
                <w:webHidden/>
              </w:rPr>
            </w:r>
            <w:r w:rsidR="008F2A57">
              <w:rPr>
                <w:webHidden/>
              </w:rPr>
              <w:fldChar w:fldCharType="separate"/>
            </w:r>
            <w:r w:rsidR="003F7C8D">
              <w:rPr>
                <w:webHidden/>
              </w:rPr>
              <w:t>50</w:t>
            </w:r>
            <w:r w:rsidR="008F2A57">
              <w:rPr>
                <w:webHidden/>
              </w:rPr>
              <w:fldChar w:fldCharType="end"/>
            </w:r>
          </w:hyperlink>
        </w:p>
        <w:p w14:paraId="0CB59CAD" w14:textId="77777777" w:rsidR="008F2A57" w:rsidRPr="008F2A57" w:rsidRDefault="00837BB9" w:rsidP="000B3FD0">
          <w:pPr>
            <w:pStyle w:val="TOC3"/>
            <w:tabs>
              <w:tab w:val="left" w:pos="1100"/>
              <w:tab w:val="right" w:leader="dot" w:pos="9356"/>
            </w:tabs>
            <w:spacing w:after="0" w:line="240" w:lineRule="auto"/>
            <w:ind w:left="442"/>
            <w:rPr>
              <w:rFonts w:ascii="Verdana" w:eastAsiaTheme="minorEastAsia" w:hAnsi="Verdana"/>
              <w:noProof/>
              <w:sz w:val="18"/>
              <w:lang w:eastAsia="es-CR"/>
            </w:rPr>
          </w:pPr>
          <w:hyperlink w:anchor="_Toc505877000" w:history="1">
            <w:r w:rsidR="008F2A57" w:rsidRPr="008F2A57">
              <w:rPr>
                <w:rStyle w:val="Hyperlink"/>
                <w:rFonts w:ascii="Verdana" w:hAnsi="Verdana"/>
                <w:i/>
                <w:noProof/>
                <w:sz w:val="18"/>
              </w:rPr>
              <w:t>A)</w:t>
            </w:r>
            <w:r w:rsidR="008F2A57" w:rsidRPr="008F2A57">
              <w:rPr>
                <w:rFonts w:ascii="Verdana" w:eastAsiaTheme="minorEastAsia" w:hAnsi="Verdana"/>
                <w:noProof/>
                <w:sz w:val="18"/>
                <w:lang w:eastAsia="es-CR"/>
              </w:rPr>
              <w:tab/>
            </w:r>
            <w:r w:rsidR="008F2A57" w:rsidRPr="008F2A57">
              <w:rPr>
                <w:rStyle w:val="Hyperlink"/>
                <w:rFonts w:ascii="Verdana" w:hAnsi="Verdana"/>
                <w:i/>
                <w:noProof/>
                <w:sz w:val="18"/>
              </w:rPr>
              <w:t>Acción de amparo constitucional</w:t>
            </w:r>
            <w:r w:rsidR="008F2A57" w:rsidRPr="008F2A57">
              <w:rPr>
                <w:rFonts w:ascii="Verdana" w:hAnsi="Verdana"/>
                <w:noProof/>
                <w:webHidden/>
                <w:sz w:val="18"/>
              </w:rPr>
              <w:tab/>
            </w:r>
            <w:r w:rsidR="008F2A57" w:rsidRPr="008F2A57">
              <w:rPr>
                <w:rFonts w:ascii="Verdana" w:hAnsi="Verdana"/>
                <w:noProof/>
                <w:webHidden/>
                <w:sz w:val="18"/>
              </w:rPr>
              <w:fldChar w:fldCharType="begin"/>
            </w:r>
            <w:r w:rsidR="008F2A57" w:rsidRPr="008F2A57">
              <w:rPr>
                <w:rFonts w:ascii="Verdana" w:hAnsi="Verdana"/>
                <w:noProof/>
                <w:webHidden/>
                <w:sz w:val="18"/>
              </w:rPr>
              <w:instrText xml:space="preserve"> PAGEREF _Toc505877000 \h </w:instrText>
            </w:r>
            <w:r w:rsidR="008F2A57" w:rsidRPr="008F2A57">
              <w:rPr>
                <w:rFonts w:ascii="Verdana" w:hAnsi="Verdana"/>
                <w:noProof/>
                <w:webHidden/>
                <w:sz w:val="18"/>
              </w:rPr>
            </w:r>
            <w:r w:rsidR="008F2A57" w:rsidRPr="008F2A57">
              <w:rPr>
                <w:rFonts w:ascii="Verdana" w:hAnsi="Verdana"/>
                <w:noProof/>
                <w:webHidden/>
                <w:sz w:val="18"/>
              </w:rPr>
              <w:fldChar w:fldCharType="separate"/>
            </w:r>
            <w:r w:rsidR="003F7C8D">
              <w:rPr>
                <w:rFonts w:ascii="Verdana" w:hAnsi="Verdana"/>
                <w:noProof/>
                <w:webHidden/>
                <w:sz w:val="18"/>
              </w:rPr>
              <w:t>52</w:t>
            </w:r>
            <w:r w:rsidR="008F2A57" w:rsidRPr="008F2A57">
              <w:rPr>
                <w:rFonts w:ascii="Verdana" w:hAnsi="Verdana"/>
                <w:noProof/>
                <w:webHidden/>
                <w:sz w:val="18"/>
              </w:rPr>
              <w:fldChar w:fldCharType="end"/>
            </w:r>
          </w:hyperlink>
        </w:p>
        <w:p w14:paraId="2E485863" w14:textId="77777777" w:rsidR="008F2A57" w:rsidRPr="008F2A57" w:rsidRDefault="00837BB9" w:rsidP="000B3FD0">
          <w:pPr>
            <w:pStyle w:val="TOC3"/>
            <w:tabs>
              <w:tab w:val="left" w:pos="1100"/>
              <w:tab w:val="right" w:leader="dot" w:pos="9356"/>
            </w:tabs>
            <w:spacing w:after="0" w:line="240" w:lineRule="auto"/>
            <w:ind w:left="442"/>
            <w:rPr>
              <w:rFonts w:ascii="Verdana" w:eastAsiaTheme="minorEastAsia" w:hAnsi="Verdana"/>
              <w:noProof/>
              <w:sz w:val="18"/>
              <w:lang w:eastAsia="es-CR"/>
            </w:rPr>
          </w:pPr>
          <w:hyperlink w:anchor="_Toc505877001" w:history="1">
            <w:r w:rsidR="008F2A57" w:rsidRPr="008F2A57">
              <w:rPr>
                <w:rStyle w:val="Hyperlink"/>
                <w:rFonts w:ascii="Verdana" w:hAnsi="Verdana"/>
                <w:i/>
                <w:noProof/>
                <w:sz w:val="18"/>
              </w:rPr>
              <w:t>B)</w:t>
            </w:r>
            <w:r w:rsidR="008F2A57" w:rsidRPr="008F2A57">
              <w:rPr>
                <w:rFonts w:ascii="Verdana" w:eastAsiaTheme="minorEastAsia" w:hAnsi="Verdana"/>
                <w:noProof/>
                <w:sz w:val="18"/>
                <w:lang w:eastAsia="es-CR"/>
              </w:rPr>
              <w:tab/>
            </w:r>
            <w:r w:rsidR="008F2A57" w:rsidRPr="008F2A57">
              <w:rPr>
                <w:rStyle w:val="Hyperlink"/>
                <w:rFonts w:ascii="Verdana" w:hAnsi="Verdana"/>
                <w:i/>
                <w:noProof/>
                <w:sz w:val="18"/>
              </w:rPr>
              <w:t>Denuncia ante el Ministerio Público</w:t>
            </w:r>
            <w:r w:rsidR="008F2A57" w:rsidRPr="008F2A57">
              <w:rPr>
                <w:rFonts w:ascii="Verdana" w:hAnsi="Verdana"/>
                <w:noProof/>
                <w:webHidden/>
                <w:sz w:val="18"/>
              </w:rPr>
              <w:tab/>
            </w:r>
            <w:r w:rsidR="008F2A57" w:rsidRPr="008F2A57">
              <w:rPr>
                <w:rFonts w:ascii="Verdana" w:hAnsi="Verdana"/>
                <w:noProof/>
                <w:webHidden/>
                <w:sz w:val="18"/>
              </w:rPr>
              <w:fldChar w:fldCharType="begin"/>
            </w:r>
            <w:r w:rsidR="008F2A57" w:rsidRPr="008F2A57">
              <w:rPr>
                <w:rFonts w:ascii="Verdana" w:hAnsi="Verdana"/>
                <w:noProof/>
                <w:webHidden/>
                <w:sz w:val="18"/>
              </w:rPr>
              <w:instrText xml:space="preserve"> PAGEREF _Toc505877001 \h </w:instrText>
            </w:r>
            <w:r w:rsidR="008F2A57" w:rsidRPr="008F2A57">
              <w:rPr>
                <w:rFonts w:ascii="Verdana" w:hAnsi="Verdana"/>
                <w:noProof/>
                <w:webHidden/>
                <w:sz w:val="18"/>
              </w:rPr>
            </w:r>
            <w:r w:rsidR="008F2A57" w:rsidRPr="008F2A57">
              <w:rPr>
                <w:rFonts w:ascii="Verdana" w:hAnsi="Verdana"/>
                <w:noProof/>
                <w:webHidden/>
                <w:sz w:val="18"/>
              </w:rPr>
              <w:fldChar w:fldCharType="separate"/>
            </w:r>
            <w:r w:rsidR="003F7C8D">
              <w:rPr>
                <w:rFonts w:ascii="Verdana" w:hAnsi="Verdana"/>
                <w:noProof/>
                <w:webHidden/>
                <w:sz w:val="18"/>
              </w:rPr>
              <w:t>57</w:t>
            </w:r>
            <w:r w:rsidR="008F2A57" w:rsidRPr="008F2A57">
              <w:rPr>
                <w:rFonts w:ascii="Verdana" w:hAnsi="Verdana"/>
                <w:noProof/>
                <w:webHidden/>
                <w:sz w:val="18"/>
              </w:rPr>
              <w:fldChar w:fldCharType="end"/>
            </w:r>
          </w:hyperlink>
        </w:p>
        <w:p w14:paraId="2873A901" w14:textId="77777777" w:rsidR="008F2A57" w:rsidRPr="008F2A57" w:rsidRDefault="00837BB9" w:rsidP="000B3FD0">
          <w:pPr>
            <w:pStyle w:val="TOC3"/>
            <w:tabs>
              <w:tab w:val="left" w:pos="1100"/>
              <w:tab w:val="right" w:leader="dot" w:pos="9356"/>
            </w:tabs>
            <w:spacing w:after="0" w:line="240" w:lineRule="auto"/>
            <w:ind w:left="442"/>
            <w:rPr>
              <w:rFonts w:ascii="Verdana" w:eastAsiaTheme="minorEastAsia" w:hAnsi="Verdana"/>
              <w:noProof/>
              <w:sz w:val="18"/>
              <w:lang w:eastAsia="es-CR"/>
            </w:rPr>
          </w:pPr>
          <w:hyperlink w:anchor="_Toc505877002" w:history="1">
            <w:r w:rsidR="008F2A57" w:rsidRPr="008F2A57">
              <w:rPr>
                <w:rStyle w:val="Hyperlink"/>
                <w:rFonts w:ascii="Verdana" w:hAnsi="Verdana"/>
                <w:i/>
                <w:noProof/>
                <w:sz w:val="18"/>
              </w:rPr>
              <w:t>C)</w:t>
            </w:r>
            <w:r w:rsidR="008F2A57" w:rsidRPr="008F2A57">
              <w:rPr>
                <w:rFonts w:ascii="Verdana" w:eastAsiaTheme="minorEastAsia" w:hAnsi="Verdana"/>
                <w:noProof/>
                <w:sz w:val="18"/>
                <w:lang w:eastAsia="es-CR"/>
              </w:rPr>
              <w:tab/>
            </w:r>
            <w:r w:rsidR="008F2A57" w:rsidRPr="008F2A57">
              <w:rPr>
                <w:rStyle w:val="Hyperlink"/>
                <w:rFonts w:ascii="Verdana" w:hAnsi="Verdana"/>
                <w:i/>
                <w:noProof/>
                <w:sz w:val="18"/>
              </w:rPr>
              <w:t>Alegada falta de independencia del Poder Judicial</w:t>
            </w:r>
            <w:r w:rsidR="008F2A57" w:rsidRPr="008F2A57">
              <w:rPr>
                <w:rFonts w:ascii="Verdana" w:hAnsi="Verdana"/>
                <w:noProof/>
                <w:webHidden/>
                <w:sz w:val="18"/>
              </w:rPr>
              <w:tab/>
            </w:r>
            <w:r w:rsidR="008F2A57" w:rsidRPr="008F2A57">
              <w:rPr>
                <w:rFonts w:ascii="Verdana" w:hAnsi="Verdana"/>
                <w:noProof/>
                <w:webHidden/>
                <w:sz w:val="18"/>
              </w:rPr>
              <w:fldChar w:fldCharType="begin"/>
            </w:r>
            <w:r w:rsidR="008F2A57" w:rsidRPr="008F2A57">
              <w:rPr>
                <w:rFonts w:ascii="Verdana" w:hAnsi="Verdana"/>
                <w:noProof/>
                <w:webHidden/>
                <w:sz w:val="18"/>
              </w:rPr>
              <w:instrText xml:space="preserve"> PAGEREF _Toc505877002 \h </w:instrText>
            </w:r>
            <w:r w:rsidR="008F2A57" w:rsidRPr="008F2A57">
              <w:rPr>
                <w:rFonts w:ascii="Verdana" w:hAnsi="Verdana"/>
                <w:noProof/>
                <w:webHidden/>
                <w:sz w:val="18"/>
              </w:rPr>
            </w:r>
            <w:r w:rsidR="008F2A57" w:rsidRPr="008F2A57">
              <w:rPr>
                <w:rFonts w:ascii="Verdana" w:hAnsi="Verdana"/>
                <w:noProof/>
                <w:webHidden/>
                <w:sz w:val="18"/>
              </w:rPr>
              <w:fldChar w:fldCharType="separate"/>
            </w:r>
            <w:r w:rsidR="003F7C8D">
              <w:rPr>
                <w:rFonts w:ascii="Verdana" w:hAnsi="Verdana"/>
                <w:noProof/>
                <w:webHidden/>
                <w:sz w:val="18"/>
              </w:rPr>
              <w:t>58</w:t>
            </w:r>
            <w:r w:rsidR="008F2A57" w:rsidRPr="008F2A57">
              <w:rPr>
                <w:rFonts w:ascii="Verdana" w:hAnsi="Verdana"/>
                <w:noProof/>
                <w:webHidden/>
                <w:sz w:val="18"/>
              </w:rPr>
              <w:fldChar w:fldCharType="end"/>
            </w:r>
          </w:hyperlink>
        </w:p>
        <w:p w14:paraId="39DF08DC" w14:textId="77777777" w:rsidR="008F2A57" w:rsidRDefault="008F2A57">
          <w:pPr>
            <w:pStyle w:val="TOC1"/>
            <w:rPr>
              <w:rStyle w:val="Hyperlink"/>
            </w:rPr>
          </w:pPr>
        </w:p>
        <w:p w14:paraId="7827596F" w14:textId="77777777" w:rsidR="008F2A57" w:rsidRDefault="00837BB9" w:rsidP="008F2A57">
          <w:pPr>
            <w:pStyle w:val="TOC1"/>
            <w:ind w:left="284"/>
            <w:rPr>
              <w:rFonts w:asciiTheme="minorHAnsi" w:eastAsiaTheme="minorEastAsia" w:hAnsiTheme="minorHAnsi"/>
              <w:sz w:val="22"/>
              <w:lang w:eastAsia="es-CR"/>
            </w:rPr>
          </w:pPr>
          <w:hyperlink w:anchor="_Toc505877003" w:history="1">
            <w:r w:rsidR="008F2A57" w:rsidRPr="009D6029">
              <w:rPr>
                <w:rStyle w:val="Hyperlink"/>
                <w:rFonts w:cs="Verdana"/>
                <w:caps/>
                <w:snapToGrid w:val="0"/>
                <w:lang w:eastAsia="es-ES"/>
              </w:rPr>
              <w:t>VII.3  DERECHO AL TRABAJO</w:t>
            </w:r>
            <w:r w:rsidR="008F2A57">
              <w:rPr>
                <w:webHidden/>
              </w:rPr>
              <w:tab/>
            </w:r>
            <w:r w:rsidR="008F2A57">
              <w:rPr>
                <w:webHidden/>
              </w:rPr>
              <w:fldChar w:fldCharType="begin"/>
            </w:r>
            <w:r w:rsidR="008F2A57">
              <w:rPr>
                <w:webHidden/>
              </w:rPr>
              <w:instrText xml:space="preserve"> PAGEREF _Toc505877003 \h </w:instrText>
            </w:r>
            <w:r w:rsidR="008F2A57">
              <w:rPr>
                <w:webHidden/>
              </w:rPr>
            </w:r>
            <w:r w:rsidR="008F2A57">
              <w:rPr>
                <w:webHidden/>
              </w:rPr>
              <w:fldChar w:fldCharType="separate"/>
            </w:r>
            <w:r w:rsidR="003F7C8D">
              <w:rPr>
                <w:webHidden/>
              </w:rPr>
              <w:t>60</w:t>
            </w:r>
            <w:r w:rsidR="008F2A57">
              <w:rPr>
                <w:webHidden/>
              </w:rPr>
              <w:fldChar w:fldCharType="end"/>
            </w:r>
          </w:hyperlink>
        </w:p>
        <w:p w14:paraId="12E1A9FC" w14:textId="77777777" w:rsidR="008F2A57" w:rsidRDefault="008F2A57">
          <w:pPr>
            <w:pStyle w:val="TOC1"/>
            <w:rPr>
              <w:rStyle w:val="Hyperlink"/>
            </w:rPr>
          </w:pPr>
        </w:p>
        <w:p w14:paraId="189F01DF" w14:textId="77777777" w:rsidR="008F2A57" w:rsidRDefault="00837BB9">
          <w:pPr>
            <w:pStyle w:val="TOC1"/>
            <w:rPr>
              <w:rFonts w:asciiTheme="minorHAnsi" w:eastAsiaTheme="minorEastAsia" w:hAnsiTheme="minorHAnsi"/>
              <w:sz w:val="22"/>
              <w:lang w:eastAsia="es-CR"/>
            </w:rPr>
          </w:pPr>
          <w:hyperlink w:anchor="_Toc505877004" w:history="1">
            <w:r w:rsidR="008F2A57" w:rsidRPr="009D6029">
              <w:rPr>
                <w:rStyle w:val="Hyperlink"/>
                <w:rFonts w:cs="Verdana"/>
                <w:caps/>
                <w:snapToGrid w:val="0"/>
                <w:lang w:eastAsia="es-ES"/>
              </w:rPr>
              <w:t>VIII REPARACIONES</w:t>
            </w:r>
            <w:r w:rsidR="008F2A57">
              <w:rPr>
                <w:webHidden/>
              </w:rPr>
              <w:tab/>
            </w:r>
            <w:r w:rsidR="008F2A57">
              <w:rPr>
                <w:webHidden/>
              </w:rPr>
              <w:fldChar w:fldCharType="begin"/>
            </w:r>
            <w:r w:rsidR="008F2A57">
              <w:rPr>
                <w:webHidden/>
              </w:rPr>
              <w:instrText xml:space="preserve"> PAGEREF _Toc505877004 \h </w:instrText>
            </w:r>
            <w:r w:rsidR="008F2A57">
              <w:rPr>
                <w:webHidden/>
              </w:rPr>
            </w:r>
            <w:r w:rsidR="008F2A57">
              <w:rPr>
                <w:webHidden/>
              </w:rPr>
              <w:fldChar w:fldCharType="separate"/>
            </w:r>
            <w:r w:rsidR="003F7C8D">
              <w:rPr>
                <w:webHidden/>
              </w:rPr>
              <w:t>65</w:t>
            </w:r>
            <w:r w:rsidR="008F2A57">
              <w:rPr>
                <w:webHidden/>
              </w:rPr>
              <w:fldChar w:fldCharType="end"/>
            </w:r>
          </w:hyperlink>
        </w:p>
        <w:p w14:paraId="271775F2"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05" w:history="1">
            <w:r w:rsidR="008F2A57" w:rsidRPr="008B522D">
              <w:rPr>
                <w:rStyle w:val="Hyperlink"/>
                <w:sz w:val="18"/>
                <w:lang w:val="es-CR"/>
              </w:rPr>
              <w:t>A.</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Parte lesionada</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_Toc505877005 \h </w:instrText>
            </w:r>
            <w:r w:rsidR="008F2A57" w:rsidRPr="008B522D">
              <w:rPr>
                <w:webHidden/>
                <w:sz w:val="18"/>
              </w:rPr>
            </w:r>
            <w:r w:rsidR="008F2A57" w:rsidRPr="008B522D">
              <w:rPr>
                <w:webHidden/>
                <w:sz w:val="18"/>
              </w:rPr>
              <w:fldChar w:fldCharType="separate"/>
            </w:r>
            <w:r w:rsidR="003F7C8D">
              <w:rPr>
                <w:webHidden/>
                <w:sz w:val="18"/>
              </w:rPr>
              <w:t>65</w:t>
            </w:r>
            <w:r w:rsidR="008F2A57" w:rsidRPr="008B522D">
              <w:rPr>
                <w:webHidden/>
                <w:sz w:val="18"/>
              </w:rPr>
              <w:fldChar w:fldCharType="end"/>
            </w:r>
          </w:hyperlink>
        </w:p>
        <w:p w14:paraId="4A1485A7"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06" w:history="1">
            <w:r w:rsidR="008F2A57" w:rsidRPr="008B522D">
              <w:rPr>
                <w:rStyle w:val="Hyperlink"/>
                <w:sz w:val="18"/>
                <w:lang w:val="es-CR"/>
              </w:rPr>
              <w:t>B.</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Obligación de investigar</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_Toc505877006 \h </w:instrText>
            </w:r>
            <w:r w:rsidR="008F2A57" w:rsidRPr="008B522D">
              <w:rPr>
                <w:webHidden/>
                <w:sz w:val="18"/>
              </w:rPr>
            </w:r>
            <w:r w:rsidR="008F2A57" w:rsidRPr="008B522D">
              <w:rPr>
                <w:webHidden/>
                <w:sz w:val="18"/>
              </w:rPr>
              <w:fldChar w:fldCharType="separate"/>
            </w:r>
            <w:r w:rsidR="003F7C8D">
              <w:rPr>
                <w:webHidden/>
                <w:sz w:val="18"/>
              </w:rPr>
              <w:t>66</w:t>
            </w:r>
            <w:r w:rsidR="008F2A57" w:rsidRPr="008B522D">
              <w:rPr>
                <w:webHidden/>
                <w:sz w:val="18"/>
              </w:rPr>
              <w:fldChar w:fldCharType="end"/>
            </w:r>
          </w:hyperlink>
        </w:p>
        <w:p w14:paraId="10582F1D"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07" w:history="1">
            <w:r w:rsidR="008F2A57" w:rsidRPr="008B522D">
              <w:rPr>
                <w:rStyle w:val="Hyperlink"/>
                <w:rFonts w:eastAsia="Calibri"/>
                <w:sz w:val="18"/>
                <w:lang w:val="es-CR"/>
              </w:rPr>
              <w:t>C.</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Medida de satisfacción</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_Toc505877007 \h </w:instrText>
            </w:r>
            <w:r w:rsidR="008F2A57" w:rsidRPr="008B522D">
              <w:rPr>
                <w:webHidden/>
                <w:sz w:val="18"/>
              </w:rPr>
            </w:r>
            <w:r w:rsidR="008F2A57" w:rsidRPr="008B522D">
              <w:rPr>
                <w:webHidden/>
                <w:sz w:val="18"/>
              </w:rPr>
              <w:fldChar w:fldCharType="separate"/>
            </w:r>
            <w:r w:rsidR="003F7C8D">
              <w:rPr>
                <w:webHidden/>
                <w:sz w:val="18"/>
              </w:rPr>
              <w:t>67</w:t>
            </w:r>
            <w:r w:rsidR="008F2A57" w:rsidRPr="008B522D">
              <w:rPr>
                <w:webHidden/>
                <w:sz w:val="18"/>
              </w:rPr>
              <w:fldChar w:fldCharType="end"/>
            </w:r>
          </w:hyperlink>
        </w:p>
        <w:p w14:paraId="22141E0A"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08" w:history="1">
            <w:r w:rsidR="008F2A57" w:rsidRPr="008B522D">
              <w:rPr>
                <w:rStyle w:val="Hyperlink"/>
                <w:sz w:val="18"/>
                <w:lang w:val="es-CR"/>
              </w:rPr>
              <w:t>D.</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Indemnizaciones compensatorias</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_Toc505877008 \h </w:instrText>
            </w:r>
            <w:r w:rsidR="008F2A57" w:rsidRPr="008B522D">
              <w:rPr>
                <w:webHidden/>
                <w:sz w:val="18"/>
              </w:rPr>
            </w:r>
            <w:r w:rsidR="008F2A57" w:rsidRPr="008B522D">
              <w:rPr>
                <w:webHidden/>
                <w:sz w:val="18"/>
              </w:rPr>
              <w:fldChar w:fldCharType="separate"/>
            </w:r>
            <w:r w:rsidR="003F7C8D">
              <w:rPr>
                <w:webHidden/>
                <w:sz w:val="18"/>
              </w:rPr>
              <w:t>67</w:t>
            </w:r>
            <w:r w:rsidR="008F2A57" w:rsidRPr="008B522D">
              <w:rPr>
                <w:webHidden/>
                <w:sz w:val="18"/>
              </w:rPr>
              <w:fldChar w:fldCharType="end"/>
            </w:r>
          </w:hyperlink>
        </w:p>
        <w:p w14:paraId="78D12971"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09" w:history="1">
            <w:r w:rsidR="008F2A57" w:rsidRPr="008B522D">
              <w:rPr>
                <w:rStyle w:val="Hyperlink"/>
                <w:sz w:val="18"/>
                <w:lang w:val="es-CR"/>
              </w:rPr>
              <w:t>E.</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Otras medidas solicitadas</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_Toc505877009 \h </w:instrText>
            </w:r>
            <w:r w:rsidR="008F2A57" w:rsidRPr="008B522D">
              <w:rPr>
                <w:webHidden/>
                <w:sz w:val="18"/>
              </w:rPr>
            </w:r>
            <w:r w:rsidR="008F2A57" w:rsidRPr="008B522D">
              <w:rPr>
                <w:webHidden/>
                <w:sz w:val="18"/>
              </w:rPr>
              <w:fldChar w:fldCharType="separate"/>
            </w:r>
            <w:r w:rsidR="003F7C8D">
              <w:rPr>
                <w:webHidden/>
                <w:sz w:val="18"/>
              </w:rPr>
              <w:t>69</w:t>
            </w:r>
            <w:r w:rsidR="008F2A57" w:rsidRPr="008B522D">
              <w:rPr>
                <w:webHidden/>
                <w:sz w:val="18"/>
              </w:rPr>
              <w:fldChar w:fldCharType="end"/>
            </w:r>
          </w:hyperlink>
        </w:p>
        <w:p w14:paraId="0B2FBCA7" w14:textId="77777777" w:rsidR="008F2A57" w:rsidRPr="008B522D" w:rsidRDefault="00837BB9" w:rsidP="008F2A57">
          <w:pPr>
            <w:pStyle w:val="TOC2"/>
            <w:spacing w:after="0" w:line="240" w:lineRule="auto"/>
            <w:ind w:left="221"/>
            <w:rPr>
              <w:rFonts w:asciiTheme="minorHAnsi" w:eastAsiaTheme="minorEastAsia" w:hAnsiTheme="minorHAnsi" w:cstheme="minorBidi"/>
              <w:bCs w:val="0"/>
              <w:i w:val="0"/>
              <w:iCs w:val="0"/>
              <w:szCs w:val="22"/>
              <w:lang w:val="es-CR" w:eastAsia="es-CR"/>
            </w:rPr>
          </w:pPr>
          <w:hyperlink w:anchor="_Toc505877010" w:history="1">
            <w:r w:rsidR="008F2A57" w:rsidRPr="008B522D">
              <w:rPr>
                <w:rStyle w:val="Hyperlink"/>
                <w:sz w:val="18"/>
                <w:lang w:val="es-CR"/>
              </w:rPr>
              <w:t>F.</w:t>
            </w:r>
            <w:r w:rsidR="008F2A57" w:rsidRPr="008B522D">
              <w:rPr>
                <w:rFonts w:asciiTheme="minorHAnsi" w:eastAsiaTheme="minorEastAsia" w:hAnsiTheme="minorHAnsi" w:cstheme="minorBidi"/>
                <w:bCs w:val="0"/>
                <w:i w:val="0"/>
                <w:iCs w:val="0"/>
                <w:szCs w:val="22"/>
                <w:lang w:val="es-CR" w:eastAsia="es-CR"/>
              </w:rPr>
              <w:tab/>
            </w:r>
            <w:r w:rsidR="008F2A57" w:rsidRPr="008B522D">
              <w:rPr>
                <w:rStyle w:val="Hyperlink"/>
                <w:sz w:val="18"/>
                <w:lang w:val="es-CR"/>
              </w:rPr>
              <w:t>Costas y gastos</w:t>
            </w:r>
            <w:r w:rsidR="008F2A57" w:rsidRPr="008B522D">
              <w:rPr>
                <w:webHidden/>
                <w:sz w:val="18"/>
              </w:rPr>
              <w:tab/>
            </w:r>
            <w:r w:rsidR="008F2A57" w:rsidRPr="008B522D">
              <w:rPr>
                <w:webHidden/>
                <w:sz w:val="18"/>
              </w:rPr>
              <w:fldChar w:fldCharType="begin"/>
            </w:r>
            <w:r w:rsidR="008F2A57" w:rsidRPr="008B522D">
              <w:rPr>
                <w:webHidden/>
                <w:sz w:val="18"/>
              </w:rPr>
              <w:instrText xml:space="preserve"> PAGEREF _Toc505877010 \h </w:instrText>
            </w:r>
            <w:r w:rsidR="008F2A57" w:rsidRPr="008B522D">
              <w:rPr>
                <w:webHidden/>
                <w:sz w:val="18"/>
              </w:rPr>
            </w:r>
            <w:r w:rsidR="008F2A57" w:rsidRPr="008B522D">
              <w:rPr>
                <w:webHidden/>
                <w:sz w:val="18"/>
              </w:rPr>
              <w:fldChar w:fldCharType="separate"/>
            </w:r>
            <w:r w:rsidR="003F7C8D">
              <w:rPr>
                <w:webHidden/>
                <w:sz w:val="18"/>
              </w:rPr>
              <w:t>70</w:t>
            </w:r>
            <w:r w:rsidR="008F2A57" w:rsidRPr="008B522D">
              <w:rPr>
                <w:webHidden/>
                <w:sz w:val="18"/>
              </w:rPr>
              <w:fldChar w:fldCharType="end"/>
            </w:r>
          </w:hyperlink>
        </w:p>
        <w:p w14:paraId="6554C96B" w14:textId="77777777" w:rsidR="008F2A57" w:rsidRDefault="008F2A57">
          <w:pPr>
            <w:pStyle w:val="TOC1"/>
            <w:rPr>
              <w:rStyle w:val="Hyperlink"/>
            </w:rPr>
          </w:pPr>
        </w:p>
        <w:p w14:paraId="41651C06" w14:textId="77777777" w:rsidR="008F2A57" w:rsidRDefault="00837BB9">
          <w:pPr>
            <w:pStyle w:val="TOC1"/>
            <w:rPr>
              <w:rFonts w:asciiTheme="minorHAnsi" w:eastAsiaTheme="minorEastAsia" w:hAnsiTheme="minorHAnsi"/>
              <w:sz w:val="22"/>
              <w:lang w:eastAsia="es-CR"/>
            </w:rPr>
          </w:pPr>
          <w:hyperlink w:anchor="_Toc505877011" w:history="1">
            <w:r w:rsidR="008F2A57" w:rsidRPr="009D6029">
              <w:rPr>
                <w:rStyle w:val="Hyperlink"/>
              </w:rPr>
              <w:t>IX PUNTOS RESOLUTIVOS</w:t>
            </w:r>
            <w:r w:rsidR="008F2A57">
              <w:rPr>
                <w:webHidden/>
              </w:rPr>
              <w:tab/>
            </w:r>
            <w:r w:rsidR="008F2A57">
              <w:rPr>
                <w:webHidden/>
              </w:rPr>
              <w:fldChar w:fldCharType="begin"/>
            </w:r>
            <w:r w:rsidR="008F2A57">
              <w:rPr>
                <w:webHidden/>
              </w:rPr>
              <w:instrText xml:space="preserve"> PAGEREF _Toc505877011 \h </w:instrText>
            </w:r>
            <w:r w:rsidR="008F2A57">
              <w:rPr>
                <w:webHidden/>
              </w:rPr>
            </w:r>
            <w:r w:rsidR="008F2A57">
              <w:rPr>
                <w:webHidden/>
              </w:rPr>
              <w:fldChar w:fldCharType="separate"/>
            </w:r>
            <w:r w:rsidR="003F7C8D">
              <w:rPr>
                <w:webHidden/>
              </w:rPr>
              <w:t>72</w:t>
            </w:r>
            <w:r w:rsidR="008F2A57">
              <w:rPr>
                <w:webHidden/>
              </w:rPr>
              <w:fldChar w:fldCharType="end"/>
            </w:r>
          </w:hyperlink>
        </w:p>
        <w:p w14:paraId="280A6E2B" w14:textId="552B5880" w:rsidR="00476FD9" w:rsidRPr="006A0A3F" w:rsidRDefault="00476FD9" w:rsidP="00A0622B">
          <w:pPr>
            <w:spacing w:after="60" w:line="240" w:lineRule="auto"/>
            <w:rPr>
              <w:rFonts w:ascii="Verdana" w:hAnsi="Verdana"/>
              <w:sz w:val="20"/>
              <w:szCs w:val="20"/>
            </w:rPr>
          </w:pPr>
          <w:r w:rsidRPr="006A0A3F">
            <w:rPr>
              <w:rFonts w:ascii="Verdana" w:hAnsi="Verdana"/>
              <w:b/>
              <w:bCs/>
              <w:noProof/>
              <w:sz w:val="20"/>
              <w:szCs w:val="20"/>
            </w:rPr>
            <w:fldChar w:fldCharType="end"/>
          </w:r>
        </w:p>
      </w:sdtContent>
    </w:sdt>
    <w:p w14:paraId="3D0CFCFE" w14:textId="262E4606" w:rsidR="00957BDE" w:rsidRPr="006A0A3F" w:rsidRDefault="00957BDE">
      <w:pPr>
        <w:rPr>
          <w:rFonts w:ascii="Verdana" w:hAnsi="Verdana"/>
          <w:sz w:val="20"/>
          <w:szCs w:val="20"/>
          <w:lang w:eastAsia="es-ES"/>
        </w:rPr>
      </w:pPr>
      <w:r w:rsidRPr="006A0A3F">
        <w:rPr>
          <w:rFonts w:ascii="Verdana" w:hAnsi="Verdana"/>
          <w:sz w:val="20"/>
          <w:szCs w:val="20"/>
          <w:lang w:eastAsia="es-ES"/>
        </w:rPr>
        <w:br w:type="page"/>
      </w:r>
    </w:p>
    <w:p w14:paraId="365275F7" w14:textId="77777777" w:rsidR="007B3B4E" w:rsidRPr="006A0A3F" w:rsidRDefault="007B3B4E" w:rsidP="000065AA">
      <w:pPr>
        <w:pStyle w:val="Heading1"/>
        <w:spacing w:before="0" w:after="0" w:line="240" w:lineRule="auto"/>
        <w:jc w:val="center"/>
        <w:rPr>
          <w:rFonts w:ascii="Verdana" w:hAnsi="Verdana" w:cs="Verdana"/>
          <w:caps/>
          <w:noProof/>
          <w:snapToGrid w:val="0"/>
          <w:sz w:val="20"/>
          <w:szCs w:val="20"/>
          <w:lang w:val="es-CR" w:eastAsia="es-ES"/>
        </w:rPr>
      </w:pPr>
      <w:bookmarkStart w:id="2" w:name="_Toc340752578"/>
      <w:bookmarkStart w:id="3" w:name="_Toc505876980"/>
      <w:r w:rsidRPr="006A0A3F">
        <w:rPr>
          <w:rFonts w:ascii="Verdana" w:hAnsi="Verdana" w:cs="Verdana"/>
          <w:caps/>
          <w:noProof/>
          <w:snapToGrid w:val="0"/>
          <w:sz w:val="20"/>
          <w:szCs w:val="20"/>
          <w:lang w:val="es-CR" w:eastAsia="es-ES"/>
        </w:rPr>
        <w:lastRenderedPageBreak/>
        <w:t>I</w:t>
      </w:r>
      <w:r w:rsidR="000065AA" w:rsidRPr="006A0A3F">
        <w:rPr>
          <w:rFonts w:ascii="Verdana" w:hAnsi="Verdana" w:cs="Verdana"/>
          <w:caps/>
          <w:noProof/>
          <w:snapToGrid w:val="0"/>
          <w:sz w:val="20"/>
          <w:szCs w:val="20"/>
          <w:lang w:val="es-CR" w:eastAsia="es-ES"/>
        </w:rPr>
        <w:br/>
      </w:r>
      <w:r w:rsidRPr="006A0A3F">
        <w:rPr>
          <w:rFonts w:ascii="Verdana" w:hAnsi="Verdana" w:cs="Verdana"/>
          <w:caps/>
          <w:noProof/>
          <w:snapToGrid w:val="0"/>
          <w:sz w:val="20"/>
          <w:szCs w:val="20"/>
          <w:lang w:val="es-CR" w:eastAsia="es-ES"/>
        </w:rPr>
        <w:t>INTRODUCCIÓN DE LA CAUSA Y OBJETO DE LA CONTROVERSIA</w:t>
      </w:r>
      <w:bookmarkEnd w:id="2"/>
      <w:bookmarkEnd w:id="3"/>
    </w:p>
    <w:p w14:paraId="14844878" w14:textId="77777777" w:rsidR="007B3B4E" w:rsidRPr="006A0A3F" w:rsidRDefault="007B3B4E" w:rsidP="007B3B4E">
      <w:pPr>
        <w:spacing w:after="0" w:line="240" w:lineRule="auto"/>
        <w:jc w:val="both"/>
        <w:rPr>
          <w:rFonts w:ascii="Verdana" w:hAnsi="Verdana" w:cs="Times New Roman"/>
          <w:b/>
          <w:sz w:val="20"/>
          <w:szCs w:val="20"/>
        </w:rPr>
      </w:pPr>
    </w:p>
    <w:p w14:paraId="2AE80D6C" w14:textId="3D83107B" w:rsidR="00BD7B65" w:rsidRPr="006A0A3F" w:rsidRDefault="007B3B4E"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El caso sometido a la Corte</w:t>
      </w:r>
      <w:r w:rsidR="006B154F" w:rsidRPr="006A0A3F">
        <w:rPr>
          <w:rFonts w:ascii="Verdana" w:hAnsi="Verdana"/>
          <w:sz w:val="20"/>
          <w:lang w:val="es-CR"/>
        </w:rPr>
        <w:t xml:space="preserve">. </w:t>
      </w:r>
      <w:r w:rsidR="00EA362E" w:rsidRPr="006A0A3F">
        <w:rPr>
          <w:rFonts w:ascii="Verdana" w:hAnsi="Verdana"/>
          <w:sz w:val="20"/>
          <w:lang w:val="es-CR"/>
        </w:rPr>
        <w:t>–</w:t>
      </w:r>
      <w:r w:rsidR="006B154F" w:rsidRPr="006A0A3F">
        <w:rPr>
          <w:rFonts w:ascii="Verdana" w:hAnsi="Verdana"/>
          <w:sz w:val="20"/>
          <w:lang w:val="es-CR"/>
        </w:rPr>
        <w:t xml:space="preserve"> El</w:t>
      </w:r>
      <w:r w:rsidR="00EA362E" w:rsidRPr="006A0A3F">
        <w:rPr>
          <w:rFonts w:ascii="Verdana" w:hAnsi="Verdana"/>
          <w:sz w:val="20"/>
          <w:lang w:val="es-CR"/>
        </w:rPr>
        <w:t xml:space="preserve"> </w:t>
      </w:r>
      <w:r w:rsidR="00663AFE" w:rsidRPr="006A0A3F">
        <w:rPr>
          <w:rFonts w:ascii="Verdana" w:hAnsi="Verdana" w:cs="Arial"/>
          <w:sz w:val="20"/>
          <w:lang w:val="es-CR"/>
        </w:rPr>
        <w:t xml:space="preserve">8 </w:t>
      </w:r>
      <w:r w:rsidR="00EA362E" w:rsidRPr="006A0A3F">
        <w:rPr>
          <w:rFonts w:ascii="Verdana" w:hAnsi="Verdana" w:cs="Arial"/>
          <w:sz w:val="20"/>
          <w:lang w:val="es-CR"/>
        </w:rPr>
        <w:t>de marzo de 2016</w:t>
      </w:r>
      <w:r w:rsidR="00691550" w:rsidRPr="006A0A3F">
        <w:rPr>
          <w:rFonts w:ascii="Verdana" w:hAnsi="Verdana"/>
          <w:sz w:val="20"/>
          <w:lang w:val="es-CR"/>
        </w:rPr>
        <w:t xml:space="preserve"> la Comisión Interamericana de Derechos Humanos (en adelante “la Comisión Interamericana” o </w:t>
      </w:r>
      <w:r w:rsidR="00691550" w:rsidRPr="006A0A3F">
        <w:rPr>
          <w:rFonts w:ascii="Verdana" w:eastAsia="Cambria" w:hAnsi="Verdana" w:cs="Cambria"/>
          <w:spacing w:val="2"/>
          <w:sz w:val="20"/>
          <w:lang w:val="es-CR"/>
        </w:rPr>
        <w:t>“la Comisión”) sometió a la jurisdicción de la Corte Interamericana</w:t>
      </w:r>
      <w:r w:rsidRPr="006A0A3F">
        <w:rPr>
          <w:rFonts w:ascii="Verdana" w:hAnsi="Verdana"/>
          <w:sz w:val="20"/>
          <w:lang w:val="es-CR"/>
        </w:rPr>
        <w:t xml:space="preserve">, de conformidad con lo dispuesto en los artículos 51 y 61 de la Convención Americana y el artículo 35 del Reglamento de la Corte, </w:t>
      </w:r>
      <w:r w:rsidRPr="006A0A3F">
        <w:rPr>
          <w:rFonts w:ascii="Verdana" w:eastAsia="Cambria" w:hAnsi="Verdana" w:cs="Cambria"/>
          <w:spacing w:val="2"/>
          <w:sz w:val="20"/>
          <w:lang w:val="es-CR"/>
        </w:rPr>
        <w:t xml:space="preserve">el caso </w:t>
      </w:r>
      <w:r w:rsidR="00663AFE" w:rsidRPr="006A0A3F">
        <w:rPr>
          <w:rFonts w:ascii="Verdana" w:hAnsi="Verdana"/>
          <w:i/>
          <w:iCs/>
          <w:sz w:val="20"/>
          <w:lang w:val="es-CR"/>
        </w:rPr>
        <w:t xml:space="preserve">Rocío San Miguel Sosa </w:t>
      </w:r>
      <w:r w:rsidR="0033419F" w:rsidRPr="006A0A3F">
        <w:rPr>
          <w:rFonts w:ascii="Verdana" w:hAnsi="Verdana"/>
          <w:i/>
          <w:iCs/>
          <w:sz w:val="20"/>
          <w:lang w:val="es-CR"/>
        </w:rPr>
        <w:t>y otras respecto de la República Bolivariana de Venezuela</w:t>
      </w:r>
      <w:r w:rsidR="00EA362E" w:rsidRPr="006A0A3F">
        <w:rPr>
          <w:rFonts w:ascii="Verdana" w:eastAsia="Cambria" w:hAnsi="Verdana" w:cs="Cambria"/>
          <w:spacing w:val="2"/>
          <w:sz w:val="20"/>
          <w:lang w:val="es-CR"/>
        </w:rPr>
        <w:t xml:space="preserve"> </w:t>
      </w:r>
      <w:r w:rsidRPr="006A0A3F">
        <w:rPr>
          <w:rFonts w:ascii="Verdana" w:eastAsia="Cambria" w:hAnsi="Verdana" w:cs="Cambria"/>
          <w:spacing w:val="2"/>
          <w:sz w:val="20"/>
          <w:lang w:val="es-CR"/>
        </w:rPr>
        <w:t>(</w:t>
      </w:r>
      <w:r w:rsidR="00C83C2F" w:rsidRPr="006A0A3F">
        <w:rPr>
          <w:rFonts w:ascii="Verdana" w:eastAsia="Cambria" w:hAnsi="Verdana" w:cs="Cambria"/>
          <w:spacing w:val="2"/>
          <w:sz w:val="20"/>
          <w:lang w:val="es-CR"/>
        </w:rPr>
        <w:t>en adelante “el Estado”, o “</w:t>
      </w:r>
      <w:r w:rsidR="00EA362E" w:rsidRPr="006A0A3F">
        <w:rPr>
          <w:rFonts w:ascii="Verdana" w:eastAsia="Cambria" w:hAnsi="Verdana" w:cs="Cambria"/>
          <w:spacing w:val="2"/>
          <w:sz w:val="20"/>
          <w:lang w:val="es-CR"/>
        </w:rPr>
        <w:t>Venezuela</w:t>
      </w:r>
      <w:r w:rsidR="00C83C2F" w:rsidRPr="006A0A3F">
        <w:rPr>
          <w:rFonts w:ascii="Verdana" w:eastAsia="Cambria" w:hAnsi="Verdana" w:cs="Cambria"/>
          <w:spacing w:val="2"/>
          <w:sz w:val="20"/>
          <w:lang w:val="es-CR"/>
        </w:rPr>
        <w:t>”)</w:t>
      </w:r>
      <w:r w:rsidR="009F4D2D" w:rsidRPr="006A0A3F">
        <w:rPr>
          <w:rFonts w:ascii="Verdana" w:eastAsia="Cambria" w:hAnsi="Verdana" w:cs="Cambria"/>
          <w:spacing w:val="2"/>
          <w:sz w:val="20"/>
          <w:lang w:val="es-CR"/>
        </w:rPr>
        <w:t>.</w:t>
      </w:r>
      <w:r w:rsidR="0033419F" w:rsidRPr="006A0A3F">
        <w:rPr>
          <w:rFonts w:ascii="Verdana" w:eastAsia="Cambria" w:hAnsi="Verdana" w:cs="Cambria"/>
          <w:spacing w:val="2"/>
          <w:sz w:val="20"/>
          <w:lang w:val="es-CR"/>
        </w:rPr>
        <w:t xml:space="preserve"> </w:t>
      </w:r>
      <w:r w:rsidR="00026521" w:rsidRPr="006A0A3F">
        <w:rPr>
          <w:rFonts w:ascii="Verdana" w:eastAsia="Cambria" w:hAnsi="Verdana" w:cs="Cambria"/>
          <w:spacing w:val="2"/>
          <w:sz w:val="20"/>
          <w:lang w:val="es-CR"/>
        </w:rPr>
        <w:t>Según</w:t>
      </w:r>
      <w:r w:rsidRPr="006A0A3F">
        <w:rPr>
          <w:rFonts w:ascii="Verdana" w:eastAsia="Cambria" w:hAnsi="Verdana" w:cs="Cambria"/>
          <w:spacing w:val="2"/>
          <w:sz w:val="20"/>
          <w:lang w:val="es-CR"/>
        </w:rPr>
        <w:t xml:space="preserve"> la Co</w:t>
      </w:r>
      <w:r w:rsidR="00EA362E" w:rsidRPr="006A0A3F">
        <w:rPr>
          <w:rFonts w:ascii="Verdana" w:eastAsia="Cambria" w:hAnsi="Verdana" w:cs="Cambria"/>
          <w:spacing w:val="2"/>
          <w:sz w:val="20"/>
          <w:lang w:val="es-CR"/>
        </w:rPr>
        <w:t xml:space="preserve">misión, el caso se relaciona con </w:t>
      </w:r>
      <w:r w:rsidR="001B3A3F" w:rsidRPr="006A0A3F">
        <w:rPr>
          <w:rFonts w:ascii="Verdana" w:eastAsia="Cambria" w:hAnsi="Verdana" w:cs="Cambria"/>
          <w:spacing w:val="2"/>
          <w:sz w:val="20"/>
          <w:lang w:val="es-CR"/>
        </w:rPr>
        <w:t xml:space="preserve">la terminación </w:t>
      </w:r>
      <w:r w:rsidR="00E251C1" w:rsidRPr="006A0A3F">
        <w:rPr>
          <w:rFonts w:ascii="Verdana" w:eastAsia="Cambria" w:hAnsi="Verdana" w:cs="Cambria"/>
          <w:spacing w:val="2"/>
          <w:sz w:val="20"/>
          <w:lang w:val="es-CR"/>
        </w:rPr>
        <w:t>arbitraria</w:t>
      </w:r>
      <w:r w:rsidR="00006023">
        <w:rPr>
          <w:rFonts w:ascii="Verdana" w:eastAsia="Cambria" w:hAnsi="Verdana" w:cs="Cambria"/>
          <w:spacing w:val="2"/>
          <w:sz w:val="20"/>
          <w:lang w:val="es-CR"/>
        </w:rPr>
        <w:t>,</w:t>
      </w:r>
      <w:r w:rsidR="00E251C1" w:rsidRPr="006A0A3F">
        <w:rPr>
          <w:rFonts w:ascii="Verdana" w:eastAsia="Cambria" w:hAnsi="Verdana" w:cs="Cambria"/>
          <w:spacing w:val="2"/>
          <w:sz w:val="20"/>
          <w:lang w:val="es-CR"/>
        </w:rPr>
        <w:t xml:space="preserve"> </w:t>
      </w:r>
      <w:r w:rsidR="00006023" w:rsidRPr="006A0A3F">
        <w:rPr>
          <w:rFonts w:ascii="Verdana" w:eastAsia="Cambria" w:hAnsi="Verdana" w:cs="Cambria"/>
          <w:spacing w:val="2"/>
          <w:sz w:val="20"/>
          <w:lang w:val="es-CR"/>
        </w:rPr>
        <w:t>en marzo de 2004</w:t>
      </w:r>
      <w:r w:rsidR="00006023">
        <w:rPr>
          <w:rFonts w:ascii="Verdana" w:eastAsia="Cambria" w:hAnsi="Verdana" w:cs="Cambria"/>
          <w:spacing w:val="2"/>
          <w:sz w:val="20"/>
          <w:lang w:val="es-CR"/>
        </w:rPr>
        <w:t>,</w:t>
      </w:r>
      <w:r w:rsidR="00006023" w:rsidRPr="006A0A3F">
        <w:rPr>
          <w:rFonts w:ascii="Verdana" w:eastAsia="Cambria" w:hAnsi="Verdana" w:cs="Cambria"/>
          <w:spacing w:val="2"/>
          <w:sz w:val="20"/>
          <w:lang w:val="es-CR"/>
        </w:rPr>
        <w:t xml:space="preserve"> </w:t>
      </w:r>
      <w:r w:rsidR="00E251C1" w:rsidRPr="006A0A3F">
        <w:rPr>
          <w:rFonts w:ascii="Verdana" w:eastAsia="Cambria" w:hAnsi="Verdana" w:cs="Cambria"/>
          <w:spacing w:val="2"/>
          <w:sz w:val="20"/>
          <w:lang w:val="es-CR"/>
        </w:rPr>
        <w:t xml:space="preserve">de los contratos de servicios profesionales que </w:t>
      </w:r>
      <w:r w:rsidR="00EA362E" w:rsidRPr="006A0A3F">
        <w:rPr>
          <w:rFonts w:ascii="Verdana" w:eastAsia="Cambria" w:hAnsi="Verdana" w:cs="Cambria"/>
          <w:spacing w:val="2"/>
          <w:sz w:val="20"/>
          <w:lang w:val="es-CR"/>
        </w:rPr>
        <w:t>Roc</w:t>
      </w:r>
      <w:r w:rsidR="0033419F" w:rsidRPr="006A0A3F">
        <w:rPr>
          <w:rFonts w:ascii="Verdana" w:eastAsia="Cambria" w:hAnsi="Verdana" w:cs="Cambria"/>
          <w:spacing w:val="2"/>
          <w:sz w:val="20"/>
          <w:lang w:val="es-CR"/>
        </w:rPr>
        <w:t>í</w:t>
      </w:r>
      <w:r w:rsidR="00EA362E" w:rsidRPr="006A0A3F">
        <w:rPr>
          <w:rFonts w:ascii="Verdana" w:eastAsia="Cambria" w:hAnsi="Verdana" w:cs="Cambria"/>
          <w:spacing w:val="2"/>
          <w:sz w:val="20"/>
          <w:lang w:val="es-CR"/>
        </w:rPr>
        <w:t xml:space="preserve">o San Miguel Sosa, </w:t>
      </w:r>
      <w:proofErr w:type="spellStart"/>
      <w:r w:rsidR="00EA362E" w:rsidRPr="006A0A3F">
        <w:rPr>
          <w:rFonts w:ascii="Verdana" w:eastAsia="Cambria" w:hAnsi="Verdana" w:cs="Cambria"/>
          <w:spacing w:val="2"/>
          <w:sz w:val="20"/>
          <w:lang w:val="es-CR"/>
        </w:rPr>
        <w:t>Magally</w:t>
      </w:r>
      <w:proofErr w:type="spellEnd"/>
      <w:r w:rsidR="00EA362E" w:rsidRPr="006A0A3F">
        <w:rPr>
          <w:rFonts w:ascii="Verdana" w:eastAsia="Cambria" w:hAnsi="Verdana" w:cs="Cambria"/>
          <w:spacing w:val="2"/>
          <w:sz w:val="20"/>
          <w:lang w:val="es-CR"/>
        </w:rPr>
        <w:t xml:space="preserve"> Chang </w:t>
      </w:r>
      <w:r w:rsidR="0081481F" w:rsidRPr="006A0A3F">
        <w:rPr>
          <w:rFonts w:ascii="Verdana" w:eastAsia="Cambria" w:hAnsi="Verdana" w:cs="Cambria"/>
          <w:spacing w:val="2"/>
          <w:sz w:val="20"/>
          <w:lang w:val="es-CR"/>
        </w:rPr>
        <w:t xml:space="preserve">Girón </w:t>
      </w:r>
      <w:r w:rsidR="00EA362E" w:rsidRPr="006A0A3F">
        <w:rPr>
          <w:rFonts w:ascii="Verdana" w:eastAsia="Cambria" w:hAnsi="Verdana" w:cs="Cambria"/>
          <w:spacing w:val="2"/>
          <w:sz w:val="20"/>
          <w:lang w:val="es-CR"/>
        </w:rPr>
        <w:t xml:space="preserve">y Thais Coromoto </w:t>
      </w:r>
      <w:r w:rsidR="0033419F" w:rsidRPr="006A0A3F">
        <w:rPr>
          <w:rFonts w:ascii="Verdana" w:eastAsia="Cambria" w:hAnsi="Verdana" w:cs="Cambria"/>
          <w:spacing w:val="2"/>
          <w:sz w:val="20"/>
          <w:lang w:val="es-CR"/>
        </w:rPr>
        <w:t xml:space="preserve">Peña </w:t>
      </w:r>
      <w:r w:rsidR="00844B66" w:rsidRPr="006A0A3F">
        <w:rPr>
          <w:rFonts w:ascii="Verdana" w:hAnsi="Verdana"/>
          <w:sz w:val="20"/>
          <w:shd w:val="clear" w:color="auto" w:fill="FFFFFF"/>
          <w:lang w:val="es-CR"/>
        </w:rPr>
        <w:t xml:space="preserve">(en adelante “las presuntas víctimas”) </w:t>
      </w:r>
      <w:r w:rsidR="00E251C1" w:rsidRPr="006A0A3F">
        <w:rPr>
          <w:rFonts w:ascii="Verdana" w:eastAsia="Cambria" w:hAnsi="Verdana" w:cs="Cambria"/>
          <w:spacing w:val="2"/>
          <w:sz w:val="20"/>
          <w:lang w:val="es-CR"/>
        </w:rPr>
        <w:t>tenían con</w:t>
      </w:r>
      <w:r w:rsidR="00EA362E" w:rsidRPr="006A0A3F">
        <w:rPr>
          <w:rFonts w:ascii="Verdana" w:eastAsia="Cambria" w:hAnsi="Verdana" w:cs="Cambria"/>
          <w:spacing w:val="2"/>
          <w:sz w:val="20"/>
          <w:lang w:val="es-CR"/>
        </w:rPr>
        <w:t xml:space="preserve"> en el Consejo Nacional de Fronteras</w:t>
      </w:r>
      <w:r w:rsidR="00691550" w:rsidRPr="006A0A3F">
        <w:rPr>
          <w:rFonts w:ascii="Verdana" w:eastAsia="Cambria" w:hAnsi="Verdana" w:cs="Cambria"/>
          <w:spacing w:val="2"/>
          <w:sz w:val="20"/>
          <w:lang w:val="es-CR"/>
        </w:rPr>
        <w:t xml:space="preserve">, órgano </w:t>
      </w:r>
      <w:r w:rsidR="009F4D2D" w:rsidRPr="006A0A3F">
        <w:rPr>
          <w:rFonts w:ascii="Verdana" w:eastAsia="Cambria" w:hAnsi="Verdana" w:cs="Cambria"/>
          <w:spacing w:val="2"/>
          <w:sz w:val="20"/>
          <w:lang w:val="es-CR"/>
        </w:rPr>
        <w:t>adscrito a</w:t>
      </w:r>
      <w:r w:rsidR="00691550" w:rsidRPr="006A0A3F">
        <w:rPr>
          <w:rFonts w:ascii="Verdana" w:eastAsia="Cambria" w:hAnsi="Verdana" w:cs="Cambria"/>
          <w:spacing w:val="2"/>
          <w:sz w:val="20"/>
          <w:lang w:val="es-CR"/>
        </w:rPr>
        <w:t>l Ministerio de Relaciones Exteriores,</w:t>
      </w:r>
      <w:r w:rsidR="00EA362E" w:rsidRPr="006A0A3F">
        <w:rPr>
          <w:rFonts w:ascii="Verdana" w:eastAsia="Cambria" w:hAnsi="Verdana" w:cs="Cambria"/>
          <w:spacing w:val="2"/>
          <w:sz w:val="20"/>
          <w:lang w:val="es-CR"/>
        </w:rPr>
        <w:t xml:space="preserve"> tras haber firmado </w:t>
      </w:r>
      <w:r w:rsidR="00E251C1" w:rsidRPr="006A0A3F">
        <w:rPr>
          <w:rFonts w:ascii="Verdana" w:eastAsia="Cambria" w:hAnsi="Verdana" w:cs="Cambria"/>
          <w:spacing w:val="2"/>
          <w:sz w:val="20"/>
          <w:lang w:val="es-CR"/>
        </w:rPr>
        <w:t>una solicitud de</w:t>
      </w:r>
      <w:r w:rsidR="00EA362E" w:rsidRPr="006A0A3F">
        <w:rPr>
          <w:rFonts w:ascii="Verdana" w:eastAsia="Cambria" w:hAnsi="Verdana" w:cs="Cambria"/>
          <w:spacing w:val="2"/>
          <w:sz w:val="20"/>
          <w:lang w:val="es-CR"/>
        </w:rPr>
        <w:t xml:space="preserve"> convocatoria a referendo revocatorio del mandato del entonces Presidente</w:t>
      </w:r>
      <w:r w:rsidR="00E251C1" w:rsidRPr="006A0A3F">
        <w:rPr>
          <w:rFonts w:ascii="Verdana" w:eastAsia="Cambria" w:hAnsi="Verdana" w:cs="Cambria"/>
          <w:spacing w:val="2"/>
          <w:sz w:val="20"/>
          <w:lang w:val="es-CR"/>
        </w:rPr>
        <w:t xml:space="preserve"> de la República</w:t>
      </w:r>
      <w:r w:rsidR="00EA362E" w:rsidRPr="006A0A3F">
        <w:rPr>
          <w:rFonts w:ascii="Verdana" w:eastAsia="Cambria" w:hAnsi="Verdana" w:cs="Cambria"/>
          <w:spacing w:val="2"/>
          <w:sz w:val="20"/>
          <w:lang w:val="es-CR"/>
        </w:rPr>
        <w:t xml:space="preserve"> Hugo Chávez Frías.</w:t>
      </w:r>
      <w:r w:rsidR="0033419F" w:rsidRPr="006A0A3F">
        <w:rPr>
          <w:rFonts w:ascii="Verdana" w:eastAsia="Cambria" w:hAnsi="Verdana" w:cs="Cambria"/>
          <w:spacing w:val="2"/>
          <w:sz w:val="20"/>
          <w:lang w:val="es-CR"/>
        </w:rPr>
        <w:t xml:space="preserve"> </w:t>
      </w:r>
      <w:r w:rsidR="00B66B06" w:rsidRPr="006A0A3F">
        <w:rPr>
          <w:rFonts w:ascii="Verdana" w:eastAsia="Cambria" w:hAnsi="Verdana" w:cs="Cambria"/>
          <w:spacing w:val="2"/>
          <w:sz w:val="20"/>
          <w:lang w:val="es-CR"/>
        </w:rPr>
        <w:t xml:space="preserve">La Comisión consideró que la terminación de </w:t>
      </w:r>
      <w:r w:rsidR="00006023">
        <w:rPr>
          <w:rFonts w:ascii="Verdana" w:eastAsia="Cambria" w:hAnsi="Verdana" w:cs="Cambria"/>
          <w:spacing w:val="2"/>
          <w:sz w:val="20"/>
          <w:lang w:val="es-CR"/>
        </w:rPr>
        <w:t>sus</w:t>
      </w:r>
      <w:r w:rsidR="00B66B06" w:rsidRPr="006A0A3F">
        <w:rPr>
          <w:rFonts w:ascii="Verdana" w:eastAsia="Cambria" w:hAnsi="Verdana" w:cs="Cambria"/>
          <w:spacing w:val="2"/>
          <w:sz w:val="20"/>
          <w:lang w:val="es-CR"/>
        </w:rPr>
        <w:t xml:space="preserve"> contratos </w:t>
      </w:r>
      <w:r w:rsidR="00006023">
        <w:rPr>
          <w:rFonts w:ascii="Verdana" w:eastAsia="Cambria" w:hAnsi="Verdana" w:cs="Cambria"/>
          <w:spacing w:val="2"/>
          <w:sz w:val="20"/>
          <w:lang w:val="es-CR"/>
        </w:rPr>
        <w:t>constituyó</w:t>
      </w:r>
      <w:r w:rsidR="00B66B06" w:rsidRPr="006A0A3F">
        <w:rPr>
          <w:rFonts w:ascii="Verdana" w:eastAsia="Cambria" w:hAnsi="Verdana" w:cs="Cambria"/>
          <w:spacing w:val="2"/>
          <w:sz w:val="20"/>
          <w:lang w:val="es-CR"/>
        </w:rPr>
        <w:t xml:space="preserve"> un</w:t>
      </w:r>
      <w:r w:rsidR="00691550" w:rsidRPr="006A0A3F">
        <w:rPr>
          <w:rFonts w:ascii="Verdana" w:eastAsia="Cambria" w:hAnsi="Verdana" w:cs="Cambria"/>
          <w:spacing w:val="2"/>
          <w:sz w:val="20"/>
          <w:lang w:val="es-CR"/>
        </w:rPr>
        <w:t xml:space="preserve"> acto de</w:t>
      </w:r>
      <w:r w:rsidR="00B66B06" w:rsidRPr="006A0A3F">
        <w:rPr>
          <w:rFonts w:ascii="Verdana" w:eastAsia="Cambria" w:hAnsi="Verdana" w:cs="Cambria"/>
          <w:spacing w:val="2"/>
          <w:sz w:val="20"/>
          <w:lang w:val="es-CR"/>
        </w:rPr>
        <w:t xml:space="preserve"> desviación de poder</w:t>
      </w:r>
      <w:r w:rsidR="00691550" w:rsidRPr="006A0A3F">
        <w:rPr>
          <w:rFonts w:ascii="Verdana" w:eastAsia="Cambria" w:hAnsi="Verdana" w:cs="Cambria"/>
          <w:spacing w:val="2"/>
          <w:sz w:val="20"/>
          <w:lang w:val="es-CR"/>
        </w:rPr>
        <w:t>,</w:t>
      </w:r>
      <w:r w:rsidR="00137CC3" w:rsidRPr="006A0A3F">
        <w:rPr>
          <w:rFonts w:ascii="Verdana" w:hAnsi="Verdana"/>
          <w:sz w:val="20"/>
          <w:lang w:val="es-CR"/>
        </w:rPr>
        <w:t xml:space="preserve"> en el cual se habría utilizado una facultad discrecional </w:t>
      </w:r>
      <w:r w:rsidR="00E251C1" w:rsidRPr="006A0A3F">
        <w:rPr>
          <w:rFonts w:ascii="Verdana" w:hAnsi="Verdana"/>
          <w:sz w:val="20"/>
          <w:lang w:val="es-CR"/>
        </w:rPr>
        <w:t xml:space="preserve">prevista </w:t>
      </w:r>
      <w:r w:rsidR="00137CC3" w:rsidRPr="006A0A3F">
        <w:rPr>
          <w:rFonts w:ascii="Verdana" w:hAnsi="Verdana"/>
          <w:sz w:val="20"/>
          <w:lang w:val="es-CR"/>
        </w:rPr>
        <w:t>en los contratos como un velo de legalidad respecto de la ve</w:t>
      </w:r>
      <w:r w:rsidR="00E251C1" w:rsidRPr="006A0A3F">
        <w:rPr>
          <w:rFonts w:ascii="Verdana" w:hAnsi="Verdana"/>
          <w:sz w:val="20"/>
          <w:lang w:val="es-CR"/>
        </w:rPr>
        <w:t>rdadera motivación de sancionar</w:t>
      </w:r>
      <w:r w:rsidR="00137CC3" w:rsidRPr="006A0A3F">
        <w:rPr>
          <w:rFonts w:ascii="Verdana" w:hAnsi="Verdana"/>
          <w:sz w:val="20"/>
          <w:lang w:val="es-CR"/>
        </w:rPr>
        <w:t xml:space="preserve">las por la expresión de su opinión política mediante la </w:t>
      </w:r>
      <w:r w:rsidR="00691550" w:rsidRPr="006A0A3F">
        <w:rPr>
          <w:rFonts w:ascii="Verdana" w:hAnsi="Verdana"/>
          <w:sz w:val="20"/>
          <w:lang w:val="es-CR"/>
        </w:rPr>
        <w:t xml:space="preserve">firma de </w:t>
      </w:r>
      <w:r w:rsidR="00E251C1" w:rsidRPr="006A0A3F">
        <w:rPr>
          <w:rFonts w:ascii="Verdana" w:hAnsi="Verdana"/>
          <w:sz w:val="20"/>
          <w:lang w:val="es-CR"/>
        </w:rPr>
        <w:t>dicha</w:t>
      </w:r>
      <w:r w:rsidR="00691550" w:rsidRPr="006A0A3F">
        <w:rPr>
          <w:rFonts w:ascii="Verdana" w:hAnsi="Verdana"/>
          <w:sz w:val="20"/>
          <w:lang w:val="es-CR"/>
        </w:rPr>
        <w:t xml:space="preserve"> solicitud</w:t>
      </w:r>
      <w:r w:rsidR="00137CC3" w:rsidRPr="006A0A3F">
        <w:rPr>
          <w:rFonts w:ascii="Verdana" w:hAnsi="Verdana"/>
          <w:sz w:val="20"/>
          <w:lang w:val="es-CR"/>
        </w:rPr>
        <w:t xml:space="preserve">. </w:t>
      </w:r>
      <w:r w:rsidR="00691550" w:rsidRPr="006A0A3F">
        <w:rPr>
          <w:rFonts w:ascii="Verdana" w:hAnsi="Verdana"/>
          <w:sz w:val="20"/>
          <w:lang w:val="es-CR"/>
        </w:rPr>
        <w:t xml:space="preserve">Lo anterior habría ocurrido en un contexto de significativa polarización en que el entonces Presidente y otros altos funcionarios estatales habrían efectuado declaraciones </w:t>
      </w:r>
      <w:r w:rsidR="00274070" w:rsidRPr="006A0A3F">
        <w:rPr>
          <w:rFonts w:ascii="Verdana" w:hAnsi="Verdana"/>
          <w:sz w:val="20"/>
          <w:lang w:val="es-CR"/>
        </w:rPr>
        <w:t xml:space="preserve">simultáneas </w:t>
      </w:r>
      <w:r w:rsidR="00691550" w:rsidRPr="006A0A3F">
        <w:rPr>
          <w:rFonts w:ascii="Verdana" w:hAnsi="Verdana"/>
          <w:sz w:val="20"/>
          <w:lang w:val="es-CR"/>
        </w:rPr>
        <w:t xml:space="preserve">al momento de la presentación de las </w:t>
      </w:r>
      <w:r w:rsidR="009F4D2D" w:rsidRPr="006A0A3F">
        <w:rPr>
          <w:rFonts w:ascii="Verdana" w:hAnsi="Verdana"/>
          <w:sz w:val="20"/>
          <w:lang w:val="es-CR"/>
        </w:rPr>
        <w:t xml:space="preserve">firmas </w:t>
      </w:r>
      <w:r w:rsidR="00691550" w:rsidRPr="006A0A3F">
        <w:rPr>
          <w:rFonts w:ascii="Verdana" w:hAnsi="Verdana"/>
          <w:sz w:val="20"/>
          <w:lang w:val="es-CR"/>
        </w:rPr>
        <w:t xml:space="preserve">al Consejo Nacional Electoral, cuyos contenidos </w:t>
      </w:r>
      <w:r w:rsidR="00137CC3" w:rsidRPr="006A0A3F">
        <w:rPr>
          <w:rFonts w:ascii="Verdana" w:hAnsi="Verdana"/>
          <w:sz w:val="20"/>
          <w:lang w:val="es-CR"/>
        </w:rPr>
        <w:t>reflejarían formas de presión para no firmar</w:t>
      </w:r>
      <w:r w:rsidR="00E251C1" w:rsidRPr="006A0A3F">
        <w:rPr>
          <w:rFonts w:ascii="Verdana" w:hAnsi="Verdana"/>
          <w:sz w:val="20"/>
          <w:lang w:val="es-CR"/>
        </w:rPr>
        <w:t xml:space="preserve"> y</w:t>
      </w:r>
      <w:r w:rsidR="00137CC3" w:rsidRPr="006A0A3F">
        <w:rPr>
          <w:rFonts w:ascii="Verdana" w:hAnsi="Verdana"/>
          <w:sz w:val="20"/>
          <w:lang w:val="es-CR"/>
        </w:rPr>
        <w:t xml:space="preserve"> amenazas de represalias</w:t>
      </w:r>
      <w:r w:rsidR="00691550" w:rsidRPr="006A0A3F">
        <w:rPr>
          <w:rFonts w:ascii="Verdana" w:hAnsi="Verdana"/>
          <w:sz w:val="20"/>
          <w:lang w:val="es-CR"/>
        </w:rPr>
        <w:t xml:space="preserve">, así como con </w:t>
      </w:r>
      <w:r w:rsidR="00137CC3" w:rsidRPr="006A0A3F">
        <w:rPr>
          <w:rFonts w:ascii="Verdana" w:hAnsi="Verdana"/>
          <w:sz w:val="20"/>
          <w:lang w:val="es-CR"/>
        </w:rPr>
        <w:t xml:space="preserve">la creación y publicación de la denominada “Lista </w:t>
      </w:r>
      <w:proofErr w:type="spellStart"/>
      <w:r w:rsidR="00137CC3" w:rsidRPr="006A0A3F">
        <w:rPr>
          <w:rFonts w:ascii="Verdana" w:hAnsi="Verdana"/>
          <w:sz w:val="20"/>
          <w:lang w:val="es-CR"/>
        </w:rPr>
        <w:t>Tascón</w:t>
      </w:r>
      <w:proofErr w:type="spellEnd"/>
      <w:r w:rsidR="00137CC3" w:rsidRPr="006A0A3F">
        <w:rPr>
          <w:rFonts w:ascii="Verdana" w:hAnsi="Verdana"/>
          <w:sz w:val="20"/>
          <w:lang w:val="es-CR"/>
        </w:rPr>
        <w:t>”</w:t>
      </w:r>
      <w:r w:rsidR="00AD0BD4" w:rsidRPr="006A0A3F">
        <w:rPr>
          <w:rFonts w:ascii="Verdana" w:hAnsi="Verdana"/>
          <w:sz w:val="20"/>
          <w:lang w:val="es-CR"/>
        </w:rPr>
        <w:t xml:space="preserve"> (la cual </w:t>
      </w:r>
      <w:r w:rsidR="00137CC3" w:rsidRPr="006A0A3F">
        <w:rPr>
          <w:rFonts w:ascii="Verdana" w:hAnsi="Verdana"/>
          <w:sz w:val="20"/>
          <w:lang w:val="es-CR"/>
        </w:rPr>
        <w:t xml:space="preserve">incluía </w:t>
      </w:r>
      <w:r w:rsidR="00E251C1" w:rsidRPr="006A0A3F">
        <w:rPr>
          <w:rFonts w:ascii="Verdana" w:hAnsi="Verdana"/>
          <w:sz w:val="20"/>
          <w:lang w:val="es-CR"/>
        </w:rPr>
        <w:t xml:space="preserve">la identidad </w:t>
      </w:r>
      <w:r w:rsidR="00137CC3" w:rsidRPr="006A0A3F">
        <w:rPr>
          <w:rFonts w:ascii="Verdana" w:hAnsi="Verdana"/>
          <w:sz w:val="20"/>
          <w:lang w:val="es-CR"/>
        </w:rPr>
        <w:t xml:space="preserve">de </w:t>
      </w:r>
      <w:r w:rsidR="009F4D2D" w:rsidRPr="006A0A3F">
        <w:rPr>
          <w:rFonts w:ascii="Verdana" w:hAnsi="Verdana"/>
          <w:sz w:val="20"/>
          <w:lang w:val="es-CR"/>
        </w:rPr>
        <w:t>los firmantes</w:t>
      </w:r>
      <w:r w:rsidR="00AD0BD4" w:rsidRPr="006A0A3F">
        <w:rPr>
          <w:rFonts w:ascii="Verdana" w:hAnsi="Verdana"/>
          <w:sz w:val="20"/>
          <w:lang w:val="es-CR"/>
        </w:rPr>
        <w:t>).</w:t>
      </w:r>
      <w:r w:rsidR="00137CC3" w:rsidRPr="006A0A3F">
        <w:rPr>
          <w:rFonts w:ascii="Verdana" w:hAnsi="Verdana"/>
          <w:sz w:val="20"/>
          <w:lang w:val="es-CR"/>
        </w:rPr>
        <w:t xml:space="preserve"> </w:t>
      </w:r>
      <w:r w:rsidR="00AD0BD4" w:rsidRPr="006A0A3F">
        <w:rPr>
          <w:rFonts w:ascii="Verdana" w:hAnsi="Verdana"/>
          <w:sz w:val="20"/>
          <w:lang w:val="es-CR"/>
        </w:rPr>
        <w:t xml:space="preserve">Así, la Comisión consideró que </w:t>
      </w:r>
      <w:r w:rsidR="009F4D2D" w:rsidRPr="006A0A3F">
        <w:rPr>
          <w:rFonts w:ascii="Verdana" w:hAnsi="Verdana"/>
          <w:sz w:val="20"/>
          <w:lang w:val="es-CR"/>
        </w:rPr>
        <w:t>tal acto</w:t>
      </w:r>
      <w:r w:rsidR="00B30405" w:rsidRPr="006A0A3F">
        <w:rPr>
          <w:rFonts w:ascii="Verdana" w:hAnsi="Verdana"/>
          <w:sz w:val="20"/>
          <w:lang w:val="es-CR"/>
        </w:rPr>
        <w:t xml:space="preserve"> represent</w:t>
      </w:r>
      <w:r w:rsidR="00AD0BD4" w:rsidRPr="006A0A3F">
        <w:rPr>
          <w:rFonts w:ascii="Verdana" w:hAnsi="Verdana"/>
          <w:sz w:val="20"/>
          <w:lang w:val="es-CR"/>
        </w:rPr>
        <w:t>ó</w:t>
      </w:r>
      <w:r w:rsidR="00B30405" w:rsidRPr="006A0A3F">
        <w:rPr>
          <w:rFonts w:ascii="Verdana" w:hAnsi="Verdana"/>
          <w:sz w:val="20"/>
          <w:lang w:val="es-CR"/>
        </w:rPr>
        <w:t xml:space="preserve"> una</w:t>
      </w:r>
      <w:r w:rsidR="00137CC3" w:rsidRPr="006A0A3F">
        <w:rPr>
          <w:rFonts w:ascii="Verdana" w:hAnsi="Verdana"/>
          <w:sz w:val="20"/>
          <w:lang w:val="es-CR"/>
        </w:rPr>
        <w:t xml:space="preserve"> sanción implícita</w:t>
      </w:r>
      <w:r w:rsidR="00B30405" w:rsidRPr="006A0A3F">
        <w:rPr>
          <w:rFonts w:ascii="Verdana" w:hAnsi="Verdana"/>
          <w:sz w:val="20"/>
          <w:lang w:val="es-CR"/>
        </w:rPr>
        <w:t xml:space="preserve"> violatoria de</w:t>
      </w:r>
      <w:r w:rsidR="00137CC3" w:rsidRPr="006A0A3F">
        <w:rPr>
          <w:rFonts w:ascii="Verdana" w:hAnsi="Verdana"/>
          <w:sz w:val="20"/>
          <w:lang w:val="es-CR"/>
        </w:rPr>
        <w:t xml:space="preserve"> </w:t>
      </w:r>
      <w:r w:rsidR="009F4D2D" w:rsidRPr="006A0A3F">
        <w:rPr>
          <w:rFonts w:ascii="Verdana" w:hAnsi="Verdana"/>
          <w:sz w:val="20"/>
          <w:lang w:val="es-CR"/>
        </w:rPr>
        <w:t xml:space="preserve">sus </w:t>
      </w:r>
      <w:r w:rsidR="00137CC3" w:rsidRPr="006A0A3F">
        <w:rPr>
          <w:rFonts w:ascii="Verdana" w:hAnsi="Verdana"/>
          <w:sz w:val="20"/>
          <w:lang w:val="es-CR"/>
        </w:rPr>
        <w:t xml:space="preserve">derechos políticos, una discriminación por opinión política y una restricción indirecta a la libertad de expresión. Concluyó, asimismo, que el recurso de amparo </w:t>
      </w:r>
      <w:r w:rsidR="00AD0BD4" w:rsidRPr="006A0A3F">
        <w:rPr>
          <w:rFonts w:ascii="Verdana" w:hAnsi="Verdana"/>
          <w:sz w:val="20"/>
          <w:lang w:val="es-CR"/>
        </w:rPr>
        <w:t>y</w:t>
      </w:r>
      <w:r w:rsidR="00137CC3" w:rsidRPr="006A0A3F">
        <w:rPr>
          <w:rFonts w:ascii="Verdana" w:hAnsi="Verdana"/>
          <w:sz w:val="20"/>
          <w:lang w:val="es-CR"/>
        </w:rPr>
        <w:t xml:space="preserve"> la</w:t>
      </w:r>
      <w:r w:rsidR="00E251C1" w:rsidRPr="006A0A3F">
        <w:rPr>
          <w:rFonts w:ascii="Verdana" w:hAnsi="Verdana"/>
          <w:sz w:val="20"/>
          <w:lang w:val="es-CR"/>
        </w:rPr>
        <w:t xml:space="preserve"> investigación penal,</w:t>
      </w:r>
      <w:r w:rsidR="00137CC3" w:rsidRPr="006A0A3F">
        <w:rPr>
          <w:rFonts w:ascii="Verdana" w:hAnsi="Verdana"/>
          <w:sz w:val="20"/>
          <w:lang w:val="es-CR"/>
        </w:rPr>
        <w:t xml:space="preserve"> </w:t>
      </w:r>
      <w:r w:rsidR="00E251C1" w:rsidRPr="006A0A3F">
        <w:rPr>
          <w:rFonts w:ascii="Verdana" w:hAnsi="Verdana"/>
          <w:sz w:val="20"/>
          <w:lang w:val="es-CR"/>
        </w:rPr>
        <w:t xml:space="preserve">así como una denuncia ante la Defensoría del Pueblo, </w:t>
      </w:r>
      <w:r w:rsidR="00AD0BD4" w:rsidRPr="006A0A3F">
        <w:rPr>
          <w:rFonts w:ascii="Verdana" w:hAnsi="Verdana"/>
          <w:sz w:val="20"/>
          <w:lang w:val="es-CR"/>
        </w:rPr>
        <w:t xml:space="preserve">no </w:t>
      </w:r>
      <w:r w:rsidR="00137CC3" w:rsidRPr="006A0A3F">
        <w:rPr>
          <w:rFonts w:ascii="Verdana" w:hAnsi="Verdana"/>
          <w:sz w:val="20"/>
          <w:lang w:val="es-CR"/>
        </w:rPr>
        <w:t>constitu</w:t>
      </w:r>
      <w:r w:rsidR="00AD0BD4" w:rsidRPr="006A0A3F">
        <w:rPr>
          <w:rFonts w:ascii="Verdana" w:hAnsi="Verdana"/>
          <w:sz w:val="20"/>
          <w:lang w:val="es-CR"/>
        </w:rPr>
        <w:t>yeron</w:t>
      </w:r>
      <w:r w:rsidR="00137CC3" w:rsidRPr="006A0A3F">
        <w:rPr>
          <w:rFonts w:ascii="Verdana" w:hAnsi="Verdana"/>
          <w:sz w:val="20"/>
          <w:lang w:val="es-CR"/>
        </w:rPr>
        <w:t xml:space="preserve"> recursos eficaces para examinar </w:t>
      </w:r>
      <w:r w:rsidR="009F4D2D" w:rsidRPr="006A0A3F">
        <w:rPr>
          <w:rFonts w:ascii="Verdana" w:hAnsi="Verdana"/>
          <w:sz w:val="20"/>
          <w:lang w:val="es-CR"/>
        </w:rPr>
        <w:t>tal</w:t>
      </w:r>
      <w:r w:rsidR="00137CC3" w:rsidRPr="006A0A3F">
        <w:rPr>
          <w:rFonts w:ascii="Verdana" w:hAnsi="Verdana"/>
          <w:sz w:val="20"/>
          <w:lang w:val="es-CR"/>
        </w:rPr>
        <w:t xml:space="preserve"> supuesto de desviación de poder.</w:t>
      </w:r>
    </w:p>
    <w:p w14:paraId="59415EA6" w14:textId="77777777" w:rsidR="00691550" w:rsidRPr="006A0A3F" w:rsidRDefault="00691550" w:rsidP="00691550">
      <w:pPr>
        <w:pStyle w:val="ListParagraph"/>
        <w:ind w:left="0"/>
        <w:jc w:val="both"/>
        <w:rPr>
          <w:rFonts w:ascii="Verdana" w:hAnsi="Verdana"/>
          <w:sz w:val="20"/>
          <w:lang w:val="es-CR"/>
        </w:rPr>
      </w:pPr>
    </w:p>
    <w:p w14:paraId="240AB8A3" w14:textId="77777777" w:rsidR="007B3B4E" w:rsidRPr="006A0A3F" w:rsidRDefault="007B3B4E"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Trámite ante la Comisión.</w:t>
      </w:r>
      <w:r w:rsidRPr="006A0A3F">
        <w:rPr>
          <w:rFonts w:ascii="Verdana" w:hAnsi="Verdana"/>
          <w:sz w:val="20"/>
          <w:lang w:val="es-CR"/>
        </w:rPr>
        <w:t xml:space="preserve"> – El trámite ante la Comisión fue el siguiente:</w:t>
      </w:r>
    </w:p>
    <w:p w14:paraId="3BD8E76A" w14:textId="77777777" w:rsidR="00691550" w:rsidRPr="006A0A3F" w:rsidRDefault="00691550" w:rsidP="00691550">
      <w:pPr>
        <w:pStyle w:val="ListParagraph"/>
        <w:ind w:left="567"/>
        <w:jc w:val="both"/>
        <w:rPr>
          <w:rFonts w:ascii="Verdana" w:hAnsi="Verdana"/>
          <w:sz w:val="20"/>
          <w:lang w:val="es-CR"/>
        </w:rPr>
      </w:pPr>
    </w:p>
    <w:p w14:paraId="09D2EB1D" w14:textId="2E335852" w:rsidR="00262988" w:rsidRPr="006A0A3F" w:rsidRDefault="00262988" w:rsidP="009F4D2D">
      <w:pPr>
        <w:pStyle w:val="ListParagraph"/>
        <w:numPr>
          <w:ilvl w:val="1"/>
          <w:numId w:val="4"/>
        </w:numPr>
        <w:ind w:left="426" w:hanging="219"/>
        <w:jc w:val="both"/>
        <w:rPr>
          <w:rFonts w:ascii="Verdana" w:hAnsi="Verdana"/>
          <w:sz w:val="20"/>
          <w:lang w:val="es-CR"/>
        </w:rPr>
      </w:pPr>
      <w:r w:rsidRPr="006A0A3F">
        <w:rPr>
          <w:rFonts w:ascii="Verdana" w:hAnsi="Verdana"/>
          <w:i/>
          <w:iCs/>
          <w:sz w:val="20"/>
          <w:shd w:val="clear" w:color="auto" w:fill="FFFFFF"/>
          <w:lang w:val="es-CR"/>
        </w:rPr>
        <w:t>Petición</w:t>
      </w:r>
      <w:r w:rsidRPr="006A0A3F">
        <w:rPr>
          <w:rFonts w:ascii="Verdana" w:hAnsi="Verdana"/>
          <w:sz w:val="20"/>
          <w:shd w:val="clear" w:color="auto" w:fill="FFFFFF"/>
          <w:lang w:val="es-CR"/>
        </w:rPr>
        <w:t xml:space="preserve">.- El 7 de marzo de 2006 la Comisión recibió </w:t>
      </w:r>
      <w:r w:rsidR="00AD0BD4" w:rsidRPr="006A0A3F">
        <w:rPr>
          <w:rFonts w:ascii="Verdana" w:hAnsi="Verdana" w:cs="Cambria"/>
          <w:sz w:val="20"/>
          <w:lang w:val="es-CR"/>
        </w:rPr>
        <w:t>una</w:t>
      </w:r>
      <w:r w:rsidRPr="006A0A3F">
        <w:rPr>
          <w:rFonts w:ascii="Verdana" w:hAnsi="Verdana" w:cs="Cambria"/>
          <w:sz w:val="20"/>
          <w:lang w:val="es-CR"/>
        </w:rPr>
        <w:t xml:space="preserve"> petición </w:t>
      </w:r>
      <w:r w:rsidRPr="006A0A3F">
        <w:rPr>
          <w:rFonts w:ascii="Verdana" w:hAnsi="Verdana"/>
          <w:sz w:val="20"/>
          <w:shd w:val="clear" w:color="auto" w:fill="FFFFFF"/>
          <w:lang w:val="es-CR"/>
        </w:rPr>
        <w:t xml:space="preserve">presentada por </w:t>
      </w:r>
      <w:r w:rsidR="009F4D2D" w:rsidRPr="006A0A3F">
        <w:rPr>
          <w:rFonts w:ascii="Verdana" w:hAnsi="Verdana"/>
          <w:sz w:val="20"/>
          <w:shd w:val="clear" w:color="auto" w:fill="FFFFFF"/>
          <w:lang w:val="es-CR"/>
        </w:rPr>
        <w:t xml:space="preserve">la señora </w:t>
      </w:r>
      <w:r w:rsidRPr="006A0A3F">
        <w:rPr>
          <w:rFonts w:ascii="Verdana" w:hAnsi="Verdana"/>
          <w:sz w:val="20"/>
          <w:shd w:val="clear" w:color="auto" w:fill="FFFFFF"/>
          <w:lang w:val="es-CR"/>
        </w:rPr>
        <w:t xml:space="preserve">Ligia Bolívar Osuna y </w:t>
      </w:r>
      <w:r w:rsidR="009F4D2D" w:rsidRPr="006A0A3F">
        <w:rPr>
          <w:rFonts w:ascii="Verdana" w:hAnsi="Verdana"/>
          <w:sz w:val="20"/>
          <w:shd w:val="clear" w:color="auto" w:fill="FFFFFF"/>
          <w:lang w:val="es-CR"/>
        </w:rPr>
        <w:t>el señor</w:t>
      </w:r>
      <w:r w:rsidR="007768C8" w:rsidRPr="006A0A3F">
        <w:rPr>
          <w:rFonts w:ascii="Verdana" w:hAnsi="Verdana"/>
          <w:sz w:val="20"/>
          <w:shd w:val="clear" w:color="auto" w:fill="FFFFFF"/>
          <w:lang w:val="es-CR"/>
        </w:rPr>
        <w:t xml:space="preserve"> </w:t>
      </w:r>
      <w:r w:rsidRPr="006A0A3F">
        <w:rPr>
          <w:rFonts w:ascii="Verdana" w:hAnsi="Verdana"/>
          <w:sz w:val="20"/>
          <w:shd w:val="clear" w:color="auto" w:fill="FFFFFF"/>
          <w:lang w:val="es-CR"/>
        </w:rPr>
        <w:t xml:space="preserve">Héctor </w:t>
      </w:r>
      <w:proofErr w:type="spellStart"/>
      <w:r w:rsidRPr="006A0A3F">
        <w:rPr>
          <w:rFonts w:ascii="Verdana" w:hAnsi="Verdana"/>
          <w:sz w:val="20"/>
          <w:shd w:val="clear" w:color="auto" w:fill="FFFFFF"/>
          <w:lang w:val="es-CR"/>
        </w:rPr>
        <w:t>Faúndez</w:t>
      </w:r>
      <w:proofErr w:type="spellEnd"/>
      <w:r w:rsidRPr="006A0A3F">
        <w:rPr>
          <w:rFonts w:ascii="Verdana" w:hAnsi="Verdana"/>
          <w:sz w:val="20"/>
          <w:shd w:val="clear" w:color="auto" w:fill="FFFFFF"/>
          <w:lang w:val="es-CR"/>
        </w:rPr>
        <w:t xml:space="preserve"> Ledesma, actuando en representación de las presuntas víctimas</w:t>
      </w:r>
      <w:r w:rsidR="00B30405" w:rsidRPr="006A0A3F">
        <w:rPr>
          <w:rFonts w:ascii="Verdana" w:hAnsi="Verdana"/>
          <w:sz w:val="20"/>
          <w:shd w:val="clear" w:color="auto" w:fill="FFFFFF"/>
          <w:lang w:val="es-CR"/>
        </w:rPr>
        <w:t>.</w:t>
      </w:r>
    </w:p>
    <w:p w14:paraId="3CD0C274" w14:textId="77777777" w:rsidR="00262988" w:rsidRPr="006A0A3F" w:rsidRDefault="00262988" w:rsidP="009F4D2D">
      <w:pPr>
        <w:pStyle w:val="ListParagraph"/>
        <w:ind w:left="426" w:hanging="219"/>
        <w:jc w:val="both"/>
        <w:rPr>
          <w:rFonts w:ascii="Verdana" w:hAnsi="Verdana"/>
          <w:sz w:val="20"/>
          <w:lang w:val="es-CR"/>
        </w:rPr>
      </w:pPr>
    </w:p>
    <w:p w14:paraId="3FAAF863" w14:textId="66E9763D" w:rsidR="00262988" w:rsidRPr="006A0A3F" w:rsidRDefault="00262988" w:rsidP="009F4D2D">
      <w:pPr>
        <w:pStyle w:val="ListParagraph"/>
        <w:numPr>
          <w:ilvl w:val="1"/>
          <w:numId w:val="4"/>
        </w:numPr>
        <w:ind w:left="426" w:hanging="219"/>
        <w:jc w:val="both"/>
        <w:rPr>
          <w:rFonts w:ascii="Verdana" w:hAnsi="Verdana"/>
          <w:sz w:val="20"/>
          <w:lang w:val="es-CR"/>
        </w:rPr>
      </w:pPr>
      <w:r w:rsidRPr="006A0A3F">
        <w:rPr>
          <w:rFonts w:ascii="Verdana" w:hAnsi="Verdana"/>
          <w:i/>
          <w:iCs/>
          <w:sz w:val="20"/>
          <w:shd w:val="clear" w:color="auto" w:fill="FFFFFF"/>
          <w:lang w:val="es-CR"/>
        </w:rPr>
        <w:t>Informe de admisibilidad</w:t>
      </w:r>
      <w:r w:rsidRPr="006A0A3F">
        <w:rPr>
          <w:rFonts w:ascii="Verdana" w:hAnsi="Verdana"/>
          <w:sz w:val="20"/>
          <w:shd w:val="clear" w:color="auto" w:fill="FFFFFF"/>
          <w:lang w:val="es-CR"/>
        </w:rPr>
        <w:t xml:space="preserve">. – El 16 de julio de 2013 la Comisión </w:t>
      </w:r>
      <w:r w:rsidR="00B83635" w:rsidRPr="006A0A3F">
        <w:rPr>
          <w:rFonts w:ascii="Verdana" w:hAnsi="Verdana"/>
          <w:sz w:val="20"/>
          <w:shd w:val="clear" w:color="auto" w:fill="FFFFFF"/>
          <w:lang w:val="es-CR"/>
        </w:rPr>
        <w:t xml:space="preserve">aprobó el Informe de Admisibilidad 59/13, en el que </w:t>
      </w:r>
      <w:r w:rsidRPr="006A0A3F">
        <w:rPr>
          <w:rFonts w:ascii="Verdana" w:hAnsi="Verdana"/>
          <w:sz w:val="20"/>
          <w:shd w:val="clear" w:color="auto" w:fill="FFFFFF"/>
          <w:lang w:val="es-CR"/>
        </w:rPr>
        <w:t xml:space="preserve">declaró </w:t>
      </w:r>
      <w:r w:rsidR="00B83635" w:rsidRPr="006A0A3F">
        <w:rPr>
          <w:rFonts w:ascii="Verdana" w:hAnsi="Verdana"/>
          <w:sz w:val="20"/>
          <w:shd w:val="clear" w:color="auto" w:fill="FFFFFF"/>
          <w:lang w:val="es-CR"/>
        </w:rPr>
        <w:t>que la petición 212-06 era admisible</w:t>
      </w:r>
      <w:r w:rsidRPr="006A0A3F">
        <w:rPr>
          <w:rFonts w:ascii="Verdana" w:hAnsi="Verdana"/>
          <w:sz w:val="20"/>
          <w:shd w:val="clear" w:color="auto" w:fill="FFFFFF"/>
          <w:vertAlign w:val="superscript"/>
          <w:lang w:val="es-CR"/>
        </w:rPr>
        <w:footnoteReference w:id="1"/>
      </w:r>
      <w:r w:rsidRPr="006A0A3F">
        <w:rPr>
          <w:rFonts w:ascii="Verdana" w:hAnsi="Verdana"/>
          <w:sz w:val="20"/>
          <w:shd w:val="clear" w:color="auto" w:fill="FFFFFF"/>
          <w:lang w:val="es-CR"/>
        </w:rPr>
        <w:t>.</w:t>
      </w:r>
    </w:p>
    <w:p w14:paraId="634BD6C2" w14:textId="77777777" w:rsidR="00262988" w:rsidRPr="006A0A3F" w:rsidRDefault="00262988" w:rsidP="009F4D2D">
      <w:pPr>
        <w:pStyle w:val="ListParagraph"/>
        <w:ind w:left="426" w:hanging="219"/>
        <w:jc w:val="both"/>
        <w:rPr>
          <w:rFonts w:ascii="Verdana" w:hAnsi="Verdana"/>
          <w:sz w:val="20"/>
          <w:lang w:val="es-CR"/>
        </w:rPr>
      </w:pPr>
    </w:p>
    <w:p w14:paraId="7FF5EABA" w14:textId="76ED6BB1" w:rsidR="00262988" w:rsidRPr="006A0A3F" w:rsidRDefault="00262988" w:rsidP="009F4D2D">
      <w:pPr>
        <w:pStyle w:val="ListParagraph"/>
        <w:numPr>
          <w:ilvl w:val="1"/>
          <w:numId w:val="4"/>
        </w:numPr>
        <w:ind w:left="426" w:hanging="219"/>
        <w:jc w:val="both"/>
        <w:rPr>
          <w:rFonts w:ascii="Verdana" w:hAnsi="Verdana"/>
          <w:sz w:val="20"/>
          <w:lang w:val="es-CR"/>
        </w:rPr>
      </w:pPr>
      <w:r w:rsidRPr="006A0A3F">
        <w:rPr>
          <w:rFonts w:ascii="Verdana" w:hAnsi="Verdana"/>
          <w:i/>
          <w:sz w:val="20"/>
          <w:lang w:val="es-CR"/>
        </w:rPr>
        <w:t>Informe de Fondo.</w:t>
      </w:r>
      <w:r w:rsidRPr="006A0A3F">
        <w:rPr>
          <w:rFonts w:ascii="Verdana" w:hAnsi="Verdana"/>
          <w:sz w:val="20"/>
          <w:lang w:val="es-CR"/>
        </w:rPr>
        <w:t xml:space="preserve"> – El 28 de octubre de 2015 la Comisión emitió el Informe de Fondo No. 75/15</w:t>
      </w:r>
      <w:r w:rsidR="007A2837" w:rsidRPr="006A0A3F">
        <w:rPr>
          <w:rFonts w:ascii="Verdana" w:hAnsi="Verdana"/>
          <w:sz w:val="20"/>
          <w:lang w:val="es-CR"/>
        </w:rPr>
        <w:t>,</w:t>
      </w:r>
      <w:r w:rsidRPr="006A0A3F">
        <w:rPr>
          <w:rFonts w:ascii="Verdana" w:hAnsi="Verdana"/>
          <w:sz w:val="20"/>
          <w:lang w:val="es-CR"/>
        </w:rPr>
        <w:t xml:space="preserve"> de conformidad con el artículo 50 de la Convención (en adelante “Informe de Fondo”), en el cual llegó a una serie de conclusiones y formuló varias recomendaciones:</w:t>
      </w:r>
    </w:p>
    <w:p w14:paraId="48350A48" w14:textId="77777777" w:rsidR="0044180C" w:rsidRPr="006A0A3F" w:rsidRDefault="0044180C" w:rsidP="00262988">
      <w:pPr>
        <w:pStyle w:val="ListParagraph"/>
        <w:ind w:left="567"/>
        <w:jc w:val="both"/>
        <w:rPr>
          <w:rFonts w:ascii="Verdana" w:hAnsi="Verdana"/>
          <w:sz w:val="20"/>
          <w:lang w:val="es-CR"/>
        </w:rPr>
      </w:pPr>
    </w:p>
    <w:p w14:paraId="4DF819E3" w14:textId="77777777" w:rsidR="00B208ED" w:rsidRPr="006A0A3F" w:rsidRDefault="00262988" w:rsidP="009F4D2D">
      <w:pPr>
        <w:pStyle w:val="ListParagraph"/>
        <w:ind w:left="567"/>
        <w:jc w:val="both"/>
        <w:rPr>
          <w:rFonts w:ascii="Verdana" w:hAnsi="Verdana"/>
          <w:sz w:val="20"/>
          <w:lang w:val="es-CR"/>
        </w:rPr>
      </w:pPr>
      <w:r w:rsidRPr="006A0A3F">
        <w:rPr>
          <w:rFonts w:ascii="Verdana" w:hAnsi="Verdana"/>
          <w:i/>
          <w:sz w:val="20"/>
          <w:lang w:val="es-CR"/>
        </w:rPr>
        <w:t>Conclusiones</w:t>
      </w:r>
      <w:r w:rsidRPr="006A0A3F">
        <w:rPr>
          <w:rFonts w:ascii="Verdana" w:hAnsi="Verdana"/>
          <w:sz w:val="20"/>
          <w:lang w:val="es-CR"/>
        </w:rPr>
        <w:t>.- La Comisión concluyó que el Estado era responsable por</w:t>
      </w:r>
    </w:p>
    <w:p w14:paraId="7B25740E" w14:textId="77777777" w:rsidR="00B208ED" w:rsidRPr="006A0A3F" w:rsidRDefault="00B208ED" w:rsidP="00BD7B65">
      <w:pPr>
        <w:pStyle w:val="ListParagraph"/>
        <w:ind w:left="709"/>
        <w:jc w:val="both"/>
        <w:rPr>
          <w:rFonts w:ascii="Verdana" w:hAnsi="Verdana"/>
          <w:sz w:val="20"/>
          <w:lang w:val="es-CR"/>
        </w:rPr>
      </w:pPr>
    </w:p>
    <w:p w14:paraId="0A329E54" w14:textId="678BB6B0" w:rsidR="00262988" w:rsidRPr="006A0A3F" w:rsidRDefault="00B208ED" w:rsidP="009F4D2D">
      <w:pPr>
        <w:pStyle w:val="ListParagraph"/>
        <w:ind w:left="851"/>
        <w:jc w:val="both"/>
        <w:rPr>
          <w:rFonts w:ascii="Verdana" w:hAnsi="Verdana"/>
          <w:sz w:val="20"/>
          <w:lang w:val="es-CR"/>
        </w:rPr>
      </w:pPr>
      <w:r w:rsidRPr="006A0A3F">
        <w:rPr>
          <w:rFonts w:ascii="Verdana" w:hAnsi="Verdana"/>
          <w:sz w:val="16"/>
          <w:szCs w:val="16"/>
          <w:lang w:val="es-CR"/>
        </w:rPr>
        <w:t>[…</w:t>
      </w:r>
      <w:r w:rsidR="006B7AD9" w:rsidRPr="006A0A3F">
        <w:rPr>
          <w:rFonts w:ascii="Verdana" w:hAnsi="Verdana"/>
          <w:sz w:val="16"/>
          <w:szCs w:val="16"/>
          <w:lang w:val="es-CR"/>
        </w:rPr>
        <w:t>]</w:t>
      </w:r>
      <w:r w:rsidR="006B7AD9" w:rsidRPr="006A0A3F">
        <w:rPr>
          <w:rFonts w:ascii="Verdana" w:hAnsi="Verdana" w:cs="Cambria"/>
          <w:sz w:val="16"/>
          <w:szCs w:val="16"/>
          <w:lang w:val="es-CR"/>
        </w:rPr>
        <w:t xml:space="preserve"> la</w:t>
      </w:r>
      <w:r w:rsidR="00262988" w:rsidRPr="006A0A3F">
        <w:rPr>
          <w:rFonts w:ascii="Verdana" w:hAnsi="Verdana" w:cs="Cambria"/>
          <w:sz w:val="16"/>
          <w:szCs w:val="16"/>
          <w:lang w:val="es-CR"/>
        </w:rPr>
        <w:t xml:space="preserve"> violación de los derechos políticos, el derecho a la libertad de expresión, el derecho a la igualdad ante la ley y no discriminación, a las garantías judiciales y a la protección judicial consagrados en los artículos 23, 13, 24, 8 y 25 de la Convención Americana, en relación con el artículo 1.1 del mismo instrumento en perjuicio de Rocío San Miguel Sosa, </w:t>
      </w:r>
      <w:proofErr w:type="spellStart"/>
      <w:r w:rsidR="00262988" w:rsidRPr="006A0A3F">
        <w:rPr>
          <w:rFonts w:ascii="Verdana" w:hAnsi="Verdana" w:cs="Cambria"/>
          <w:sz w:val="16"/>
          <w:szCs w:val="16"/>
          <w:lang w:val="es-CR"/>
        </w:rPr>
        <w:t>Magally</w:t>
      </w:r>
      <w:proofErr w:type="spellEnd"/>
      <w:r w:rsidR="00262988" w:rsidRPr="006A0A3F">
        <w:rPr>
          <w:rFonts w:ascii="Verdana" w:hAnsi="Verdana" w:cs="Cambria"/>
          <w:sz w:val="16"/>
          <w:szCs w:val="16"/>
          <w:lang w:val="es-CR"/>
        </w:rPr>
        <w:t xml:space="preserve"> Chang Girón y Thais Coromoto Peña. Además consideró que, con base en la información disponible, la posible violación al derecho a la integridad personal se encuentra subsumida en las violaciones declaradas a lo largo del informe, </w:t>
      </w:r>
      <w:r w:rsidR="005B0B8E" w:rsidRPr="006A0A3F">
        <w:rPr>
          <w:rFonts w:ascii="Verdana" w:hAnsi="Verdana" w:cs="Cambria"/>
          <w:sz w:val="16"/>
          <w:szCs w:val="16"/>
          <w:lang w:val="es-CR"/>
        </w:rPr>
        <w:t xml:space="preserve">y que </w:t>
      </w:r>
      <w:r w:rsidR="00262988" w:rsidRPr="006A0A3F">
        <w:rPr>
          <w:rFonts w:ascii="Verdana" w:hAnsi="Verdana" w:cs="Cambria"/>
          <w:sz w:val="16"/>
          <w:szCs w:val="16"/>
          <w:lang w:val="es-CR"/>
        </w:rPr>
        <w:t xml:space="preserve">por lo tanto, la Comisión no </w:t>
      </w:r>
      <w:r w:rsidR="005B0B8E" w:rsidRPr="006A0A3F">
        <w:rPr>
          <w:rFonts w:ascii="Verdana" w:hAnsi="Verdana" w:cs="Cambria"/>
          <w:sz w:val="16"/>
          <w:szCs w:val="16"/>
          <w:lang w:val="es-CR"/>
        </w:rPr>
        <w:t xml:space="preserve">contó </w:t>
      </w:r>
      <w:r w:rsidR="00262988" w:rsidRPr="006A0A3F">
        <w:rPr>
          <w:rFonts w:ascii="Verdana" w:hAnsi="Verdana" w:cs="Cambria"/>
          <w:sz w:val="16"/>
          <w:szCs w:val="16"/>
          <w:lang w:val="es-CR"/>
        </w:rPr>
        <w:t>con elementos que le permitan determinar la necesidad de efectuar una determinación separada sobre el artículo 5 de la Convención Americana.</w:t>
      </w:r>
    </w:p>
    <w:p w14:paraId="347FEC5A" w14:textId="77777777" w:rsidR="00262988" w:rsidRPr="006A0A3F" w:rsidRDefault="00262988" w:rsidP="00262988">
      <w:pPr>
        <w:pStyle w:val="ListParagraph"/>
        <w:ind w:left="709"/>
        <w:jc w:val="both"/>
        <w:rPr>
          <w:rFonts w:ascii="Verdana" w:hAnsi="Verdana"/>
          <w:sz w:val="20"/>
          <w:lang w:val="es-CR"/>
        </w:rPr>
      </w:pPr>
    </w:p>
    <w:p w14:paraId="04C10675" w14:textId="10655B30" w:rsidR="00262988" w:rsidRPr="006A0A3F" w:rsidRDefault="00262988" w:rsidP="009F4D2D">
      <w:pPr>
        <w:pStyle w:val="ListParagraph"/>
        <w:ind w:left="567"/>
        <w:jc w:val="both"/>
        <w:rPr>
          <w:rFonts w:ascii="Verdana" w:hAnsi="Verdana"/>
          <w:sz w:val="20"/>
          <w:lang w:val="es-CR"/>
        </w:rPr>
      </w:pPr>
      <w:r w:rsidRPr="006A0A3F">
        <w:rPr>
          <w:rFonts w:ascii="Verdana" w:hAnsi="Verdana"/>
          <w:i/>
          <w:sz w:val="20"/>
          <w:lang w:val="es-CR"/>
        </w:rPr>
        <w:t>Recomendaciones</w:t>
      </w:r>
      <w:r w:rsidRPr="006A0A3F">
        <w:rPr>
          <w:rFonts w:ascii="Verdana" w:hAnsi="Verdana"/>
          <w:sz w:val="20"/>
          <w:lang w:val="es-CR"/>
        </w:rPr>
        <w:t xml:space="preserve">.- La Comisión recomendó al Estado: </w:t>
      </w:r>
    </w:p>
    <w:p w14:paraId="7CBF9F5B" w14:textId="77777777" w:rsidR="00844B66" w:rsidRPr="006A0A3F" w:rsidRDefault="00844B66" w:rsidP="00844B66">
      <w:pPr>
        <w:pStyle w:val="ListParagraph"/>
        <w:ind w:left="709"/>
        <w:jc w:val="both"/>
        <w:rPr>
          <w:rFonts w:ascii="Verdana" w:hAnsi="Verdana"/>
          <w:sz w:val="20"/>
          <w:lang w:val="es-CR"/>
        </w:rPr>
      </w:pPr>
    </w:p>
    <w:p w14:paraId="3B675873" w14:textId="2A9B099F" w:rsidR="00262988" w:rsidRPr="006A0A3F" w:rsidRDefault="00262988" w:rsidP="009F4D2D">
      <w:pPr>
        <w:pStyle w:val="ListParagraph"/>
        <w:numPr>
          <w:ilvl w:val="3"/>
          <w:numId w:val="4"/>
        </w:numPr>
        <w:ind w:left="851" w:hanging="283"/>
        <w:jc w:val="both"/>
        <w:rPr>
          <w:rFonts w:ascii="Verdana" w:hAnsi="Verdana"/>
          <w:sz w:val="16"/>
          <w:szCs w:val="16"/>
          <w:lang w:val="es-CR"/>
        </w:rPr>
      </w:pPr>
      <w:r w:rsidRPr="006A0A3F">
        <w:rPr>
          <w:rFonts w:ascii="Verdana" w:hAnsi="Verdana" w:cs="Cambria"/>
          <w:sz w:val="16"/>
          <w:szCs w:val="16"/>
          <w:lang w:val="es-CR"/>
        </w:rPr>
        <w:t>Reincorporar a las víctimas a la función pública en un cargo de igual categoría al que tendrían actualmente de no haber sido separadas de sus cargos. En caso de que esta no sea la voluntad de las víctimas o que existan razones objetivas que impidan la reincorporación, el Estado deberá pagar una indemnización por este motivo, que es independiente de las reparaciones relativas al daño material y moral incluidas en la recomendación número dos.</w:t>
      </w:r>
    </w:p>
    <w:p w14:paraId="06B902D5" w14:textId="77777777" w:rsidR="00262988" w:rsidRPr="006A0A3F" w:rsidRDefault="00262988" w:rsidP="009F4D2D">
      <w:pPr>
        <w:pStyle w:val="ListParagraph"/>
        <w:numPr>
          <w:ilvl w:val="3"/>
          <w:numId w:val="4"/>
        </w:numPr>
        <w:ind w:left="851" w:hanging="283"/>
        <w:jc w:val="both"/>
        <w:rPr>
          <w:rFonts w:ascii="Verdana" w:hAnsi="Verdana"/>
          <w:sz w:val="16"/>
          <w:szCs w:val="16"/>
          <w:lang w:val="es-CR"/>
        </w:rPr>
      </w:pPr>
      <w:r w:rsidRPr="006A0A3F">
        <w:rPr>
          <w:rFonts w:ascii="Verdana" w:hAnsi="Verdana" w:cs="Cambria"/>
          <w:sz w:val="16"/>
          <w:szCs w:val="16"/>
          <w:lang w:val="es-CR"/>
        </w:rPr>
        <w:t>Reparar adecuadamente las violaciones de derechos humanos declaradas en el presente informe tanto en el aspecto material como moral.</w:t>
      </w:r>
    </w:p>
    <w:p w14:paraId="02AE4AB3" w14:textId="77777777" w:rsidR="00262988" w:rsidRPr="006A0A3F" w:rsidRDefault="00262988" w:rsidP="009F4D2D">
      <w:pPr>
        <w:pStyle w:val="ListParagraph"/>
        <w:numPr>
          <w:ilvl w:val="3"/>
          <w:numId w:val="4"/>
        </w:numPr>
        <w:ind w:left="851" w:hanging="283"/>
        <w:jc w:val="both"/>
        <w:rPr>
          <w:rFonts w:ascii="Verdana" w:hAnsi="Verdana"/>
          <w:sz w:val="16"/>
          <w:szCs w:val="16"/>
          <w:lang w:val="es-CR"/>
        </w:rPr>
      </w:pPr>
      <w:r w:rsidRPr="006A0A3F">
        <w:rPr>
          <w:rFonts w:ascii="Verdana" w:hAnsi="Verdana" w:cs="Cambria"/>
          <w:sz w:val="16"/>
          <w:szCs w:val="16"/>
          <w:lang w:val="es-CR"/>
        </w:rPr>
        <w:t>Llevar a cabo los procedimientos penales, administrativos o de otra índole que correspondan, relacionados con las violaciones de derechos humanos declaradas en el presente informe de manera imparcial, efectiva y dentro de un plazo razonable, con el objeto de esclarecer los hechos en forma completa y establecer las respectivas responsabilidades.</w:t>
      </w:r>
    </w:p>
    <w:p w14:paraId="4DCC1856" w14:textId="43B3517C" w:rsidR="00E811EF" w:rsidRPr="006A0A3F" w:rsidRDefault="00262988" w:rsidP="009F4D2D">
      <w:pPr>
        <w:pStyle w:val="ListParagraph"/>
        <w:numPr>
          <w:ilvl w:val="3"/>
          <w:numId w:val="4"/>
        </w:numPr>
        <w:ind w:left="851" w:hanging="283"/>
        <w:jc w:val="both"/>
        <w:rPr>
          <w:rFonts w:ascii="Verdana" w:hAnsi="Verdana"/>
          <w:sz w:val="16"/>
          <w:szCs w:val="16"/>
          <w:lang w:val="es-CR"/>
        </w:rPr>
      </w:pPr>
      <w:r w:rsidRPr="006A0A3F">
        <w:rPr>
          <w:rFonts w:ascii="Verdana" w:hAnsi="Verdana" w:cs="Cambria"/>
          <w:sz w:val="16"/>
          <w:szCs w:val="16"/>
          <w:lang w:val="es-CR"/>
        </w:rPr>
        <w:t>Adoptar medidas de no repetición necesarias para evitar que en el futuro se produzcan hechos similares. En particular, adoptar medidas legislativas, administrativas o de otra índole para prevenir la discriminación por razones políticas. En este marco, asegurar la existencia de reglas claras sobre el acceso y utilización de datos recogidos en procesos electorales, con las salvaguardas necesarias para garantizar la libre expresión de la opinión política sin temor a posibles represalias. Asimismo, llevar a cabo programas de capacitación: i) a funcionarios públicos de todos los niveles sobre la prohibición de discriminación con base en la opinión política; y ii) a operadores jurídicos llamados a conocer posibles denuncias de discriminación encubierta o desviación de poder.</w:t>
      </w:r>
    </w:p>
    <w:p w14:paraId="4883F440" w14:textId="77777777" w:rsidR="00262988" w:rsidRPr="006A0A3F" w:rsidRDefault="00262988" w:rsidP="000E1C47">
      <w:pPr>
        <w:pStyle w:val="ListParagraph"/>
        <w:ind w:left="709"/>
        <w:jc w:val="both"/>
        <w:rPr>
          <w:rFonts w:ascii="Verdana" w:hAnsi="Verdana"/>
          <w:sz w:val="20"/>
          <w:lang w:val="es-CR"/>
        </w:rPr>
      </w:pPr>
    </w:p>
    <w:p w14:paraId="6C612911" w14:textId="7A600E9D" w:rsidR="00E811EF" w:rsidRPr="006A0A3F" w:rsidRDefault="00E811EF" w:rsidP="009F4D2D">
      <w:pPr>
        <w:pStyle w:val="ListParagraph"/>
        <w:numPr>
          <w:ilvl w:val="1"/>
          <w:numId w:val="4"/>
        </w:numPr>
        <w:ind w:left="426" w:hanging="284"/>
        <w:jc w:val="both"/>
        <w:rPr>
          <w:rFonts w:ascii="Verdana" w:hAnsi="Verdana"/>
          <w:sz w:val="20"/>
          <w:lang w:val="es-CR"/>
        </w:rPr>
      </w:pPr>
      <w:r w:rsidRPr="006A0A3F">
        <w:rPr>
          <w:rFonts w:ascii="Verdana" w:hAnsi="Verdana"/>
          <w:i/>
          <w:sz w:val="20"/>
          <w:lang w:val="es-CR"/>
        </w:rPr>
        <w:t>Notificación al Estado</w:t>
      </w:r>
      <w:r w:rsidRPr="006A0A3F">
        <w:rPr>
          <w:rFonts w:ascii="Verdana" w:hAnsi="Verdana"/>
          <w:sz w:val="20"/>
          <w:lang w:val="es-CR"/>
        </w:rPr>
        <w:t xml:space="preserve">.- </w:t>
      </w:r>
      <w:r w:rsidR="00D64AF4" w:rsidRPr="006A0A3F">
        <w:rPr>
          <w:rFonts w:ascii="Verdana" w:hAnsi="Verdana"/>
          <w:sz w:val="20"/>
          <w:lang w:val="es-CR"/>
        </w:rPr>
        <w:t>La Comisión notificó el Informe de Fondo al Estado el 8 de diciembre de 2015 y le otorgó un plazo de dos meses para informar sobre el cumpli</w:t>
      </w:r>
      <w:r w:rsidR="00754863">
        <w:rPr>
          <w:rFonts w:ascii="Verdana" w:hAnsi="Verdana"/>
          <w:sz w:val="20"/>
          <w:lang w:val="es-CR"/>
        </w:rPr>
        <w:t>miento de las recomendaciones. La Comisión señaló que, a</w:t>
      </w:r>
      <w:r w:rsidR="00D64AF4" w:rsidRPr="006A0A3F">
        <w:rPr>
          <w:rFonts w:ascii="Verdana" w:hAnsi="Verdana"/>
          <w:sz w:val="20"/>
          <w:lang w:val="es-CR"/>
        </w:rPr>
        <w:t xml:space="preserve"> la fecha de </w:t>
      </w:r>
      <w:r w:rsidR="00274070" w:rsidRPr="006A0A3F">
        <w:rPr>
          <w:rFonts w:ascii="Verdana" w:hAnsi="Verdana"/>
          <w:sz w:val="20"/>
          <w:lang w:val="es-CR"/>
        </w:rPr>
        <w:t>sometimiento del caso ante la Corte</w:t>
      </w:r>
      <w:r w:rsidR="00D64AF4" w:rsidRPr="006A0A3F">
        <w:rPr>
          <w:rFonts w:ascii="Verdana" w:hAnsi="Verdana"/>
          <w:sz w:val="20"/>
          <w:lang w:val="es-CR"/>
        </w:rPr>
        <w:t xml:space="preserve">, el Estado no </w:t>
      </w:r>
      <w:r w:rsidR="00754863">
        <w:rPr>
          <w:rFonts w:ascii="Verdana" w:hAnsi="Verdana"/>
          <w:sz w:val="20"/>
          <w:lang w:val="es-CR"/>
        </w:rPr>
        <w:t>había enviado</w:t>
      </w:r>
      <w:r w:rsidR="00D64AF4" w:rsidRPr="006A0A3F">
        <w:rPr>
          <w:rFonts w:ascii="Verdana" w:hAnsi="Verdana"/>
          <w:sz w:val="20"/>
          <w:lang w:val="es-CR"/>
        </w:rPr>
        <w:t xml:space="preserve"> respuesta alguna</w:t>
      </w:r>
      <w:r w:rsidR="005B0B8E" w:rsidRPr="006A0A3F">
        <w:rPr>
          <w:rFonts w:ascii="Verdana" w:hAnsi="Verdana"/>
          <w:sz w:val="20"/>
          <w:lang w:val="es-CR"/>
        </w:rPr>
        <w:t>.</w:t>
      </w:r>
    </w:p>
    <w:p w14:paraId="64851C53" w14:textId="77777777" w:rsidR="00E811EF" w:rsidRPr="006A0A3F" w:rsidRDefault="00E811EF" w:rsidP="000E1C47">
      <w:pPr>
        <w:pStyle w:val="ListParagraph"/>
        <w:ind w:left="0"/>
        <w:jc w:val="both"/>
        <w:rPr>
          <w:rFonts w:ascii="Verdana" w:eastAsiaTheme="minorHAnsi" w:hAnsi="Verdana" w:cstheme="minorBidi"/>
          <w:sz w:val="20"/>
          <w:szCs w:val="22"/>
          <w:lang w:val="es-CR"/>
        </w:rPr>
      </w:pPr>
    </w:p>
    <w:p w14:paraId="0D2298AD" w14:textId="1A696D24" w:rsidR="00770115" w:rsidRPr="006A0A3F" w:rsidRDefault="007B3B4E" w:rsidP="002F0D91">
      <w:pPr>
        <w:pStyle w:val="ListParagraph"/>
        <w:numPr>
          <w:ilvl w:val="0"/>
          <w:numId w:val="4"/>
        </w:numPr>
        <w:ind w:left="0" w:firstLine="0"/>
        <w:jc w:val="both"/>
        <w:rPr>
          <w:rFonts w:ascii="Verdana" w:hAnsi="Verdana"/>
          <w:sz w:val="20"/>
          <w:lang w:val="es-CR"/>
        </w:rPr>
      </w:pPr>
      <w:r w:rsidRPr="006A0A3F">
        <w:rPr>
          <w:rFonts w:ascii="Verdana" w:hAnsi="Verdana"/>
          <w:i/>
          <w:iCs/>
          <w:sz w:val="20"/>
          <w:lang w:val="es-CR"/>
        </w:rPr>
        <w:t>Sometimiento a la Corte</w:t>
      </w:r>
      <w:r w:rsidR="00770115" w:rsidRPr="006A0A3F">
        <w:rPr>
          <w:rFonts w:ascii="Verdana" w:hAnsi="Verdana"/>
          <w:sz w:val="20"/>
          <w:lang w:val="es-CR"/>
        </w:rPr>
        <w:t xml:space="preserve">.- El </w:t>
      </w:r>
      <w:r w:rsidR="00DA16CC" w:rsidRPr="006A0A3F">
        <w:rPr>
          <w:rFonts w:ascii="Verdana" w:hAnsi="Verdana"/>
          <w:sz w:val="20"/>
          <w:lang w:val="es-CR"/>
        </w:rPr>
        <w:t xml:space="preserve">8 </w:t>
      </w:r>
      <w:r w:rsidRPr="006A0A3F">
        <w:rPr>
          <w:rFonts w:ascii="Verdana" w:hAnsi="Verdana"/>
          <w:sz w:val="20"/>
          <w:lang w:val="es-CR"/>
        </w:rPr>
        <w:t xml:space="preserve">de </w:t>
      </w:r>
      <w:r w:rsidR="001546C4" w:rsidRPr="006A0A3F">
        <w:rPr>
          <w:rFonts w:ascii="Verdana" w:hAnsi="Verdana"/>
          <w:sz w:val="20"/>
          <w:lang w:val="es-CR"/>
        </w:rPr>
        <w:t>marzo de 2016</w:t>
      </w:r>
      <w:r w:rsidRPr="006A0A3F">
        <w:rPr>
          <w:rFonts w:ascii="Verdana" w:hAnsi="Verdana"/>
          <w:sz w:val="20"/>
          <w:lang w:val="es-CR"/>
        </w:rPr>
        <w:t xml:space="preserve"> la Comisión</w:t>
      </w:r>
      <w:r w:rsidR="00912DDA" w:rsidRPr="006A0A3F">
        <w:rPr>
          <w:rFonts w:ascii="Verdana" w:hAnsi="Verdana"/>
          <w:sz w:val="20"/>
          <w:lang w:val="es-CR"/>
        </w:rPr>
        <w:t xml:space="preserve"> </w:t>
      </w:r>
      <w:r w:rsidR="006766B6" w:rsidRPr="006A0A3F">
        <w:rPr>
          <w:rFonts w:ascii="Verdana" w:hAnsi="Verdana"/>
          <w:sz w:val="20"/>
          <w:lang w:val="es-CR"/>
        </w:rPr>
        <w:t xml:space="preserve">sometió a la Corte </w:t>
      </w:r>
      <w:r w:rsidRPr="006A0A3F">
        <w:rPr>
          <w:rFonts w:ascii="Verdana" w:hAnsi="Verdana"/>
          <w:sz w:val="20"/>
          <w:lang w:val="es-CR"/>
        </w:rPr>
        <w:t>la totalidad de los hechos y violaciones de derechos humanos de</w:t>
      </w:r>
      <w:r w:rsidR="00770115" w:rsidRPr="006A0A3F">
        <w:rPr>
          <w:rFonts w:ascii="Verdana" w:hAnsi="Verdana"/>
          <w:sz w:val="20"/>
          <w:lang w:val="es-CR"/>
        </w:rPr>
        <w:t xml:space="preserve">scritos en el Informe de Fondo </w:t>
      </w:r>
      <w:r w:rsidR="001546C4" w:rsidRPr="006A0A3F">
        <w:rPr>
          <w:rFonts w:ascii="Verdana" w:hAnsi="Verdana"/>
          <w:sz w:val="20"/>
          <w:lang w:val="es-CR"/>
        </w:rPr>
        <w:t>75/15</w:t>
      </w:r>
      <w:r w:rsidRPr="006A0A3F">
        <w:rPr>
          <w:rFonts w:ascii="Verdana" w:hAnsi="Verdana"/>
          <w:sz w:val="20"/>
          <w:lang w:val="es-CR"/>
        </w:rPr>
        <w:t xml:space="preserve"> por la “necesidad de obtención de justicia</w:t>
      </w:r>
      <w:r w:rsidR="0069327C" w:rsidRPr="006A0A3F">
        <w:rPr>
          <w:rFonts w:ascii="Verdana" w:hAnsi="Verdana"/>
          <w:sz w:val="20"/>
          <w:lang w:val="es-CR"/>
        </w:rPr>
        <w:t xml:space="preserve"> </w:t>
      </w:r>
      <w:r w:rsidR="001546C4" w:rsidRPr="006A0A3F">
        <w:rPr>
          <w:rFonts w:ascii="Verdana" w:hAnsi="Verdana"/>
          <w:sz w:val="20"/>
          <w:lang w:val="es-CR"/>
        </w:rPr>
        <w:t xml:space="preserve">para las tres </w:t>
      </w:r>
      <w:r w:rsidR="00274070" w:rsidRPr="006A0A3F">
        <w:rPr>
          <w:rFonts w:ascii="Verdana" w:hAnsi="Verdana"/>
          <w:sz w:val="20"/>
          <w:lang w:val="es-CR"/>
        </w:rPr>
        <w:t xml:space="preserve">[presuntas] </w:t>
      </w:r>
      <w:r w:rsidR="006B7AD9" w:rsidRPr="006A0A3F">
        <w:rPr>
          <w:rFonts w:ascii="Verdana" w:hAnsi="Verdana"/>
          <w:sz w:val="20"/>
          <w:lang w:val="es-CR"/>
        </w:rPr>
        <w:t>víctimas</w:t>
      </w:r>
      <w:r w:rsidRPr="006A0A3F">
        <w:rPr>
          <w:rFonts w:ascii="Verdana" w:hAnsi="Verdana"/>
          <w:sz w:val="20"/>
          <w:lang w:val="es-CR"/>
        </w:rPr>
        <w:t>”</w:t>
      </w:r>
      <w:r w:rsidRPr="006A0A3F">
        <w:rPr>
          <w:rFonts w:ascii="Verdana" w:hAnsi="Verdana"/>
          <w:sz w:val="20"/>
          <w:vertAlign w:val="superscript"/>
          <w:lang w:val="es-CR"/>
        </w:rPr>
        <w:footnoteReference w:id="2"/>
      </w:r>
      <w:r w:rsidR="00912DDA" w:rsidRPr="006A0A3F">
        <w:rPr>
          <w:rFonts w:ascii="Verdana" w:hAnsi="Verdana"/>
          <w:sz w:val="20"/>
          <w:lang w:val="es-CR"/>
        </w:rPr>
        <w:t xml:space="preserve">. </w:t>
      </w:r>
    </w:p>
    <w:p w14:paraId="41651821" w14:textId="77777777" w:rsidR="00912DDA" w:rsidRPr="006A0A3F" w:rsidRDefault="00912DDA" w:rsidP="00912DDA">
      <w:pPr>
        <w:pStyle w:val="ListParagraph"/>
        <w:ind w:left="0"/>
        <w:jc w:val="both"/>
        <w:rPr>
          <w:rFonts w:ascii="Verdana" w:hAnsi="Verdana"/>
          <w:sz w:val="20"/>
          <w:lang w:val="es-CR"/>
        </w:rPr>
      </w:pPr>
    </w:p>
    <w:p w14:paraId="3A9893C0" w14:textId="5F59EF55" w:rsidR="002E2359" w:rsidRPr="006A0A3F" w:rsidRDefault="007B3B4E"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Solicitudes de la Comisión Interamericana</w:t>
      </w:r>
      <w:r w:rsidRPr="006A0A3F">
        <w:rPr>
          <w:rFonts w:ascii="Verdana" w:hAnsi="Verdana"/>
          <w:sz w:val="20"/>
          <w:lang w:val="es-CR"/>
        </w:rPr>
        <w:t xml:space="preserve">.- Con base en lo anterior, la Comisión solicitó a este Tribunal que concluyera y declarara </w:t>
      </w:r>
      <w:r w:rsidR="001546C4" w:rsidRPr="006A0A3F">
        <w:rPr>
          <w:rFonts w:ascii="Verdana" w:hAnsi="Verdana"/>
          <w:sz w:val="20"/>
          <w:lang w:val="es-CR"/>
        </w:rPr>
        <w:t xml:space="preserve">que el Estado es responsable por la </w:t>
      </w:r>
      <w:r w:rsidR="00DA16CC" w:rsidRPr="006A0A3F">
        <w:rPr>
          <w:rFonts w:ascii="Verdana" w:hAnsi="Verdana"/>
          <w:sz w:val="20"/>
          <w:lang w:val="es-CR"/>
        </w:rPr>
        <w:t>violación</w:t>
      </w:r>
      <w:r w:rsidR="001546C4" w:rsidRPr="006A0A3F">
        <w:rPr>
          <w:rFonts w:ascii="Verdana" w:hAnsi="Verdana"/>
          <w:sz w:val="20"/>
          <w:lang w:val="es-CR"/>
        </w:rPr>
        <w:t xml:space="preserve"> de los derechos declarados en su Informe de Fondo y </w:t>
      </w:r>
      <w:r w:rsidR="000E1C47" w:rsidRPr="006A0A3F">
        <w:rPr>
          <w:rFonts w:ascii="Verdana" w:hAnsi="Verdana"/>
          <w:sz w:val="20"/>
          <w:lang w:val="es-CR"/>
        </w:rPr>
        <w:t>que le ordenara, como medidas de reparación, las recomendaciones contenidas en el mismo</w:t>
      </w:r>
      <w:r w:rsidR="001546C4" w:rsidRPr="006A0A3F">
        <w:rPr>
          <w:rFonts w:ascii="Verdana" w:hAnsi="Verdana"/>
          <w:sz w:val="20"/>
          <w:lang w:val="es-CR"/>
        </w:rPr>
        <w:t xml:space="preserve">. </w:t>
      </w:r>
    </w:p>
    <w:p w14:paraId="27FF67FB" w14:textId="77777777" w:rsidR="0039120A" w:rsidRPr="006A0A3F" w:rsidRDefault="0039120A" w:rsidP="002D718B">
      <w:pPr>
        <w:pStyle w:val="ListParagraph"/>
        <w:ind w:left="0"/>
        <w:jc w:val="both"/>
        <w:rPr>
          <w:rFonts w:ascii="Verdana" w:hAnsi="Verdana"/>
          <w:sz w:val="20"/>
          <w:lang w:val="es-CR"/>
        </w:rPr>
      </w:pPr>
    </w:p>
    <w:p w14:paraId="0C44DA62" w14:textId="77777777" w:rsidR="0039120A" w:rsidRPr="006A0A3F" w:rsidRDefault="0039120A" w:rsidP="002D718B">
      <w:pPr>
        <w:pStyle w:val="ListParagraph"/>
        <w:ind w:left="0"/>
        <w:jc w:val="both"/>
        <w:rPr>
          <w:rFonts w:ascii="Verdana" w:hAnsi="Verdana"/>
          <w:sz w:val="20"/>
          <w:lang w:val="es-CR"/>
        </w:rPr>
      </w:pPr>
    </w:p>
    <w:p w14:paraId="0BC11E59" w14:textId="77777777" w:rsidR="007B3B4E" w:rsidRPr="006A0A3F" w:rsidRDefault="007B3B4E" w:rsidP="000065AA">
      <w:pPr>
        <w:pStyle w:val="Heading1"/>
        <w:spacing w:before="0" w:after="0" w:line="240" w:lineRule="auto"/>
        <w:jc w:val="center"/>
        <w:rPr>
          <w:rFonts w:ascii="Verdana" w:hAnsi="Verdana" w:cs="Verdana"/>
          <w:caps/>
          <w:noProof/>
          <w:snapToGrid w:val="0"/>
          <w:sz w:val="20"/>
          <w:szCs w:val="20"/>
          <w:lang w:val="es-CR" w:eastAsia="es-ES"/>
        </w:rPr>
      </w:pPr>
      <w:bookmarkStart w:id="4" w:name="_Toc340752579"/>
      <w:bookmarkStart w:id="5" w:name="_Toc505876981"/>
      <w:r w:rsidRPr="006A0A3F">
        <w:rPr>
          <w:rFonts w:ascii="Verdana" w:hAnsi="Verdana" w:cs="Verdana"/>
          <w:caps/>
          <w:noProof/>
          <w:snapToGrid w:val="0"/>
          <w:sz w:val="20"/>
          <w:szCs w:val="20"/>
          <w:lang w:val="es-CR" w:eastAsia="es-ES"/>
        </w:rPr>
        <w:t>II</w:t>
      </w:r>
      <w:r w:rsidR="000065AA" w:rsidRPr="006A0A3F">
        <w:rPr>
          <w:rFonts w:ascii="Verdana" w:hAnsi="Verdana" w:cs="Verdana"/>
          <w:caps/>
          <w:noProof/>
          <w:snapToGrid w:val="0"/>
          <w:sz w:val="20"/>
          <w:szCs w:val="20"/>
          <w:lang w:val="es-CR" w:eastAsia="es-ES"/>
        </w:rPr>
        <w:br/>
      </w:r>
      <w:r w:rsidRPr="006A0A3F">
        <w:rPr>
          <w:rFonts w:ascii="Verdana" w:hAnsi="Verdana" w:cs="Verdana"/>
          <w:caps/>
          <w:noProof/>
          <w:snapToGrid w:val="0"/>
          <w:sz w:val="20"/>
          <w:szCs w:val="20"/>
          <w:lang w:val="es-CR" w:eastAsia="es-ES"/>
        </w:rPr>
        <w:t>PROCEDIMIENTO ANTE LA CORTE</w:t>
      </w:r>
      <w:bookmarkEnd w:id="4"/>
      <w:bookmarkEnd w:id="5"/>
    </w:p>
    <w:p w14:paraId="4A5BD290" w14:textId="77777777" w:rsidR="00877742" w:rsidRPr="006A0A3F" w:rsidRDefault="00877742" w:rsidP="007B3B4E">
      <w:pPr>
        <w:spacing w:after="0" w:line="240" w:lineRule="auto"/>
        <w:jc w:val="both"/>
        <w:rPr>
          <w:rFonts w:ascii="Verdana" w:hAnsi="Verdana" w:cs="Times New Roman"/>
          <w:sz w:val="20"/>
          <w:szCs w:val="20"/>
        </w:rPr>
      </w:pPr>
    </w:p>
    <w:p w14:paraId="54BFA308" w14:textId="39936B17" w:rsidR="008A43F3" w:rsidRPr="006A0A3F" w:rsidRDefault="008A43F3"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Notificación al Estado y a</w:t>
      </w:r>
      <w:r w:rsidR="00DA16CC" w:rsidRPr="006A0A3F">
        <w:rPr>
          <w:rFonts w:ascii="Verdana" w:hAnsi="Verdana"/>
          <w:i/>
          <w:sz w:val="20"/>
          <w:lang w:val="es-CR"/>
        </w:rPr>
        <w:t>l</w:t>
      </w:r>
      <w:r w:rsidRPr="006A0A3F">
        <w:rPr>
          <w:rFonts w:ascii="Verdana" w:hAnsi="Verdana"/>
          <w:i/>
          <w:sz w:val="20"/>
          <w:lang w:val="es-CR"/>
        </w:rPr>
        <w:t xml:space="preserve"> representante de las presuntas víctimas</w:t>
      </w:r>
      <w:r w:rsidRPr="006A0A3F">
        <w:rPr>
          <w:rFonts w:ascii="Verdana" w:hAnsi="Verdana"/>
          <w:sz w:val="20"/>
          <w:lang w:val="es-CR"/>
        </w:rPr>
        <w:t xml:space="preserve">.- El sometimiento del caso por parte de la Comisión fue notificado el </w:t>
      </w:r>
      <w:r w:rsidR="00D95453" w:rsidRPr="006A0A3F">
        <w:rPr>
          <w:rFonts w:ascii="Verdana" w:hAnsi="Verdana"/>
          <w:sz w:val="20"/>
          <w:lang w:val="es-CR"/>
        </w:rPr>
        <w:t xml:space="preserve">9 y </w:t>
      </w:r>
      <w:r w:rsidR="00DA16CC" w:rsidRPr="006A0A3F">
        <w:rPr>
          <w:rFonts w:ascii="Verdana" w:hAnsi="Verdana"/>
          <w:sz w:val="20"/>
          <w:lang w:val="es-CR"/>
        </w:rPr>
        <w:t>11 de mayo</w:t>
      </w:r>
      <w:r w:rsidR="00F34FD5" w:rsidRPr="006A0A3F">
        <w:rPr>
          <w:rFonts w:ascii="Verdana" w:hAnsi="Verdana"/>
          <w:sz w:val="20"/>
          <w:lang w:val="es-CR"/>
        </w:rPr>
        <w:t xml:space="preserve"> de 2016 </w:t>
      </w:r>
      <w:r w:rsidR="00D95453" w:rsidRPr="006A0A3F">
        <w:rPr>
          <w:rFonts w:ascii="Verdana" w:hAnsi="Verdana"/>
          <w:sz w:val="20"/>
          <w:lang w:val="es-CR"/>
        </w:rPr>
        <w:t>al Estado y al representante de las presuntas víctimas</w:t>
      </w:r>
      <w:r w:rsidR="009F4D2D" w:rsidRPr="006A0A3F">
        <w:rPr>
          <w:rFonts w:ascii="Verdana" w:hAnsi="Verdana"/>
          <w:sz w:val="20"/>
          <w:lang w:val="es-CR"/>
        </w:rPr>
        <w:t xml:space="preserve"> (en adelante “el representante”)</w:t>
      </w:r>
      <w:r w:rsidR="00D95453" w:rsidRPr="006A0A3F">
        <w:rPr>
          <w:rStyle w:val="FootnoteReference"/>
          <w:rFonts w:ascii="Verdana" w:hAnsi="Verdana"/>
          <w:sz w:val="20"/>
          <w:lang w:val="es-CR"/>
        </w:rPr>
        <w:footnoteReference w:id="3"/>
      </w:r>
      <w:r w:rsidR="00F34FD5" w:rsidRPr="006A0A3F">
        <w:rPr>
          <w:rFonts w:ascii="Verdana" w:hAnsi="Verdana"/>
          <w:sz w:val="20"/>
          <w:lang w:val="es-CR"/>
        </w:rPr>
        <w:t>.</w:t>
      </w:r>
    </w:p>
    <w:p w14:paraId="43257FBA" w14:textId="77777777" w:rsidR="00F34FD5" w:rsidRPr="006A0A3F" w:rsidRDefault="00F34FD5" w:rsidP="00F34FD5">
      <w:pPr>
        <w:pStyle w:val="ListParagraph"/>
        <w:ind w:left="0"/>
        <w:jc w:val="both"/>
        <w:rPr>
          <w:rFonts w:ascii="Verdana" w:hAnsi="Verdana"/>
          <w:sz w:val="20"/>
          <w:lang w:val="es-CR"/>
        </w:rPr>
      </w:pPr>
    </w:p>
    <w:p w14:paraId="56DE4A43" w14:textId="61BA9D1A" w:rsidR="008A43F3" w:rsidRPr="006A0A3F" w:rsidRDefault="008A43F3"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Escrito de solicitudes, argumentos y pruebas.-</w:t>
      </w:r>
      <w:r w:rsidRPr="006A0A3F">
        <w:rPr>
          <w:rFonts w:ascii="Verdana" w:hAnsi="Verdana"/>
          <w:sz w:val="20"/>
          <w:lang w:val="es-CR"/>
        </w:rPr>
        <w:t xml:space="preserve"> El </w:t>
      </w:r>
      <w:r w:rsidR="00DA16CC" w:rsidRPr="006A0A3F">
        <w:rPr>
          <w:rFonts w:ascii="Verdana" w:hAnsi="Verdana"/>
          <w:sz w:val="20"/>
          <w:lang w:val="es-CR"/>
        </w:rPr>
        <w:t xml:space="preserve">1 </w:t>
      </w:r>
      <w:r w:rsidRPr="006A0A3F">
        <w:rPr>
          <w:rFonts w:ascii="Verdana" w:hAnsi="Verdana"/>
          <w:sz w:val="20"/>
          <w:lang w:val="es-CR"/>
        </w:rPr>
        <w:t xml:space="preserve">de </w:t>
      </w:r>
      <w:r w:rsidR="00F34FD5" w:rsidRPr="006A0A3F">
        <w:rPr>
          <w:rFonts w:ascii="Verdana" w:hAnsi="Verdana"/>
          <w:sz w:val="20"/>
          <w:lang w:val="es-CR"/>
        </w:rPr>
        <w:t xml:space="preserve">julio </w:t>
      </w:r>
      <w:r w:rsidRPr="006A0A3F">
        <w:rPr>
          <w:rFonts w:ascii="Verdana" w:hAnsi="Verdana"/>
          <w:sz w:val="20"/>
          <w:lang w:val="es-CR"/>
        </w:rPr>
        <w:t>de 201</w:t>
      </w:r>
      <w:r w:rsidR="00F34FD5" w:rsidRPr="006A0A3F">
        <w:rPr>
          <w:rFonts w:ascii="Verdana" w:hAnsi="Verdana"/>
          <w:sz w:val="20"/>
          <w:lang w:val="es-CR"/>
        </w:rPr>
        <w:t xml:space="preserve">6 el </w:t>
      </w:r>
      <w:r w:rsidR="00E31D2D" w:rsidRPr="006A0A3F">
        <w:rPr>
          <w:rFonts w:ascii="Verdana" w:hAnsi="Verdana"/>
          <w:sz w:val="20"/>
          <w:lang w:val="es-CR"/>
        </w:rPr>
        <w:t>representante</w:t>
      </w:r>
      <w:r w:rsidR="00DA16CC" w:rsidRPr="006A0A3F">
        <w:rPr>
          <w:rFonts w:ascii="Verdana" w:hAnsi="Verdana"/>
          <w:sz w:val="20"/>
          <w:lang w:val="es-CR"/>
        </w:rPr>
        <w:t xml:space="preserve"> </w:t>
      </w:r>
      <w:r w:rsidR="00030F75" w:rsidRPr="006A0A3F">
        <w:rPr>
          <w:rFonts w:ascii="Verdana" w:hAnsi="Verdana"/>
          <w:sz w:val="20"/>
          <w:lang w:val="es-CR"/>
        </w:rPr>
        <w:t>presentó</w:t>
      </w:r>
      <w:r w:rsidRPr="006A0A3F">
        <w:rPr>
          <w:rFonts w:ascii="Verdana" w:hAnsi="Verdana"/>
          <w:sz w:val="20"/>
          <w:lang w:val="es-CR"/>
        </w:rPr>
        <w:t xml:space="preserve"> su escrito de solicitudes, argumentos y pruebas (en adelante “escrito de solicitudes y argumentos”)</w:t>
      </w:r>
      <w:r w:rsidR="00F42453" w:rsidRPr="006A0A3F">
        <w:rPr>
          <w:rFonts w:ascii="Verdana" w:hAnsi="Verdana"/>
          <w:sz w:val="20"/>
          <w:lang w:val="es-CR"/>
        </w:rPr>
        <w:t>,</w:t>
      </w:r>
      <w:r w:rsidRPr="006A0A3F">
        <w:rPr>
          <w:rFonts w:ascii="Verdana" w:hAnsi="Verdana"/>
          <w:sz w:val="20"/>
          <w:lang w:val="es-CR"/>
        </w:rPr>
        <w:t xml:space="preserve"> en los términos de los artículos 25 y 40 del Reglamento. </w:t>
      </w:r>
      <w:r w:rsidR="004D4506" w:rsidRPr="006A0A3F">
        <w:rPr>
          <w:rFonts w:ascii="Verdana" w:hAnsi="Verdana"/>
          <w:sz w:val="20"/>
          <w:lang w:val="es-CR"/>
        </w:rPr>
        <w:t xml:space="preserve">El </w:t>
      </w:r>
      <w:r w:rsidR="00E31D2D" w:rsidRPr="006A0A3F">
        <w:rPr>
          <w:rFonts w:ascii="Verdana" w:hAnsi="Verdana"/>
          <w:sz w:val="20"/>
          <w:lang w:val="es-CR"/>
        </w:rPr>
        <w:t xml:space="preserve">representante </w:t>
      </w:r>
      <w:r w:rsidRPr="006A0A3F">
        <w:rPr>
          <w:rFonts w:ascii="Verdana" w:hAnsi="Verdana"/>
          <w:sz w:val="20"/>
          <w:lang w:val="es-CR"/>
        </w:rPr>
        <w:t>coincidi</w:t>
      </w:r>
      <w:r w:rsidR="00A92EF0" w:rsidRPr="006A0A3F">
        <w:rPr>
          <w:rFonts w:ascii="Verdana" w:hAnsi="Verdana"/>
          <w:sz w:val="20"/>
          <w:lang w:val="es-CR"/>
        </w:rPr>
        <w:t xml:space="preserve">ó </w:t>
      </w:r>
      <w:r w:rsidRPr="006A0A3F">
        <w:rPr>
          <w:rFonts w:ascii="Verdana" w:hAnsi="Verdana"/>
          <w:sz w:val="20"/>
          <w:lang w:val="es-CR"/>
        </w:rPr>
        <w:t>sustancialmente con los argumentos</w:t>
      </w:r>
      <w:r w:rsidR="002D718B" w:rsidRPr="006A0A3F">
        <w:rPr>
          <w:rFonts w:ascii="Verdana" w:hAnsi="Verdana"/>
          <w:sz w:val="20"/>
          <w:lang w:val="es-CR"/>
        </w:rPr>
        <w:t xml:space="preserve"> y conclusiones de la Comisión y, a</w:t>
      </w:r>
      <w:r w:rsidR="00F42453" w:rsidRPr="006A0A3F">
        <w:rPr>
          <w:rFonts w:ascii="Verdana" w:hAnsi="Verdana"/>
          <w:sz w:val="20"/>
          <w:lang w:val="es-CR"/>
        </w:rPr>
        <w:t>demás</w:t>
      </w:r>
      <w:r w:rsidR="00DA16CC" w:rsidRPr="006A0A3F">
        <w:rPr>
          <w:rFonts w:ascii="Verdana" w:hAnsi="Verdana"/>
          <w:sz w:val="20"/>
          <w:lang w:val="es-CR"/>
        </w:rPr>
        <w:t xml:space="preserve">, </w:t>
      </w:r>
      <w:r w:rsidR="00F42453" w:rsidRPr="006A0A3F">
        <w:rPr>
          <w:rFonts w:ascii="Verdana" w:hAnsi="Verdana"/>
          <w:sz w:val="20"/>
          <w:lang w:val="es-CR"/>
        </w:rPr>
        <w:t xml:space="preserve">alegó </w:t>
      </w:r>
      <w:r w:rsidR="00DA16CC" w:rsidRPr="006A0A3F">
        <w:rPr>
          <w:rFonts w:ascii="Verdana" w:hAnsi="Verdana"/>
          <w:sz w:val="20"/>
          <w:lang w:val="es-CR"/>
        </w:rPr>
        <w:t xml:space="preserve">que </w:t>
      </w:r>
      <w:r w:rsidR="00F42453" w:rsidRPr="006A0A3F">
        <w:rPr>
          <w:rFonts w:ascii="Verdana" w:hAnsi="Verdana"/>
          <w:sz w:val="20"/>
          <w:lang w:val="es-CR"/>
        </w:rPr>
        <w:t xml:space="preserve">el Estado es responsable por la </w:t>
      </w:r>
      <w:r w:rsidR="00DA16CC" w:rsidRPr="006A0A3F">
        <w:rPr>
          <w:rFonts w:ascii="Verdana" w:hAnsi="Verdana"/>
          <w:sz w:val="20"/>
          <w:lang w:val="es-CR"/>
        </w:rPr>
        <w:t>violación de</w:t>
      </w:r>
      <w:r w:rsidR="00F42453" w:rsidRPr="006A0A3F">
        <w:rPr>
          <w:rFonts w:ascii="Verdana" w:hAnsi="Verdana"/>
          <w:sz w:val="20"/>
          <w:lang w:val="es-CR"/>
        </w:rPr>
        <w:t>l</w:t>
      </w:r>
      <w:r w:rsidR="00CA328B" w:rsidRPr="006A0A3F">
        <w:rPr>
          <w:rFonts w:ascii="Verdana" w:hAnsi="Verdana"/>
          <w:sz w:val="20"/>
          <w:lang w:val="es-CR"/>
        </w:rPr>
        <w:t xml:space="preserve"> derecho “a tener acceso, en condiciones de igualdad, a las funciones públicas de su país</w:t>
      </w:r>
      <w:r w:rsidR="002D718B" w:rsidRPr="006A0A3F">
        <w:rPr>
          <w:rFonts w:ascii="Verdana" w:hAnsi="Verdana"/>
          <w:sz w:val="20"/>
          <w:lang w:val="es-CR"/>
        </w:rPr>
        <w:t>”</w:t>
      </w:r>
      <w:r w:rsidR="00CA328B" w:rsidRPr="006A0A3F">
        <w:rPr>
          <w:rFonts w:ascii="Verdana" w:hAnsi="Verdana"/>
          <w:sz w:val="20"/>
          <w:lang w:val="es-CR"/>
        </w:rPr>
        <w:t>,</w:t>
      </w:r>
      <w:r w:rsidR="002D718B" w:rsidRPr="006A0A3F">
        <w:rPr>
          <w:rFonts w:ascii="Verdana" w:hAnsi="Verdana"/>
          <w:sz w:val="20"/>
          <w:lang w:val="es-CR"/>
        </w:rPr>
        <w:t xml:space="preserve"> que </w:t>
      </w:r>
      <w:r w:rsidR="00540ACC" w:rsidRPr="006A0A3F">
        <w:rPr>
          <w:rFonts w:ascii="Verdana" w:hAnsi="Verdana"/>
          <w:sz w:val="20"/>
          <w:lang w:val="es-CR"/>
        </w:rPr>
        <w:t>alegó</w:t>
      </w:r>
      <w:r w:rsidR="00CA328B" w:rsidRPr="006A0A3F">
        <w:rPr>
          <w:rFonts w:ascii="Verdana" w:hAnsi="Verdana"/>
          <w:sz w:val="20"/>
          <w:lang w:val="es-CR"/>
        </w:rPr>
        <w:t xml:space="preserve"> reconocido en el art. 23.1.c) de la Convención, y del</w:t>
      </w:r>
      <w:r w:rsidR="00DA16CC" w:rsidRPr="006A0A3F">
        <w:rPr>
          <w:rFonts w:ascii="Verdana" w:hAnsi="Verdana"/>
          <w:sz w:val="20"/>
          <w:lang w:val="es-CR"/>
        </w:rPr>
        <w:t xml:space="preserve"> </w:t>
      </w:r>
      <w:r w:rsidRPr="006A0A3F">
        <w:rPr>
          <w:rFonts w:ascii="Verdana" w:hAnsi="Verdana"/>
          <w:sz w:val="20"/>
          <w:lang w:val="es-CR"/>
        </w:rPr>
        <w:t xml:space="preserve">derecho a la integridad </w:t>
      </w:r>
      <w:r w:rsidR="004C20F2" w:rsidRPr="006A0A3F">
        <w:rPr>
          <w:rFonts w:ascii="Verdana" w:hAnsi="Verdana"/>
          <w:sz w:val="20"/>
          <w:lang w:val="es-CR"/>
        </w:rPr>
        <w:t xml:space="preserve">psíquica y moral, </w:t>
      </w:r>
      <w:r w:rsidR="002D718B" w:rsidRPr="006A0A3F">
        <w:rPr>
          <w:rFonts w:ascii="Verdana" w:hAnsi="Verdana"/>
          <w:sz w:val="20"/>
          <w:lang w:val="es-CR"/>
        </w:rPr>
        <w:t>reconocido en</w:t>
      </w:r>
      <w:r w:rsidR="00F42453" w:rsidRPr="006A0A3F">
        <w:rPr>
          <w:rFonts w:ascii="Verdana" w:hAnsi="Verdana"/>
          <w:sz w:val="20"/>
          <w:lang w:val="es-CR"/>
        </w:rPr>
        <w:t xml:space="preserve"> los </w:t>
      </w:r>
      <w:r w:rsidR="004C20F2" w:rsidRPr="006A0A3F">
        <w:rPr>
          <w:rFonts w:ascii="Verdana" w:hAnsi="Verdana"/>
          <w:sz w:val="20"/>
          <w:lang w:val="es-CR"/>
        </w:rPr>
        <w:t>artículos</w:t>
      </w:r>
      <w:r w:rsidRPr="006A0A3F">
        <w:rPr>
          <w:rFonts w:ascii="Verdana" w:hAnsi="Verdana"/>
          <w:sz w:val="20"/>
          <w:lang w:val="es-CR"/>
        </w:rPr>
        <w:t xml:space="preserve"> </w:t>
      </w:r>
      <w:r w:rsidR="00540ACC" w:rsidRPr="006A0A3F">
        <w:rPr>
          <w:rFonts w:ascii="Verdana" w:hAnsi="Verdana"/>
          <w:sz w:val="20"/>
          <w:lang w:val="es-CR"/>
        </w:rPr>
        <w:t xml:space="preserve">5.1 y </w:t>
      </w:r>
      <w:r w:rsidRPr="006A0A3F">
        <w:rPr>
          <w:rFonts w:ascii="Verdana" w:hAnsi="Verdana"/>
          <w:sz w:val="20"/>
          <w:lang w:val="es-CR"/>
        </w:rPr>
        <w:t>5</w:t>
      </w:r>
      <w:r w:rsidR="004C20F2" w:rsidRPr="006A0A3F">
        <w:rPr>
          <w:rFonts w:ascii="Verdana" w:hAnsi="Verdana"/>
          <w:sz w:val="20"/>
          <w:lang w:val="es-CR"/>
        </w:rPr>
        <w:t>.2</w:t>
      </w:r>
      <w:r w:rsidRPr="006A0A3F">
        <w:rPr>
          <w:rFonts w:ascii="Verdana" w:hAnsi="Verdana"/>
          <w:sz w:val="20"/>
          <w:lang w:val="es-CR"/>
        </w:rPr>
        <w:t xml:space="preserve"> </w:t>
      </w:r>
      <w:r w:rsidR="004C20F2" w:rsidRPr="006A0A3F">
        <w:rPr>
          <w:rFonts w:ascii="Verdana" w:hAnsi="Verdana"/>
          <w:sz w:val="20"/>
          <w:lang w:val="es-CR"/>
        </w:rPr>
        <w:t>de la Convención.</w:t>
      </w:r>
      <w:r w:rsidR="00F42453" w:rsidRPr="006A0A3F">
        <w:rPr>
          <w:rFonts w:ascii="Verdana" w:hAnsi="Verdana"/>
          <w:sz w:val="20"/>
          <w:lang w:val="es-CR"/>
        </w:rPr>
        <w:t xml:space="preserve"> </w:t>
      </w:r>
      <w:r w:rsidR="00540ACC" w:rsidRPr="006A0A3F">
        <w:rPr>
          <w:rFonts w:ascii="Verdana" w:hAnsi="Verdana"/>
          <w:sz w:val="20"/>
          <w:lang w:val="es-CR"/>
        </w:rPr>
        <w:t>S</w:t>
      </w:r>
      <w:r w:rsidR="00CA328B" w:rsidRPr="006A0A3F">
        <w:rPr>
          <w:rFonts w:ascii="Verdana" w:hAnsi="Verdana"/>
          <w:sz w:val="20"/>
          <w:lang w:val="es-CR"/>
        </w:rPr>
        <w:t xml:space="preserve">olicitó que </w:t>
      </w:r>
      <w:r w:rsidR="00540ACC" w:rsidRPr="006A0A3F">
        <w:rPr>
          <w:rFonts w:ascii="Verdana" w:hAnsi="Verdana"/>
          <w:sz w:val="20"/>
          <w:lang w:val="es-CR"/>
        </w:rPr>
        <w:t xml:space="preserve">se </w:t>
      </w:r>
      <w:r w:rsidR="00CA328B" w:rsidRPr="006A0A3F">
        <w:rPr>
          <w:rFonts w:ascii="Verdana" w:hAnsi="Verdana"/>
          <w:sz w:val="20"/>
          <w:lang w:val="es-CR"/>
        </w:rPr>
        <w:t>ordene</w:t>
      </w:r>
      <w:r w:rsidR="00540ACC" w:rsidRPr="006A0A3F">
        <w:rPr>
          <w:rFonts w:ascii="Verdana" w:hAnsi="Verdana"/>
          <w:sz w:val="20"/>
          <w:lang w:val="es-CR"/>
        </w:rPr>
        <w:t>n</w:t>
      </w:r>
      <w:r w:rsidR="00F42453" w:rsidRPr="006A0A3F">
        <w:rPr>
          <w:rFonts w:ascii="Verdana" w:hAnsi="Verdana"/>
          <w:sz w:val="20"/>
          <w:lang w:val="es-CR"/>
        </w:rPr>
        <w:t xml:space="preserve"> al Estado diversas medidas de reparación.</w:t>
      </w:r>
    </w:p>
    <w:p w14:paraId="28D3DCCF" w14:textId="77777777" w:rsidR="008A43F3" w:rsidRPr="006A0A3F" w:rsidRDefault="008A43F3" w:rsidP="008A43F3">
      <w:pPr>
        <w:spacing w:after="0" w:line="240" w:lineRule="auto"/>
        <w:jc w:val="both"/>
        <w:rPr>
          <w:rFonts w:ascii="Verdana" w:hAnsi="Verdana" w:cs="Times New Roman"/>
          <w:sz w:val="20"/>
          <w:szCs w:val="20"/>
        </w:rPr>
      </w:pPr>
    </w:p>
    <w:p w14:paraId="19331353" w14:textId="460AE1F5" w:rsidR="004C20F2" w:rsidRPr="006A0A3F" w:rsidRDefault="00CA328B"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Falta de</w:t>
      </w:r>
      <w:r w:rsidR="00DA16CC" w:rsidRPr="006A0A3F">
        <w:rPr>
          <w:rFonts w:ascii="Verdana" w:hAnsi="Verdana"/>
          <w:i/>
          <w:sz w:val="20"/>
          <w:lang w:val="es-CR"/>
        </w:rPr>
        <w:t xml:space="preserve"> contestación</w:t>
      </w:r>
      <w:r w:rsidRPr="006A0A3F">
        <w:rPr>
          <w:rFonts w:ascii="Verdana" w:hAnsi="Verdana"/>
          <w:i/>
          <w:sz w:val="20"/>
          <w:lang w:val="es-CR"/>
        </w:rPr>
        <w:t xml:space="preserve"> del Estado</w:t>
      </w:r>
      <w:r w:rsidR="002214D5" w:rsidRPr="006A0A3F">
        <w:rPr>
          <w:rFonts w:ascii="Verdana" w:hAnsi="Verdana"/>
          <w:i/>
          <w:sz w:val="20"/>
          <w:lang w:val="es-CR"/>
        </w:rPr>
        <w:t xml:space="preserve"> y actos posteriores</w:t>
      </w:r>
      <w:r w:rsidR="008A43F3" w:rsidRPr="006A0A3F">
        <w:rPr>
          <w:rFonts w:ascii="Verdana" w:hAnsi="Verdana"/>
          <w:sz w:val="20"/>
          <w:lang w:val="es-CR"/>
        </w:rPr>
        <w:t xml:space="preserve">.- </w:t>
      </w:r>
      <w:r w:rsidR="00DA16CC" w:rsidRPr="006A0A3F">
        <w:rPr>
          <w:rFonts w:ascii="Verdana" w:hAnsi="Verdana"/>
          <w:sz w:val="20"/>
          <w:lang w:val="es-CR"/>
        </w:rPr>
        <w:t xml:space="preserve">El Estado no presentó contestación </w:t>
      </w:r>
      <w:r w:rsidRPr="006A0A3F">
        <w:rPr>
          <w:rFonts w:ascii="Verdana" w:hAnsi="Verdana"/>
          <w:sz w:val="20"/>
          <w:lang w:val="es-CR"/>
        </w:rPr>
        <w:t>en este caso</w:t>
      </w:r>
      <w:r w:rsidRPr="006A0A3F">
        <w:rPr>
          <w:rStyle w:val="FootnoteReference"/>
          <w:rFonts w:ascii="Verdana" w:hAnsi="Verdana"/>
          <w:sz w:val="20"/>
          <w:lang w:val="es-CR"/>
        </w:rPr>
        <w:footnoteReference w:id="4"/>
      </w:r>
      <w:r w:rsidRPr="006A0A3F">
        <w:rPr>
          <w:rFonts w:ascii="Verdana" w:hAnsi="Verdana"/>
          <w:sz w:val="20"/>
          <w:lang w:val="es-CR"/>
        </w:rPr>
        <w:t xml:space="preserve">. </w:t>
      </w:r>
      <w:r w:rsidR="00295EA8" w:rsidRPr="006A0A3F">
        <w:rPr>
          <w:rFonts w:ascii="Verdana" w:hAnsi="Verdana"/>
          <w:sz w:val="20"/>
          <w:lang w:val="es-CR"/>
        </w:rPr>
        <w:t xml:space="preserve">El 9 de noviembre de 2016 </w:t>
      </w:r>
      <w:r w:rsidRPr="006A0A3F">
        <w:rPr>
          <w:rFonts w:ascii="Verdana" w:hAnsi="Verdana"/>
          <w:sz w:val="20"/>
          <w:lang w:val="es-CR"/>
        </w:rPr>
        <w:t xml:space="preserve">el señor Germán </w:t>
      </w:r>
      <w:proofErr w:type="spellStart"/>
      <w:r w:rsidRPr="006A0A3F">
        <w:rPr>
          <w:rFonts w:ascii="Verdana" w:hAnsi="Verdana"/>
          <w:sz w:val="20"/>
          <w:lang w:val="es-CR"/>
        </w:rPr>
        <w:t>Saltrón</w:t>
      </w:r>
      <w:proofErr w:type="spellEnd"/>
      <w:r w:rsidRPr="006A0A3F">
        <w:rPr>
          <w:rFonts w:ascii="Verdana" w:hAnsi="Verdana"/>
          <w:sz w:val="20"/>
          <w:lang w:val="es-CR"/>
        </w:rPr>
        <w:t xml:space="preserve"> Negretti, en ese entonces Agente del Estado para los Derechos Humanos</w:t>
      </w:r>
      <w:r w:rsidRPr="006A0A3F">
        <w:rPr>
          <w:rStyle w:val="FootnoteReference"/>
          <w:rFonts w:ascii="Verdana" w:hAnsi="Verdana"/>
          <w:sz w:val="20"/>
          <w:lang w:val="es-CR"/>
        </w:rPr>
        <w:footnoteReference w:id="5"/>
      </w:r>
      <w:r w:rsidRPr="006A0A3F">
        <w:rPr>
          <w:rFonts w:ascii="Verdana" w:hAnsi="Verdana"/>
          <w:sz w:val="20"/>
          <w:lang w:val="es-CR"/>
        </w:rPr>
        <w:t xml:space="preserve">, </w:t>
      </w:r>
      <w:r w:rsidR="002214D5" w:rsidRPr="006A0A3F">
        <w:rPr>
          <w:rFonts w:ascii="Verdana" w:hAnsi="Verdana"/>
          <w:sz w:val="20"/>
          <w:lang w:val="es-CR"/>
        </w:rPr>
        <w:t xml:space="preserve">presentó un escrito en que manifestó que el Estado </w:t>
      </w:r>
      <w:r w:rsidRPr="006A0A3F">
        <w:rPr>
          <w:rFonts w:ascii="Verdana" w:hAnsi="Verdana"/>
          <w:sz w:val="20"/>
          <w:lang w:val="es-CR"/>
        </w:rPr>
        <w:t>ratific</w:t>
      </w:r>
      <w:r w:rsidR="002214D5" w:rsidRPr="006A0A3F">
        <w:rPr>
          <w:rFonts w:ascii="Verdana" w:hAnsi="Verdana"/>
          <w:sz w:val="20"/>
          <w:lang w:val="es-CR"/>
        </w:rPr>
        <w:t>a</w:t>
      </w:r>
      <w:r w:rsidR="008240A6" w:rsidRPr="006A0A3F">
        <w:rPr>
          <w:rFonts w:ascii="Verdana" w:hAnsi="Verdana"/>
          <w:sz w:val="20"/>
          <w:lang w:val="es-CR"/>
        </w:rPr>
        <w:t>ba</w:t>
      </w:r>
      <w:r w:rsidRPr="006A0A3F">
        <w:rPr>
          <w:rFonts w:ascii="Verdana" w:hAnsi="Verdana"/>
          <w:sz w:val="20"/>
          <w:lang w:val="es-CR"/>
        </w:rPr>
        <w:t xml:space="preserve"> ante la Corte </w:t>
      </w:r>
      <w:r w:rsidR="008240A6" w:rsidRPr="006A0A3F">
        <w:rPr>
          <w:rFonts w:ascii="Verdana" w:hAnsi="Verdana"/>
          <w:sz w:val="20"/>
          <w:lang w:val="es-CR"/>
        </w:rPr>
        <w:t xml:space="preserve">lo </w:t>
      </w:r>
      <w:r w:rsidR="006B7AD9" w:rsidRPr="006A0A3F">
        <w:rPr>
          <w:rFonts w:ascii="Verdana" w:hAnsi="Verdana"/>
          <w:sz w:val="20"/>
          <w:lang w:val="es-CR"/>
        </w:rPr>
        <w:t>expuesto</w:t>
      </w:r>
      <w:r w:rsidR="008240A6" w:rsidRPr="006A0A3F">
        <w:rPr>
          <w:rFonts w:ascii="Verdana" w:hAnsi="Verdana"/>
          <w:sz w:val="20"/>
          <w:lang w:val="es-CR"/>
        </w:rPr>
        <w:t xml:space="preserve"> en sus</w:t>
      </w:r>
      <w:r w:rsidRPr="006A0A3F">
        <w:rPr>
          <w:rFonts w:ascii="Verdana" w:hAnsi="Verdana"/>
          <w:sz w:val="20"/>
          <w:lang w:val="es-CR"/>
        </w:rPr>
        <w:t xml:space="preserve"> escritos </w:t>
      </w:r>
      <w:r w:rsidR="008240A6" w:rsidRPr="006A0A3F">
        <w:rPr>
          <w:rFonts w:ascii="Verdana" w:hAnsi="Verdana"/>
          <w:sz w:val="20"/>
          <w:lang w:val="es-CR"/>
        </w:rPr>
        <w:t xml:space="preserve">presentados ante </w:t>
      </w:r>
      <w:r w:rsidRPr="006A0A3F">
        <w:rPr>
          <w:rFonts w:ascii="Verdana" w:hAnsi="Verdana"/>
          <w:sz w:val="20"/>
          <w:lang w:val="es-CR"/>
        </w:rPr>
        <w:t>la Comisión y, además, ofreció a dos personas para que declar</w:t>
      </w:r>
      <w:r w:rsidR="0076746F" w:rsidRPr="006A0A3F">
        <w:rPr>
          <w:rFonts w:ascii="Verdana" w:hAnsi="Verdana"/>
          <w:sz w:val="20"/>
          <w:lang w:val="es-CR"/>
        </w:rPr>
        <w:t>ar</w:t>
      </w:r>
      <w:r w:rsidRPr="006A0A3F">
        <w:rPr>
          <w:rFonts w:ascii="Verdana" w:hAnsi="Verdana"/>
          <w:sz w:val="20"/>
          <w:lang w:val="es-CR"/>
        </w:rPr>
        <w:t xml:space="preserve">en como peritos en audiencia. </w:t>
      </w:r>
      <w:r w:rsidR="002214D5" w:rsidRPr="006A0A3F">
        <w:rPr>
          <w:rFonts w:ascii="Verdana" w:hAnsi="Verdana"/>
          <w:sz w:val="20"/>
          <w:lang w:val="es-CR"/>
        </w:rPr>
        <w:t>M</w:t>
      </w:r>
      <w:r w:rsidR="00295EA8" w:rsidRPr="006A0A3F">
        <w:rPr>
          <w:rFonts w:ascii="Verdana" w:hAnsi="Verdana"/>
          <w:sz w:val="20"/>
          <w:lang w:val="es-CR"/>
        </w:rPr>
        <w:t xml:space="preserve">ediante </w:t>
      </w:r>
      <w:r w:rsidR="002214D5" w:rsidRPr="006A0A3F">
        <w:rPr>
          <w:rFonts w:ascii="Verdana" w:hAnsi="Verdana"/>
          <w:sz w:val="20"/>
          <w:lang w:val="es-CR"/>
        </w:rPr>
        <w:t xml:space="preserve">nota de Secretaría de </w:t>
      </w:r>
      <w:r w:rsidR="00295EA8" w:rsidRPr="006A0A3F">
        <w:rPr>
          <w:rFonts w:ascii="Verdana" w:hAnsi="Verdana"/>
          <w:sz w:val="20"/>
          <w:lang w:val="es-CR"/>
        </w:rPr>
        <w:t>25 de noviembre de 2016</w:t>
      </w:r>
      <w:r w:rsidR="002D718B" w:rsidRPr="006A0A3F">
        <w:rPr>
          <w:rFonts w:ascii="Verdana" w:hAnsi="Verdana"/>
          <w:sz w:val="20"/>
          <w:lang w:val="es-CR"/>
        </w:rPr>
        <w:t>,</w:t>
      </w:r>
      <w:r w:rsidR="00295EA8" w:rsidRPr="006A0A3F">
        <w:rPr>
          <w:rFonts w:ascii="Verdana" w:hAnsi="Verdana"/>
          <w:sz w:val="20"/>
          <w:lang w:val="es-CR"/>
        </w:rPr>
        <w:t xml:space="preserve"> </w:t>
      </w:r>
      <w:r w:rsidR="002214D5" w:rsidRPr="006A0A3F">
        <w:rPr>
          <w:rFonts w:ascii="Verdana" w:hAnsi="Verdana"/>
          <w:sz w:val="20"/>
          <w:lang w:val="es-CR"/>
        </w:rPr>
        <w:t xml:space="preserve">se informó </w:t>
      </w:r>
      <w:r w:rsidR="00295EA8" w:rsidRPr="006A0A3F">
        <w:rPr>
          <w:rFonts w:ascii="Verdana" w:hAnsi="Verdana"/>
          <w:sz w:val="20"/>
          <w:lang w:val="es-CR"/>
        </w:rPr>
        <w:t xml:space="preserve">que </w:t>
      </w:r>
      <w:r w:rsidR="002214D5" w:rsidRPr="006A0A3F">
        <w:rPr>
          <w:rFonts w:ascii="Verdana" w:hAnsi="Verdana"/>
          <w:sz w:val="20"/>
          <w:lang w:val="es-CR"/>
        </w:rPr>
        <w:t xml:space="preserve">la Corte </w:t>
      </w:r>
      <w:r w:rsidR="00295EA8" w:rsidRPr="006A0A3F">
        <w:rPr>
          <w:rFonts w:ascii="Verdana" w:hAnsi="Verdana"/>
          <w:sz w:val="20"/>
          <w:lang w:val="es-CR"/>
        </w:rPr>
        <w:t>valora</w:t>
      </w:r>
      <w:r w:rsidR="002214D5" w:rsidRPr="006A0A3F">
        <w:rPr>
          <w:rFonts w:ascii="Verdana" w:hAnsi="Verdana"/>
          <w:sz w:val="20"/>
          <w:lang w:val="es-CR"/>
        </w:rPr>
        <w:t>ba</w:t>
      </w:r>
      <w:r w:rsidR="00295EA8" w:rsidRPr="006A0A3F">
        <w:rPr>
          <w:rFonts w:ascii="Verdana" w:hAnsi="Verdana"/>
          <w:sz w:val="20"/>
          <w:lang w:val="es-CR"/>
        </w:rPr>
        <w:t xml:space="preserve"> la disposición del Estado de participar en una eventual audiencia pública y </w:t>
      </w:r>
      <w:r w:rsidR="002214D5" w:rsidRPr="006A0A3F">
        <w:rPr>
          <w:rFonts w:ascii="Verdana" w:hAnsi="Verdana"/>
          <w:sz w:val="20"/>
          <w:lang w:val="es-CR"/>
        </w:rPr>
        <w:t xml:space="preserve">que </w:t>
      </w:r>
      <w:r w:rsidR="00295EA8" w:rsidRPr="006A0A3F">
        <w:rPr>
          <w:rFonts w:ascii="Verdana" w:hAnsi="Verdana"/>
          <w:sz w:val="20"/>
          <w:lang w:val="es-CR"/>
        </w:rPr>
        <w:t>decidir</w:t>
      </w:r>
      <w:r w:rsidR="000B7FD9" w:rsidRPr="006A0A3F">
        <w:rPr>
          <w:rFonts w:ascii="Verdana" w:hAnsi="Verdana"/>
          <w:sz w:val="20"/>
          <w:lang w:val="es-CR"/>
        </w:rPr>
        <w:t>ía</w:t>
      </w:r>
      <w:r w:rsidR="00295EA8" w:rsidRPr="006A0A3F">
        <w:rPr>
          <w:rFonts w:ascii="Verdana" w:hAnsi="Verdana"/>
          <w:sz w:val="20"/>
          <w:lang w:val="es-CR"/>
        </w:rPr>
        <w:t xml:space="preserve"> oportunamente sobre la procedencia del ofrecimiento probatorio y lo alegado por el Estado para efectos del fondo del presente caso.</w:t>
      </w:r>
      <w:r w:rsidR="00F36568" w:rsidRPr="006A0A3F">
        <w:rPr>
          <w:rFonts w:ascii="Verdana" w:hAnsi="Verdana"/>
          <w:sz w:val="20"/>
          <w:lang w:val="es-CR"/>
        </w:rPr>
        <w:t xml:space="preserve"> </w:t>
      </w:r>
    </w:p>
    <w:p w14:paraId="7CFE85EE" w14:textId="77777777" w:rsidR="000E1C47" w:rsidRPr="006A0A3F" w:rsidRDefault="000E1C47" w:rsidP="000E1C47">
      <w:pPr>
        <w:pStyle w:val="ListParagraph"/>
        <w:rPr>
          <w:rFonts w:ascii="Verdana" w:hAnsi="Verdana"/>
          <w:i/>
          <w:sz w:val="20"/>
          <w:lang w:val="es-CR"/>
        </w:rPr>
      </w:pPr>
    </w:p>
    <w:p w14:paraId="22FD0641" w14:textId="5255BA81" w:rsidR="000E1C47" w:rsidRPr="006A0A3F" w:rsidRDefault="008A43F3"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Audiencia pública y prueba pericial y testimonial</w:t>
      </w:r>
      <w:r w:rsidRPr="006A0A3F">
        <w:rPr>
          <w:rFonts w:ascii="Verdana" w:hAnsi="Verdana"/>
          <w:sz w:val="20"/>
          <w:lang w:val="es-CR"/>
        </w:rPr>
        <w:t xml:space="preserve">.- </w:t>
      </w:r>
      <w:r w:rsidR="007A4D31" w:rsidRPr="006A0A3F">
        <w:rPr>
          <w:rFonts w:ascii="Verdana" w:hAnsi="Verdana"/>
          <w:sz w:val="20"/>
          <w:lang w:val="es-CR"/>
        </w:rPr>
        <w:t xml:space="preserve">Mediante Resolución de </w:t>
      </w:r>
      <w:r w:rsidR="009F43DA" w:rsidRPr="006A0A3F">
        <w:rPr>
          <w:rFonts w:ascii="Verdana" w:hAnsi="Verdana"/>
          <w:sz w:val="20"/>
          <w:lang w:val="es-CR"/>
        </w:rPr>
        <w:t>20 de diciembre de 2016</w:t>
      </w:r>
      <w:r w:rsidR="009F43DA" w:rsidRPr="006A0A3F">
        <w:rPr>
          <w:rFonts w:ascii="Verdana" w:hAnsi="Verdana"/>
          <w:sz w:val="20"/>
          <w:vertAlign w:val="superscript"/>
          <w:lang w:val="es-CR"/>
        </w:rPr>
        <w:footnoteReference w:id="6"/>
      </w:r>
      <w:r w:rsidR="009F43DA" w:rsidRPr="006A0A3F">
        <w:rPr>
          <w:rFonts w:ascii="Verdana" w:hAnsi="Verdana"/>
          <w:sz w:val="20"/>
          <w:lang w:val="es-CR"/>
        </w:rPr>
        <w:t xml:space="preserve">, el Presidente </w:t>
      </w:r>
      <w:r w:rsidRPr="006A0A3F">
        <w:rPr>
          <w:rFonts w:ascii="Verdana" w:hAnsi="Verdana"/>
          <w:sz w:val="20"/>
          <w:lang w:val="es-CR"/>
        </w:rPr>
        <w:t>convocó a las partes y a la Comis</w:t>
      </w:r>
      <w:r w:rsidR="00E31D2D" w:rsidRPr="006A0A3F">
        <w:rPr>
          <w:rFonts w:ascii="Verdana" w:hAnsi="Verdana"/>
          <w:sz w:val="20"/>
          <w:lang w:val="es-CR"/>
        </w:rPr>
        <w:t xml:space="preserve">ión a una audiencia pública </w:t>
      </w:r>
      <w:r w:rsidRPr="006A0A3F">
        <w:rPr>
          <w:rFonts w:ascii="Verdana" w:hAnsi="Verdana"/>
          <w:sz w:val="20"/>
          <w:lang w:val="es-CR"/>
        </w:rPr>
        <w:t xml:space="preserve">para recibir </w:t>
      </w:r>
      <w:r w:rsidR="000B7FD9" w:rsidRPr="006A0A3F">
        <w:rPr>
          <w:rFonts w:ascii="Verdana" w:hAnsi="Verdana"/>
          <w:sz w:val="20"/>
          <w:lang w:val="es-CR"/>
        </w:rPr>
        <w:t xml:space="preserve">las declaraciones de una presunta víctima, propuesta por el representante, y de tres peritos, propuestos por el representante, el Estado y la Comisión, así como </w:t>
      </w:r>
      <w:r w:rsidR="007A4D31" w:rsidRPr="006A0A3F">
        <w:rPr>
          <w:rFonts w:ascii="Verdana" w:hAnsi="Verdana"/>
          <w:sz w:val="20"/>
          <w:lang w:val="es-CR"/>
        </w:rPr>
        <w:t>sus alegatos y observaciones finales orales sobre el fondo y eventuales reparaciones</w:t>
      </w:r>
      <w:r w:rsidRPr="006A0A3F">
        <w:rPr>
          <w:rFonts w:ascii="Verdana" w:hAnsi="Verdana"/>
          <w:sz w:val="20"/>
          <w:lang w:val="es-CR"/>
        </w:rPr>
        <w:t xml:space="preserve">. </w:t>
      </w:r>
      <w:r w:rsidR="00C76D7B" w:rsidRPr="006A0A3F">
        <w:rPr>
          <w:rFonts w:ascii="Verdana" w:hAnsi="Verdana"/>
          <w:sz w:val="20"/>
          <w:lang w:val="es-CR"/>
        </w:rPr>
        <w:t xml:space="preserve">Asimismo, se ordenó recibir las declaraciones por afidávit de dos presuntas víctimas, </w:t>
      </w:r>
      <w:r w:rsidR="00540ACC" w:rsidRPr="006A0A3F">
        <w:rPr>
          <w:rFonts w:ascii="Verdana" w:hAnsi="Verdana"/>
          <w:sz w:val="20"/>
          <w:lang w:val="es-CR"/>
        </w:rPr>
        <w:t>21</w:t>
      </w:r>
      <w:r w:rsidR="00C76D7B" w:rsidRPr="006A0A3F">
        <w:rPr>
          <w:rFonts w:ascii="Verdana" w:hAnsi="Verdana"/>
          <w:sz w:val="20"/>
          <w:lang w:val="es-CR"/>
        </w:rPr>
        <w:t xml:space="preserve"> testigos y </w:t>
      </w:r>
      <w:r w:rsidR="00C8009E">
        <w:rPr>
          <w:rFonts w:ascii="Verdana" w:hAnsi="Verdana"/>
          <w:sz w:val="20"/>
          <w:lang w:val="es-CR"/>
        </w:rPr>
        <w:t>nueve</w:t>
      </w:r>
      <w:r w:rsidR="00540ACC" w:rsidRPr="006A0A3F">
        <w:rPr>
          <w:rFonts w:ascii="Verdana" w:hAnsi="Verdana"/>
          <w:sz w:val="20"/>
          <w:lang w:val="es-CR"/>
        </w:rPr>
        <w:t xml:space="preserve"> </w:t>
      </w:r>
      <w:r w:rsidR="00C76D7B" w:rsidRPr="006A0A3F">
        <w:rPr>
          <w:rFonts w:ascii="Verdana" w:hAnsi="Verdana"/>
          <w:sz w:val="20"/>
          <w:lang w:val="es-CR"/>
        </w:rPr>
        <w:t xml:space="preserve">peritos, propuestos por </w:t>
      </w:r>
      <w:r w:rsidR="00540ACC" w:rsidRPr="006A0A3F">
        <w:rPr>
          <w:rFonts w:ascii="Verdana" w:hAnsi="Verdana"/>
          <w:sz w:val="20"/>
          <w:lang w:val="es-CR"/>
        </w:rPr>
        <w:t xml:space="preserve">el representante, así como de </w:t>
      </w:r>
      <w:r w:rsidR="00F62C3D" w:rsidRPr="006A0A3F">
        <w:rPr>
          <w:rFonts w:ascii="Verdana" w:hAnsi="Verdana"/>
          <w:sz w:val="20"/>
          <w:lang w:val="es-CR"/>
        </w:rPr>
        <w:t>un perito</w:t>
      </w:r>
      <w:r w:rsidR="00EE5798" w:rsidRPr="006A0A3F">
        <w:rPr>
          <w:rFonts w:ascii="Verdana" w:hAnsi="Verdana"/>
          <w:sz w:val="20"/>
          <w:lang w:val="es-CR"/>
        </w:rPr>
        <w:t xml:space="preserve"> </w:t>
      </w:r>
      <w:r w:rsidR="00C76D7B" w:rsidRPr="006A0A3F">
        <w:rPr>
          <w:rFonts w:ascii="Verdana" w:hAnsi="Verdana"/>
          <w:sz w:val="20"/>
          <w:lang w:val="es-CR"/>
        </w:rPr>
        <w:t>propuesto por el Estado y</w:t>
      </w:r>
      <w:r w:rsidR="00F62C3D" w:rsidRPr="006A0A3F">
        <w:rPr>
          <w:rFonts w:ascii="Verdana" w:hAnsi="Verdana"/>
          <w:sz w:val="20"/>
          <w:lang w:val="es-CR"/>
        </w:rPr>
        <w:t xml:space="preserve"> dos</w:t>
      </w:r>
      <w:r w:rsidR="00C76D7B" w:rsidRPr="006A0A3F">
        <w:rPr>
          <w:rFonts w:ascii="Verdana" w:hAnsi="Verdana"/>
          <w:sz w:val="20"/>
          <w:lang w:val="es-CR"/>
        </w:rPr>
        <w:t xml:space="preserve"> </w:t>
      </w:r>
      <w:r w:rsidR="00F62C3D" w:rsidRPr="006A0A3F">
        <w:rPr>
          <w:rFonts w:ascii="Verdana" w:hAnsi="Verdana"/>
          <w:sz w:val="20"/>
          <w:lang w:val="es-CR"/>
        </w:rPr>
        <w:t xml:space="preserve">peritos propuestos </w:t>
      </w:r>
      <w:r w:rsidR="00C76D7B" w:rsidRPr="006A0A3F">
        <w:rPr>
          <w:rFonts w:ascii="Verdana" w:hAnsi="Verdana"/>
          <w:sz w:val="20"/>
          <w:lang w:val="es-CR"/>
        </w:rPr>
        <w:t>por la Comisión.</w:t>
      </w:r>
      <w:r w:rsidR="00AD24E1" w:rsidRPr="006A0A3F">
        <w:rPr>
          <w:rFonts w:ascii="Verdana" w:hAnsi="Verdana"/>
          <w:sz w:val="20"/>
          <w:lang w:val="es-CR"/>
        </w:rPr>
        <w:t xml:space="preserve"> </w:t>
      </w:r>
      <w:r w:rsidR="000A6467" w:rsidRPr="006A0A3F">
        <w:rPr>
          <w:rFonts w:ascii="Verdana" w:hAnsi="Verdana"/>
          <w:sz w:val="20"/>
          <w:lang w:val="es-CR"/>
        </w:rPr>
        <w:t xml:space="preserve">El 9 de enero de 2017 el Estado presentó una “apelación o solicitud de revocatoria” </w:t>
      </w:r>
      <w:r w:rsidR="00082A46" w:rsidRPr="006A0A3F">
        <w:rPr>
          <w:rFonts w:ascii="Verdana" w:hAnsi="Verdana"/>
          <w:sz w:val="20"/>
          <w:lang w:val="es-CR"/>
        </w:rPr>
        <w:t xml:space="preserve">ante la Corte respecto </w:t>
      </w:r>
      <w:r w:rsidR="000A6467" w:rsidRPr="006A0A3F">
        <w:rPr>
          <w:rFonts w:ascii="Verdana" w:hAnsi="Verdana"/>
          <w:sz w:val="20"/>
          <w:lang w:val="es-CR"/>
        </w:rPr>
        <w:t xml:space="preserve">de la </w:t>
      </w:r>
      <w:r w:rsidR="00082A46" w:rsidRPr="006A0A3F">
        <w:rPr>
          <w:rFonts w:ascii="Verdana" w:hAnsi="Verdana"/>
          <w:sz w:val="20"/>
          <w:lang w:val="es-CR"/>
        </w:rPr>
        <w:t xml:space="preserve">referida </w:t>
      </w:r>
      <w:r w:rsidR="000A6467" w:rsidRPr="006A0A3F">
        <w:rPr>
          <w:rFonts w:ascii="Verdana" w:hAnsi="Verdana"/>
          <w:sz w:val="20"/>
          <w:lang w:val="es-CR"/>
        </w:rPr>
        <w:t xml:space="preserve">Resolución, específicamente </w:t>
      </w:r>
      <w:r w:rsidR="00082A46" w:rsidRPr="006A0A3F">
        <w:rPr>
          <w:rFonts w:ascii="Verdana" w:hAnsi="Verdana"/>
          <w:sz w:val="20"/>
          <w:lang w:val="es-CR"/>
        </w:rPr>
        <w:t>en cuanto</w:t>
      </w:r>
      <w:r w:rsidR="000A6467" w:rsidRPr="006A0A3F">
        <w:rPr>
          <w:rFonts w:ascii="Verdana" w:hAnsi="Verdana"/>
          <w:sz w:val="20"/>
          <w:lang w:val="es-CR"/>
        </w:rPr>
        <w:t xml:space="preserve"> a la decisión de </w:t>
      </w:r>
      <w:r w:rsidR="00082A46" w:rsidRPr="006A0A3F">
        <w:rPr>
          <w:rFonts w:ascii="Verdana" w:hAnsi="Verdana"/>
          <w:sz w:val="20"/>
          <w:lang w:val="es-CR"/>
        </w:rPr>
        <w:t xml:space="preserve">requerir </w:t>
      </w:r>
      <w:r w:rsidR="000A6467" w:rsidRPr="006A0A3F">
        <w:rPr>
          <w:rFonts w:ascii="Verdana" w:hAnsi="Verdana"/>
          <w:sz w:val="20"/>
          <w:lang w:val="es-CR"/>
        </w:rPr>
        <w:t xml:space="preserve">las declaraciones de cinco peritos ofrecidos por </w:t>
      </w:r>
      <w:r w:rsidR="00082A46" w:rsidRPr="006A0A3F">
        <w:rPr>
          <w:rFonts w:ascii="Verdana" w:hAnsi="Verdana"/>
          <w:sz w:val="20"/>
          <w:lang w:val="es-CR"/>
        </w:rPr>
        <w:t xml:space="preserve">el </w:t>
      </w:r>
      <w:r w:rsidR="000A6467" w:rsidRPr="006A0A3F">
        <w:rPr>
          <w:rFonts w:ascii="Verdana" w:hAnsi="Verdana"/>
          <w:sz w:val="20"/>
          <w:lang w:val="es-CR"/>
        </w:rPr>
        <w:t xml:space="preserve">representante. </w:t>
      </w:r>
      <w:r w:rsidR="00082A46" w:rsidRPr="006A0A3F">
        <w:rPr>
          <w:rFonts w:ascii="Verdana" w:hAnsi="Verdana"/>
          <w:sz w:val="20"/>
          <w:lang w:val="es-CR"/>
        </w:rPr>
        <w:t xml:space="preserve">Una vez recibidas las observaciones </w:t>
      </w:r>
      <w:r w:rsidR="009369E0" w:rsidRPr="006A0A3F">
        <w:rPr>
          <w:rFonts w:ascii="Verdana" w:hAnsi="Verdana"/>
          <w:sz w:val="20"/>
          <w:lang w:val="es-CR"/>
        </w:rPr>
        <w:t xml:space="preserve">respectivas, </w:t>
      </w:r>
      <w:r w:rsidR="00082A46" w:rsidRPr="006A0A3F">
        <w:rPr>
          <w:rFonts w:ascii="Verdana" w:hAnsi="Verdana"/>
          <w:sz w:val="20"/>
          <w:lang w:val="es-CR"/>
        </w:rPr>
        <w:t>y luego de que el representante desistiera</w:t>
      </w:r>
      <w:r w:rsidR="00517FEC" w:rsidRPr="006A0A3F">
        <w:rPr>
          <w:rFonts w:ascii="Verdana" w:hAnsi="Verdana"/>
          <w:sz w:val="20"/>
          <w:lang w:val="es-CR"/>
        </w:rPr>
        <w:t xml:space="preserve"> del ofrecimiento de</w:t>
      </w:r>
      <w:r w:rsidR="001B19C1" w:rsidRPr="006A0A3F">
        <w:rPr>
          <w:rFonts w:ascii="Verdana" w:hAnsi="Verdana"/>
          <w:sz w:val="20"/>
          <w:lang w:val="es-CR"/>
        </w:rPr>
        <w:t xml:space="preserve"> uno de los</w:t>
      </w:r>
      <w:r w:rsidR="00517FEC" w:rsidRPr="006A0A3F">
        <w:rPr>
          <w:rFonts w:ascii="Verdana" w:hAnsi="Verdana"/>
          <w:sz w:val="20"/>
          <w:lang w:val="es-CR"/>
        </w:rPr>
        <w:t xml:space="preserve"> peritaje</w:t>
      </w:r>
      <w:r w:rsidR="001B19C1" w:rsidRPr="006A0A3F">
        <w:rPr>
          <w:rFonts w:ascii="Verdana" w:hAnsi="Verdana"/>
          <w:sz w:val="20"/>
          <w:lang w:val="es-CR"/>
        </w:rPr>
        <w:t>s</w:t>
      </w:r>
      <w:r w:rsidR="001B19C1" w:rsidRPr="006A0A3F">
        <w:rPr>
          <w:rStyle w:val="FootnoteReference"/>
          <w:rFonts w:ascii="Verdana" w:hAnsi="Verdana"/>
          <w:sz w:val="20"/>
          <w:lang w:val="es-CR"/>
        </w:rPr>
        <w:footnoteReference w:id="7"/>
      </w:r>
      <w:r w:rsidR="00082A46" w:rsidRPr="006A0A3F">
        <w:rPr>
          <w:rFonts w:ascii="Verdana" w:hAnsi="Verdana"/>
          <w:sz w:val="20"/>
          <w:lang w:val="es-CR"/>
        </w:rPr>
        <w:t>, m</w:t>
      </w:r>
      <w:r w:rsidR="00517FEC" w:rsidRPr="006A0A3F">
        <w:rPr>
          <w:rFonts w:ascii="Verdana" w:hAnsi="Verdana"/>
          <w:sz w:val="20"/>
          <w:lang w:val="es-CR"/>
        </w:rPr>
        <w:t>ediante Resolución de 6 de febrero de 2017</w:t>
      </w:r>
      <w:r w:rsidR="00994A7F" w:rsidRPr="006A0A3F">
        <w:rPr>
          <w:rFonts w:ascii="Verdana" w:hAnsi="Verdana"/>
          <w:sz w:val="20"/>
          <w:lang w:val="es-CR"/>
        </w:rPr>
        <w:t xml:space="preserve"> la Corte </w:t>
      </w:r>
      <w:r w:rsidR="00517FEC" w:rsidRPr="006A0A3F">
        <w:rPr>
          <w:rFonts w:ascii="Verdana" w:hAnsi="Verdana"/>
          <w:sz w:val="20"/>
          <w:lang w:val="es-CR"/>
        </w:rPr>
        <w:t>declaró improcedente</w:t>
      </w:r>
      <w:r w:rsidR="008240A6" w:rsidRPr="006A0A3F">
        <w:rPr>
          <w:rFonts w:ascii="Verdana" w:hAnsi="Verdana"/>
          <w:sz w:val="20"/>
          <w:lang w:val="es-CR"/>
        </w:rPr>
        <w:t>s</w:t>
      </w:r>
      <w:r w:rsidR="00517FEC" w:rsidRPr="006A0A3F">
        <w:rPr>
          <w:rFonts w:ascii="Verdana" w:hAnsi="Verdana"/>
          <w:sz w:val="20"/>
          <w:lang w:val="es-CR"/>
        </w:rPr>
        <w:t xml:space="preserve"> la</w:t>
      </w:r>
      <w:r w:rsidR="009369E0" w:rsidRPr="006A0A3F">
        <w:rPr>
          <w:rFonts w:ascii="Verdana" w:hAnsi="Verdana"/>
          <w:sz w:val="20"/>
          <w:lang w:val="es-CR"/>
        </w:rPr>
        <w:t>s</w:t>
      </w:r>
      <w:r w:rsidR="00517FEC" w:rsidRPr="006A0A3F">
        <w:rPr>
          <w:rFonts w:ascii="Verdana" w:hAnsi="Verdana"/>
          <w:sz w:val="20"/>
          <w:lang w:val="es-CR"/>
        </w:rPr>
        <w:t xml:space="preserve"> impugnaci</w:t>
      </w:r>
      <w:r w:rsidR="009369E0" w:rsidRPr="006A0A3F">
        <w:rPr>
          <w:rFonts w:ascii="Verdana" w:hAnsi="Verdana"/>
          <w:sz w:val="20"/>
          <w:lang w:val="es-CR"/>
        </w:rPr>
        <w:t>ones</w:t>
      </w:r>
      <w:r w:rsidR="00517FEC" w:rsidRPr="006A0A3F">
        <w:rPr>
          <w:rFonts w:ascii="Verdana" w:hAnsi="Verdana"/>
          <w:sz w:val="20"/>
          <w:lang w:val="es-CR"/>
        </w:rPr>
        <w:t xml:space="preserve"> interpuesta</w:t>
      </w:r>
      <w:r w:rsidR="009369E0" w:rsidRPr="006A0A3F">
        <w:rPr>
          <w:rFonts w:ascii="Verdana" w:hAnsi="Verdana"/>
          <w:sz w:val="20"/>
          <w:lang w:val="es-CR"/>
        </w:rPr>
        <w:t>s</w:t>
      </w:r>
      <w:r w:rsidR="00517FEC" w:rsidRPr="006A0A3F">
        <w:rPr>
          <w:rFonts w:ascii="Verdana" w:hAnsi="Verdana"/>
          <w:sz w:val="20"/>
          <w:lang w:val="es-CR"/>
        </w:rPr>
        <w:t xml:space="preserve"> por el Estado</w:t>
      </w:r>
      <w:r w:rsidR="00994A7F" w:rsidRPr="006A0A3F">
        <w:rPr>
          <w:rStyle w:val="FootnoteReference"/>
          <w:rFonts w:ascii="Verdana" w:hAnsi="Verdana"/>
          <w:sz w:val="20"/>
          <w:lang w:val="es-CR"/>
        </w:rPr>
        <w:footnoteReference w:id="8"/>
      </w:r>
      <w:r w:rsidR="008240A6" w:rsidRPr="006A0A3F">
        <w:rPr>
          <w:rFonts w:ascii="Verdana" w:hAnsi="Verdana"/>
          <w:sz w:val="20"/>
          <w:lang w:val="es-CR"/>
        </w:rPr>
        <w:t xml:space="preserve">. </w:t>
      </w:r>
      <w:r w:rsidR="00734ECF" w:rsidRPr="006A0A3F">
        <w:rPr>
          <w:rFonts w:ascii="Verdana" w:hAnsi="Verdana"/>
          <w:sz w:val="20"/>
          <w:lang w:val="es-CR"/>
        </w:rPr>
        <w:t xml:space="preserve">Los días 3 y 8 de febrero de 2017 fueron recibidas las declaraciones por afidávit, luego de haberse otorgado a las partes </w:t>
      </w:r>
      <w:r w:rsidR="00994A7F" w:rsidRPr="006A0A3F">
        <w:rPr>
          <w:rFonts w:ascii="Verdana" w:hAnsi="Verdana"/>
          <w:sz w:val="20"/>
          <w:lang w:val="es-CR"/>
        </w:rPr>
        <w:t>la posibilidad de formular preguntas a los declarantes y</w:t>
      </w:r>
      <w:r w:rsidR="009369E0" w:rsidRPr="006A0A3F">
        <w:rPr>
          <w:rFonts w:ascii="Verdana" w:hAnsi="Verdana"/>
          <w:sz w:val="20"/>
          <w:lang w:val="es-CR"/>
        </w:rPr>
        <w:t xml:space="preserve"> de</w:t>
      </w:r>
      <w:r w:rsidR="00994A7F" w:rsidRPr="006A0A3F">
        <w:rPr>
          <w:rFonts w:ascii="Verdana" w:hAnsi="Verdana"/>
          <w:sz w:val="20"/>
          <w:lang w:val="es-CR"/>
        </w:rPr>
        <w:t xml:space="preserve"> dos</w:t>
      </w:r>
      <w:r w:rsidR="00734ECF" w:rsidRPr="006A0A3F">
        <w:rPr>
          <w:rFonts w:ascii="Verdana" w:hAnsi="Verdana"/>
          <w:sz w:val="20"/>
          <w:lang w:val="es-CR"/>
        </w:rPr>
        <w:t xml:space="preserve"> prórroga</w:t>
      </w:r>
      <w:r w:rsidR="00994A7F" w:rsidRPr="006A0A3F">
        <w:rPr>
          <w:rFonts w:ascii="Verdana" w:hAnsi="Verdana"/>
          <w:sz w:val="20"/>
          <w:lang w:val="es-CR"/>
        </w:rPr>
        <w:t>s</w:t>
      </w:r>
      <w:r w:rsidR="00734ECF" w:rsidRPr="006A0A3F">
        <w:rPr>
          <w:rStyle w:val="FootnoteReference"/>
          <w:rFonts w:ascii="Verdana" w:hAnsi="Verdana"/>
          <w:sz w:val="20"/>
          <w:lang w:val="es-CR"/>
        </w:rPr>
        <w:footnoteReference w:id="9"/>
      </w:r>
      <w:r w:rsidR="00734ECF" w:rsidRPr="006A0A3F">
        <w:rPr>
          <w:rFonts w:ascii="Verdana" w:hAnsi="Verdana"/>
          <w:sz w:val="20"/>
          <w:lang w:val="es-CR"/>
        </w:rPr>
        <w:t xml:space="preserve">. </w:t>
      </w:r>
      <w:r w:rsidR="00927B0B" w:rsidRPr="006A0A3F">
        <w:rPr>
          <w:rFonts w:ascii="Verdana" w:hAnsi="Verdana"/>
          <w:sz w:val="20"/>
          <w:lang w:val="es-CR"/>
        </w:rPr>
        <w:t>La audiencia pública</w:t>
      </w:r>
      <w:r w:rsidR="009533E5" w:rsidRPr="006A0A3F">
        <w:rPr>
          <w:rFonts w:ascii="Verdana" w:hAnsi="Verdana"/>
          <w:sz w:val="20"/>
          <w:lang w:val="es-CR"/>
        </w:rPr>
        <w:t xml:space="preserve"> </w:t>
      </w:r>
      <w:r w:rsidR="00927B0B" w:rsidRPr="006A0A3F">
        <w:rPr>
          <w:rFonts w:ascii="Verdana" w:hAnsi="Verdana"/>
          <w:sz w:val="20"/>
          <w:lang w:val="es-CR"/>
        </w:rPr>
        <w:t>fue celebrada el día 14 de febrero</w:t>
      </w:r>
      <w:r w:rsidR="00853E9E" w:rsidRPr="006A0A3F">
        <w:rPr>
          <w:rFonts w:ascii="Verdana" w:hAnsi="Verdana"/>
          <w:sz w:val="20"/>
          <w:lang w:val="es-CR"/>
        </w:rPr>
        <w:t xml:space="preserve"> de 2017</w:t>
      </w:r>
      <w:r w:rsidR="009533E5" w:rsidRPr="006A0A3F">
        <w:rPr>
          <w:rFonts w:ascii="Verdana" w:hAnsi="Verdana"/>
          <w:sz w:val="20"/>
          <w:lang w:val="es-CR"/>
        </w:rPr>
        <w:t xml:space="preserve"> durante el </w:t>
      </w:r>
      <w:r w:rsidR="00927B0B" w:rsidRPr="006A0A3F">
        <w:rPr>
          <w:rFonts w:ascii="Verdana" w:hAnsi="Verdana"/>
          <w:sz w:val="20"/>
          <w:lang w:val="es-CR"/>
        </w:rPr>
        <w:t xml:space="preserve">117º </w:t>
      </w:r>
      <w:r w:rsidR="009533E5" w:rsidRPr="006A0A3F">
        <w:rPr>
          <w:rFonts w:ascii="Verdana" w:hAnsi="Verdana"/>
          <w:sz w:val="20"/>
          <w:lang w:val="es-CR"/>
        </w:rPr>
        <w:t>Período Ordinario de Sesiones, que se llevó a cabo en la sede de la Corte</w:t>
      </w:r>
      <w:r w:rsidR="009533E5" w:rsidRPr="006A0A3F">
        <w:rPr>
          <w:rStyle w:val="FootnoteReference"/>
          <w:rFonts w:ascii="Verdana" w:hAnsi="Verdana"/>
          <w:sz w:val="20"/>
          <w:lang w:val="es-CR"/>
        </w:rPr>
        <w:footnoteReference w:id="10"/>
      </w:r>
      <w:r w:rsidR="009533E5" w:rsidRPr="006A0A3F">
        <w:rPr>
          <w:rFonts w:ascii="Verdana" w:hAnsi="Verdana"/>
          <w:sz w:val="20"/>
          <w:lang w:val="es-CR"/>
        </w:rPr>
        <w:t>.</w:t>
      </w:r>
      <w:r w:rsidR="00F94008" w:rsidRPr="006A0A3F">
        <w:rPr>
          <w:rFonts w:ascii="Verdana" w:hAnsi="Verdana" w:cs="Verdana"/>
          <w:spacing w:val="-2"/>
          <w:sz w:val="20"/>
          <w:lang w:val="es-CR"/>
        </w:rPr>
        <w:t xml:space="preserve"> </w:t>
      </w:r>
      <w:r w:rsidR="00F94008" w:rsidRPr="006A0A3F">
        <w:rPr>
          <w:rFonts w:ascii="Verdana" w:hAnsi="Verdana"/>
          <w:sz w:val="20"/>
          <w:lang w:val="es-CR"/>
        </w:rPr>
        <w:t>En el curso de dicha audiencia las partes presentaron determinada documentación y los Jueces de la Corte solicitaron información</w:t>
      </w:r>
      <w:r w:rsidR="00274070" w:rsidRPr="006A0A3F">
        <w:rPr>
          <w:rFonts w:ascii="Verdana" w:hAnsi="Verdana"/>
          <w:sz w:val="20"/>
          <w:lang w:val="es-CR"/>
        </w:rPr>
        <w:t xml:space="preserve"> adicional</w:t>
      </w:r>
      <w:r w:rsidR="00F94008" w:rsidRPr="006A0A3F">
        <w:rPr>
          <w:rFonts w:ascii="Verdana" w:hAnsi="Verdana"/>
          <w:sz w:val="20"/>
          <w:lang w:val="es-CR"/>
        </w:rPr>
        <w:t>.</w:t>
      </w:r>
    </w:p>
    <w:p w14:paraId="09458DD0" w14:textId="77777777" w:rsidR="000E1C47" w:rsidRPr="006A0A3F" w:rsidRDefault="000E1C47" w:rsidP="000E1C47">
      <w:pPr>
        <w:pStyle w:val="ListParagraph"/>
        <w:ind w:left="0"/>
        <w:jc w:val="both"/>
        <w:rPr>
          <w:rFonts w:ascii="Verdana" w:hAnsi="Verdana"/>
          <w:sz w:val="20"/>
          <w:lang w:val="es-CR"/>
        </w:rPr>
      </w:pPr>
    </w:p>
    <w:p w14:paraId="10B7AE5C" w14:textId="6ED6C81E" w:rsidR="000E1C47" w:rsidRPr="006A0A3F" w:rsidRDefault="008A43F3" w:rsidP="002F0D91">
      <w:pPr>
        <w:pStyle w:val="ListParagraph"/>
        <w:numPr>
          <w:ilvl w:val="0"/>
          <w:numId w:val="4"/>
        </w:numPr>
        <w:ind w:left="0" w:firstLine="0"/>
        <w:jc w:val="both"/>
        <w:rPr>
          <w:rFonts w:ascii="Verdana" w:hAnsi="Verdana"/>
          <w:sz w:val="20"/>
          <w:lang w:val="es-CR"/>
        </w:rPr>
      </w:pPr>
      <w:proofErr w:type="spellStart"/>
      <w:r w:rsidRPr="006A0A3F">
        <w:rPr>
          <w:rFonts w:ascii="Verdana" w:hAnsi="Verdana"/>
          <w:i/>
          <w:sz w:val="20"/>
          <w:lang w:val="es-CR"/>
        </w:rPr>
        <w:t>Amici</w:t>
      </w:r>
      <w:proofErr w:type="spellEnd"/>
      <w:r w:rsidRPr="006A0A3F">
        <w:rPr>
          <w:rFonts w:ascii="Verdana" w:hAnsi="Verdana"/>
          <w:i/>
          <w:sz w:val="20"/>
          <w:lang w:val="es-CR"/>
        </w:rPr>
        <w:t xml:space="preserve"> </w:t>
      </w:r>
      <w:proofErr w:type="spellStart"/>
      <w:r w:rsidRPr="006A0A3F">
        <w:rPr>
          <w:rFonts w:ascii="Verdana" w:hAnsi="Verdana"/>
          <w:i/>
          <w:sz w:val="20"/>
          <w:lang w:val="es-CR"/>
        </w:rPr>
        <w:t>curiae</w:t>
      </w:r>
      <w:proofErr w:type="spellEnd"/>
      <w:r w:rsidRPr="006A0A3F">
        <w:rPr>
          <w:rFonts w:ascii="Verdana" w:hAnsi="Verdana"/>
          <w:i/>
          <w:sz w:val="20"/>
          <w:lang w:val="es-CR"/>
        </w:rPr>
        <w:t xml:space="preserve">.- </w:t>
      </w:r>
      <w:r w:rsidR="002D718B" w:rsidRPr="006A0A3F">
        <w:rPr>
          <w:rFonts w:ascii="Verdana" w:hAnsi="Verdana"/>
          <w:sz w:val="20"/>
          <w:lang w:val="es-CR"/>
        </w:rPr>
        <w:t>Se recibieron</w:t>
      </w:r>
      <w:r w:rsidRPr="006A0A3F">
        <w:rPr>
          <w:rFonts w:ascii="Verdana" w:hAnsi="Verdana"/>
          <w:sz w:val="20"/>
          <w:lang w:val="es-CR"/>
        </w:rPr>
        <w:t xml:space="preserve"> escritos de </w:t>
      </w:r>
      <w:proofErr w:type="spellStart"/>
      <w:r w:rsidRPr="006A0A3F">
        <w:rPr>
          <w:rFonts w:ascii="Verdana" w:hAnsi="Verdana"/>
          <w:i/>
          <w:iCs/>
          <w:sz w:val="20"/>
          <w:lang w:val="es-CR"/>
        </w:rPr>
        <w:t>amicus</w:t>
      </w:r>
      <w:proofErr w:type="spellEnd"/>
      <w:r w:rsidRPr="006A0A3F">
        <w:rPr>
          <w:rFonts w:ascii="Verdana" w:hAnsi="Verdana"/>
          <w:i/>
          <w:iCs/>
          <w:sz w:val="20"/>
          <w:lang w:val="es-CR"/>
        </w:rPr>
        <w:t xml:space="preserve"> </w:t>
      </w:r>
      <w:proofErr w:type="spellStart"/>
      <w:r w:rsidRPr="006A0A3F">
        <w:rPr>
          <w:rFonts w:ascii="Verdana" w:hAnsi="Verdana"/>
          <w:i/>
          <w:iCs/>
          <w:sz w:val="20"/>
          <w:lang w:val="es-CR"/>
        </w:rPr>
        <w:t>curiae</w:t>
      </w:r>
      <w:proofErr w:type="spellEnd"/>
      <w:r w:rsidRPr="006A0A3F">
        <w:rPr>
          <w:rFonts w:ascii="Verdana" w:hAnsi="Verdana"/>
          <w:sz w:val="20"/>
          <w:lang w:val="es-CR"/>
        </w:rPr>
        <w:t xml:space="preserve"> de las organizaciones </w:t>
      </w:r>
      <w:r w:rsidR="00313240" w:rsidRPr="006A0A3F">
        <w:rPr>
          <w:rFonts w:ascii="Verdana" w:hAnsi="Verdana"/>
          <w:sz w:val="20"/>
          <w:lang w:val="es-CR"/>
        </w:rPr>
        <w:t>“</w:t>
      </w:r>
      <w:r w:rsidR="00313240" w:rsidRPr="006A0A3F">
        <w:rPr>
          <w:rFonts w:ascii="Verdana" w:hAnsi="Verdana"/>
          <w:i/>
          <w:sz w:val="20"/>
          <w:lang w:val="es-CR"/>
        </w:rPr>
        <w:t xml:space="preserve">Human </w:t>
      </w:r>
      <w:proofErr w:type="spellStart"/>
      <w:r w:rsidR="00313240" w:rsidRPr="006A0A3F">
        <w:rPr>
          <w:rFonts w:ascii="Verdana" w:hAnsi="Verdana"/>
          <w:i/>
          <w:sz w:val="20"/>
          <w:lang w:val="es-CR"/>
        </w:rPr>
        <w:t>Rights</w:t>
      </w:r>
      <w:proofErr w:type="spellEnd"/>
      <w:r w:rsidR="00313240" w:rsidRPr="006A0A3F">
        <w:rPr>
          <w:rFonts w:ascii="Verdana" w:hAnsi="Verdana"/>
          <w:i/>
          <w:sz w:val="20"/>
          <w:lang w:val="es-CR"/>
        </w:rPr>
        <w:t xml:space="preserve"> </w:t>
      </w:r>
      <w:proofErr w:type="spellStart"/>
      <w:r w:rsidR="00313240" w:rsidRPr="006A0A3F">
        <w:rPr>
          <w:rFonts w:ascii="Verdana" w:hAnsi="Verdana"/>
          <w:i/>
          <w:sz w:val="20"/>
          <w:lang w:val="es-CR"/>
        </w:rPr>
        <w:t>Watch</w:t>
      </w:r>
      <w:proofErr w:type="spellEnd"/>
      <w:r w:rsidR="00313240" w:rsidRPr="006A0A3F">
        <w:rPr>
          <w:rFonts w:ascii="Verdana" w:hAnsi="Verdana"/>
          <w:sz w:val="20"/>
          <w:lang w:val="es-CR"/>
        </w:rPr>
        <w:t>”</w:t>
      </w:r>
      <w:r w:rsidR="00540ACC" w:rsidRPr="006A0A3F">
        <w:rPr>
          <w:rStyle w:val="FootnoteReference"/>
          <w:rFonts w:ascii="Verdana" w:hAnsi="Verdana"/>
          <w:sz w:val="20"/>
          <w:lang w:val="es-CR"/>
        </w:rPr>
        <w:footnoteReference w:id="11"/>
      </w:r>
      <w:r w:rsidR="00517FEC" w:rsidRPr="006A0A3F">
        <w:rPr>
          <w:rFonts w:ascii="Verdana" w:hAnsi="Verdana"/>
          <w:sz w:val="20"/>
          <w:lang w:val="es-CR"/>
        </w:rPr>
        <w:t>,</w:t>
      </w:r>
      <w:r w:rsidR="0028290A" w:rsidRPr="006A0A3F">
        <w:rPr>
          <w:rFonts w:ascii="Verdana" w:hAnsi="Verdana"/>
          <w:sz w:val="20"/>
          <w:lang w:val="es-CR"/>
        </w:rPr>
        <w:t xml:space="preserve"> </w:t>
      </w:r>
      <w:r w:rsidR="00313240" w:rsidRPr="006A0A3F">
        <w:rPr>
          <w:rFonts w:ascii="Verdana" w:hAnsi="Verdana"/>
          <w:sz w:val="20"/>
          <w:lang w:val="es-CR"/>
        </w:rPr>
        <w:t xml:space="preserve">el </w:t>
      </w:r>
      <w:r w:rsidR="0028290A" w:rsidRPr="006A0A3F">
        <w:rPr>
          <w:rFonts w:ascii="Verdana" w:hAnsi="Verdana"/>
          <w:sz w:val="20"/>
          <w:lang w:val="es-CR"/>
        </w:rPr>
        <w:t>“</w:t>
      </w:r>
      <w:r w:rsidR="00313240" w:rsidRPr="006A0A3F">
        <w:rPr>
          <w:rFonts w:ascii="Verdana" w:hAnsi="Verdana"/>
          <w:sz w:val="20"/>
          <w:lang w:val="es-CR"/>
        </w:rPr>
        <w:t>Observatorio Iberoamericano de la Democracia”</w:t>
      </w:r>
      <w:r w:rsidR="0028290A" w:rsidRPr="006A0A3F">
        <w:rPr>
          <w:rStyle w:val="FootnoteReference"/>
          <w:rFonts w:ascii="Verdana" w:hAnsi="Verdana"/>
          <w:sz w:val="20"/>
          <w:lang w:val="es-CR"/>
        </w:rPr>
        <w:footnoteReference w:id="12"/>
      </w:r>
      <w:r w:rsidR="00313240" w:rsidRPr="006A0A3F">
        <w:rPr>
          <w:rFonts w:ascii="Verdana" w:hAnsi="Verdana"/>
          <w:sz w:val="20"/>
          <w:lang w:val="es-CR"/>
        </w:rPr>
        <w:t xml:space="preserve"> y </w:t>
      </w:r>
      <w:r w:rsidR="00517FEC" w:rsidRPr="006A0A3F">
        <w:rPr>
          <w:rFonts w:ascii="Verdana" w:hAnsi="Verdana"/>
          <w:sz w:val="20"/>
          <w:lang w:val="es-CR"/>
        </w:rPr>
        <w:t>d</w:t>
      </w:r>
      <w:r w:rsidR="00313240" w:rsidRPr="006A0A3F">
        <w:rPr>
          <w:rFonts w:ascii="Verdana" w:hAnsi="Verdana"/>
          <w:sz w:val="20"/>
          <w:lang w:val="es-CR"/>
        </w:rPr>
        <w:t xml:space="preserve">el </w:t>
      </w:r>
      <w:r w:rsidR="00517FEC" w:rsidRPr="006A0A3F">
        <w:rPr>
          <w:rFonts w:ascii="Verdana" w:hAnsi="Verdana"/>
          <w:sz w:val="20"/>
          <w:lang w:val="es-CR"/>
        </w:rPr>
        <w:t>“</w:t>
      </w:r>
      <w:r w:rsidR="00313240" w:rsidRPr="006A0A3F">
        <w:rPr>
          <w:rFonts w:ascii="Verdana" w:hAnsi="Verdana"/>
          <w:sz w:val="20"/>
          <w:lang w:val="es-CR"/>
        </w:rPr>
        <w:t>Grupo de Litigio de Interés Público de la División de Derecho</w:t>
      </w:r>
      <w:r w:rsidR="009631F0" w:rsidRPr="006A0A3F">
        <w:rPr>
          <w:rFonts w:ascii="Verdana" w:hAnsi="Verdana"/>
          <w:sz w:val="20"/>
          <w:lang w:val="es-CR"/>
        </w:rPr>
        <w:t>”</w:t>
      </w:r>
      <w:r w:rsidR="00313240" w:rsidRPr="006A0A3F">
        <w:rPr>
          <w:rFonts w:ascii="Verdana" w:hAnsi="Verdana"/>
          <w:sz w:val="20"/>
          <w:lang w:val="es-CR"/>
        </w:rPr>
        <w:t xml:space="preserve"> de la Universidad del Norte</w:t>
      </w:r>
      <w:r w:rsidR="009631F0" w:rsidRPr="006A0A3F">
        <w:rPr>
          <w:rFonts w:ascii="Verdana" w:hAnsi="Verdana"/>
          <w:sz w:val="20"/>
          <w:lang w:val="es-CR"/>
        </w:rPr>
        <w:t xml:space="preserve"> (Barranquilla, Colombia)</w:t>
      </w:r>
      <w:r w:rsidR="003961FC" w:rsidRPr="006A0A3F">
        <w:rPr>
          <w:rStyle w:val="FootnoteReference"/>
          <w:rFonts w:ascii="Verdana" w:hAnsi="Verdana"/>
          <w:sz w:val="20"/>
          <w:lang w:val="es-CR"/>
        </w:rPr>
        <w:footnoteReference w:id="13"/>
      </w:r>
      <w:r w:rsidR="00313240" w:rsidRPr="006A0A3F">
        <w:rPr>
          <w:rFonts w:ascii="Verdana" w:hAnsi="Verdana"/>
          <w:sz w:val="20"/>
          <w:lang w:val="es-CR"/>
        </w:rPr>
        <w:t xml:space="preserve">. </w:t>
      </w:r>
    </w:p>
    <w:p w14:paraId="713CE3B4" w14:textId="77777777" w:rsidR="000E1C47" w:rsidRPr="006A0A3F" w:rsidRDefault="000E1C47" w:rsidP="000E1C47">
      <w:pPr>
        <w:pStyle w:val="ListParagraph"/>
        <w:rPr>
          <w:rFonts w:ascii="Verdana" w:hAnsi="Verdana"/>
          <w:i/>
          <w:sz w:val="20"/>
          <w:lang w:val="es-CR"/>
        </w:rPr>
      </w:pPr>
    </w:p>
    <w:p w14:paraId="1397783C" w14:textId="50E9256F" w:rsidR="008A43F3" w:rsidRPr="006A0A3F" w:rsidRDefault="008A43F3"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Alegatos y observaciones finales escritos</w:t>
      </w:r>
      <w:r w:rsidRPr="006A0A3F">
        <w:rPr>
          <w:rFonts w:ascii="Verdana" w:hAnsi="Verdana"/>
          <w:sz w:val="20"/>
          <w:lang w:val="es-CR"/>
        </w:rPr>
        <w:t xml:space="preserve">.- </w:t>
      </w:r>
      <w:r w:rsidR="00460A66" w:rsidRPr="006A0A3F">
        <w:rPr>
          <w:rFonts w:ascii="Verdana" w:hAnsi="Verdana"/>
          <w:sz w:val="20"/>
          <w:lang w:val="es-CR"/>
        </w:rPr>
        <w:t xml:space="preserve">El 15 de marzo </w:t>
      </w:r>
      <w:r w:rsidR="00297B4B" w:rsidRPr="006A0A3F">
        <w:rPr>
          <w:rFonts w:ascii="Verdana" w:hAnsi="Verdana"/>
          <w:sz w:val="20"/>
          <w:lang w:val="es-CR"/>
        </w:rPr>
        <w:t>de 201</w:t>
      </w:r>
      <w:r w:rsidR="00460A66" w:rsidRPr="006A0A3F">
        <w:rPr>
          <w:rFonts w:ascii="Verdana" w:hAnsi="Verdana"/>
          <w:sz w:val="20"/>
          <w:lang w:val="es-CR"/>
        </w:rPr>
        <w:t>7</w:t>
      </w:r>
      <w:r w:rsidRPr="006A0A3F">
        <w:rPr>
          <w:rFonts w:ascii="Verdana" w:hAnsi="Verdana"/>
          <w:sz w:val="20"/>
          <w:lang w:val="es-CR"/>
        </w:rPr>
        <w:t xml:space="preserve"> </w:t>
      </w:r>
      <w:r w:rsidR="00517FEC" w:rsidRPr="006A0A3F">
        <w:rPr>
          <w:rFonts w:ascii="Verdana" w:hAnsi="Verdana"/>
          <w:sz w:val="20"/>
          <w:lang w:val="es-CR"/>
        </w:rPr>
        <w:t>las partes y la Comisión</w:t>
      </w:r>
      <w:r w:rsidR="009631F0" w:rsidRPr="006A0A3F">
        <w:rPr>
          <w:rFonts w:ascii="Verdana" w:hAnsi="Verdana"/>
          <w:sz w:val="20"/>
          <w:lang w:val="es-CR"/>
        </w:rPr>
        <w:t xml:space="preserve"> </w:t>
      </w:r>
      <w:r w:rsidR="00297B4B" w:rsidRPr="006A0A3F">
        <w:rPr>
          <w:rFonts w:ascii="Verdana" w:hAnsi="Verdana"/>
          <w:sz w:val="20"/>
          <w:lang w:val="es-CR"/>
        </w:rPr>
        <w:t>remitieron</w:t>
      </w:r>
      <w:r w:rsidRPr="006A0A3F">
        <w:rPr>
          <w:rFonts w:ascii="Verdana" w:hAnsi="Verdana"/>
          <w:sz w:val="20"/>
          <w:lang w:val="es-CR"/>
        </w:rPr>
        <w:t xml:space="preserve"> sus alegatos y </w:t>
      </w:r>
      <w:r w:rsidR="00DD4648" w:rsidRPr="006A0A3F">
        <w:rPr>
          <w:rFonts w:ascii="Verdana" w:hAnsi="Verdana"/>
          <w:sz w:val="20"/>
          <w:lang w:val="es-CR"/>
        </w:rPr>
        <w:t>observaciones finales escrit</w:t>
      </w:r>
      <w:r w:rsidR="00517FEC" w:rsidRPr="006A0A3F">
        <w:rPr>
          <w:rFonts w:ascii="Verdana" w:hAnsi="Verdana"/>
          <w:sz w:val="20"/>
          <w:lang w:val="es-CR"/>
        </w:rPr>
        <w:t>a</w:t>
      </w:r>
      <w:r w:rsidR="00DD4648" w:rsidRPr="006A0A3F">
        <w:rPr>
          <w:rFonts w:ascii="Verdana" w:hAnsi="Verdana"/>
          <w:sz w:val="20"/>
          <w:lang w:val="es-CR"/>
        </w:rPr>
        <w:t>s</w:t>
      </w:r>
      <w:r w:rsidR="00517FEC" w:rsidRPr="006A0A3F">
        <w:rPr>
          <w:rFonts w:ascii="Verdana" w:hAnsi="Verdana"/>
          <w:sz w:val="20"/>
          <w:lang w:val="es-CR"/>
        </w:rPr>
        <w:t>, respectivamente</w:t>
      </w:r>
      <w:r w:rsidR="00DD4648" w:rsidRPr="006A0A3F">
        <w:rPr>
          <w:rFonts w:ascii="Verdana" w:hAnsi="Verdana"/>
          <w:sz w:val="20"/>
          <w:lang w:val="es-CR"/>
        </w:rPr>
        <w:t>.</w:t>
      </w:r>
      <w:r w:rsidRPr="006A0A3F">
        <w:rPr>
          <w:rFonts w:ascii="Verdana" w:hAnsi="Verdana"/>
          <w:sz w:val="20"/>
          <w:lang w:val="es-CR"/>
        </w:rPr>
        <w:t xml:space="preserve"> </w:t>
      </w:r>
      <w:r w:rsidR="009631F0" w:rsidRPr="006A0A3F">
        <w:rPr>
          <w:rFonts w:ascii="Verdana" w:hAnsi="Verdana"/>
          <w:sz w:val="20"/>
          <w:lang w:val="es-CR"/>
        </w:rPr>
        <w:t>El representante planteó una “cuestión de previo y especial pronunciamiento sobre la integración de la Corte en este caso”</w:t>
      </w:r>
      <w:r w:rsidR="004E2574" w:rsidRPr="006A0A3F">
        <w:rPr>
          <w:rFonts w:ascii="Verdana" w:hAnsi="Verdana"/>
          <w:sz w:val="20"/>
          <w:lang w:val="es-CR"/>
        </w:rPr>
        <w:t xml:space="preserve">, a saber, que </w:t>
      </w:r>
      <w:r w:rsidR="009369E0" w:rsidRPr="006A0A3F">
        <w:rPr>
          <w:rFonts w:ascii="Verdana" w:hAnsi="Verdana"/>
          <w:sz w:val="20"/>
          <w:lang w:val="es-CR"/>
        </w:rPr>
        <w:t>el entonces</w:t>
      </w:r>
      <w:r w:rsidR="004E2574" w:rsidRPr="006A0A3F">
        <w:rPr>
          <w:rFonts w:ascii="Verdana" w:hAnsi="Verdana"/>
          <w:sz w:val="20"/>
          <w:lang w:val="es-CR"/>
        </w:rPr>
        <w:t xml:space="preserve"> Presidente no debía participar en la deliberación de esta Sentencia por no haber participado en la audiencia. </w:t>
      </w:r>
      <w:r w:rsidR="009369E0" w:rsidRPr="006A0A3F">
        <w:rPr>
          <w:rFonts w:ascii="Verdana" w:hAnsi="Verdana"/>
          <w:sz w:val="20"/>
          <w:lang w:val="es-CR"/>
        </w:rPr>
        <w:t>M</w:t>
      </w:r>
      <w:r w:rsidR="004E2574" w:rsidRPr="006A0A3F">
        <w:rPr>
          <w:rFonts w:ascii="Verdana" w:hAnsi="Verdana"/>
          <w:sz w:val="20"/>
          <w:lang w:val="es-CR"/>
        </w:rPr>
        <w:t xml:space="preserve">ediante Resolución de </w:t>
      </w:r>
      <w:r w:rsidR="0044180C" w:rsidRPr="006A0A3F">
        <w:rPr>
          <w:rFonts w:ascii="Verdana" w:hAnsi="Verdana"/>
          <w:sz w:val="20"/>
          <w:lang w:val="es-CR"/>
        </w:rPr>
        <w:t>18</w:t>
      </w:r>
      <w:r w:rsidR="004E2574" w:rsidRPr="006A0A3F">
        <w:rPr>
          <w:rFonts w:ascii="Verdana" w:hAnsi="Verdana"/>
          <w:sz w:val="20"/>
          <w:lang w:val="es-CR"/>
        </w:rPr>
        <w:t xml:space="preserve"> de mayo de 2017, la Corte declaró improcedente la solicitud del representante</w:t>
      </w:r>
      <w:r w:rsidR="004E2574" w:rsidRPr="006A0A3F">
        <w:rPr>
          <w:rStyle w:val="FootnoteReference"/>
          <w:rFonts w:ascii="Verdana" w:hAnsi="Verdana"/>
          <w:sz w:val="20"/>
          <w:lang w:val="es-CR"/>
        </w:rPr>
        <w:footnoteReference w:id="14"/>
      </w:r>
      <w:r w:rsidR="004E2574" w:rsidRPr="006A0A3F">
        <w:rPr>
          <w:rFonts w:ascii="Verdana" w:hAnsi="Verdana"/>
          <w:sz w:val="20"/>
          <w:lang w:val="es-CR"/>
        </w:rPr>
        <w:t>.</w:t>
      </w:r>
    </w:p>
    <w:p w14:paraId="6E201FD2" w14:textId="36194EBA" w:rsidR="004C749A" w:rsidRPr="006A0A3F" w:rsidRDefault="004C749A" w:rsidP="004C749A">
      <w:pPr>
        <w:pStyle w:val="ListParagraph"/>
        <w:rPr>
          <w:rFonts w:ascii="Verdana" w:hAnsi="Verdana"/>
          <w:sz w:val="20"/>
          <w:lang w:val="es-CR"/>
        </w:rPr>
      </w:pPr>
    </w:p>
    <w:p w14:paraId="0F07B78D" w14:textId="5B3E4735" w:rsidR="004C749A" w:rsidRPr="006A0A3F" w:rsidRDefault="004C749A" w:rsidP="002F0D91">
      <w:pPr>
        <w:pStyle w:val="ListParagraph"/>
        <w:numPr>
          <w:ilvl w:val="0"/>
          <w:numId w:val="4"/>
        </w:numPr>
        <w:ind w:left="0" w:firstLine="0"/>
        <w:jc w:val="both"/>
        <w:rPr>
          <w:rFonts w:ascii="Verdana" w:hAnsi="Verdana"/>
          <w:sz w:val="20"/>
          <w:lang w:val="es-CR"/>
        </w:rPr>
      </w:pPr>
      <w:r w:rsidRPr="006A0A3F">
        <w:rPr>
          <w:rFonts w:ascii="Verdana" w:hAnsi="Verdana"/>
          <w:i/>
          <w:sz w:val="20"/>
          <w:lang w:val="es-CR"/>
        </w:rPr>
        <w:t>Deliberación del presente caso</w:t>
      </w:r>
      <w:r w:rsidRPr="006A0A3F">
        <w:rPr>
          <w:rFonts w:ascii="Verdana" w:hAnsi="Verdana"/>
          <w:sz w:val="20"/>
          <w:lang w:val="es-CR"/>
        </w:rPr>
        <w:t xml:space="preserve">.- La Corte inició la deliberación de la presente Sentencia el </w:t>
      </w:r>
      <w:r w:rsidR="00460E6C" w:rsidRPr="006A0A3F">
        <w:rPr>
          <w:rFonts w:ascii="Verdana" w:hAnsi="Verdana"/>
          <w:sz w:val="20"/>
          <w:lang w:val="es-CR"/>
        </w:rPr>
        <w:t>31 de enero</w:t>
      </w:r>
      <w:r w:rsidR="000C01B9" w:rsidRPr="006A0A3F">
        <w:rPr>
          <w:rFonts w:ascii="Verdana" w:hAnsi="Verdana"/>
          <w:sz w:val="20"/>
          <w:lang w:val="es-CR"/>
        </w:rPr>
        <w:t xml:space="preserve"> de 2018</w:t>
      </w:r>
      <w:r w:rsidRPr="006A0A3F">
        <w:rPr>
          <w:rFonts w:ascii="Verdana" w:hAnsi="Verdana"/>
          <w:sz w:val="20"/>
          <w:lang w:val="es-CR"/>
        </w:rPr>
        <w:t>.</w:t>
      </w:r>
    </w:p>
    <w:p w14:paraId="1F0E07E1" w14:textId="77777777" w:rsidR="008A43F3" w:rsidRPr="006A0A3F" w:rsidRDefault="008A43F3" w:rsidP="002D718B">
      <w:pPr>
        <w:pStyle w:val="ListParagraph"/>
        <w:ind w:left="0"/>
        <w:jc w:val="both"/>
        <w:rPr>
          <w:rFonts w:ascii="Verdana" w:hAnsi="Verdana"/>
          <w:sz w:val="20"/>
          <w:lang w:val="es-CR"/>
        </w:rPr>
      </w:pPr>
    </w:p>
    <w:p w14:paraId="487A9F0B" w14:textId="77777777" w:rsidR="0039120A" w:rsidRPr="006A0A3F" w:rsidRDefault="0039120A" w:rsidP="002D718B">
      <w:pPr>
        <w:pStyle w:val="ListParagraph"/>
        <w:ind w:left="0"/>
        <w:jc w:val="both"/>
        <w:rPr>
          <w:rFonts w:ascii="Verdana" w:hAnsi="Verdana"/>
          <w:sz w:val="20"/>
          <w:lang w:val="es-CR"/>
        </w:rPr>
      </w:pPr>
    </w:p>
    <w:p w14:paraId="5F375850" w14:textId="77777777" w:rsidR="008A43F3" w:rsidRPr="006A0A3F" w:rsidRDefault="008A43F3" w:rsidP="008A43F3">
      <w:pPr>
        <w:pStyle w:val="Heading1"/>
        <w:spacing w:before="0" w:after="0" w:line="240" w:lineRule="auto"/>
        <w:jc w:val="center"/>
        <w:rPr>
          <w:rFonts w:ascii="Verdana" w:hAnsi="Verdana" w:cs="Verdana"/>
          <w:caps/>
          <w:noProof/>
          <w:snapToGrid w:val="0"/>
          <w:sz w:val="20"/>
          <w:szCs w:val="20"/>
          <w:lang w:val="es-CR" w:eastAsia="es-ES"/>
        </w:rPr>
      </w:pPr>
      <w:bookmarkStart w:id="6" w:name="_Toc340752580"/>
      <w:bookmarkStart w:id="7" w:name="_Toc505876982"/>
      <w:r w:rsidRPr="006A0A3F">
        <w:rPr>
          <w:rFonts w:ascii="Verdana" w:hAnsi="Verdana" w:cs="Verdana"/>
          <w:caps/>
          <w:noProof/>
          <w:snapToGrid w:val="0"/>
          <w:sz w:val="20"/>
          <w:szCs w:val="20"/>
          <w:lang w:val="es-CR" w:eastAsia="es-ES"/>
        </w:rPr>
        <w:t>III</w:t>
      </w:r>
      <w:r w:rsidRPr="006A0A3F">
        <w:rPr>
          <w:rFonts w:ascii="Verdana" w:hAnsi="Verdana" w:cs="Verdana"/>
          <w:caps/>
          <w:noProof/>
          <w:snapToGrid w:val="0"/>
          <w:sz w:val="20"/>
          <w:szCs w:val="20"/>
          <w:lang w:val="es-CR" w:eastAsia="es-ES"/>
        </w:rPr>
        <w:br/>
        <w:t>COMPETENCIA</w:t>
      </w:r>
      <w:bookmarkEnd w:id="6"/>
      <w:bookmarkEnd w:id="7"/>
    </w:p>
    <w:p w14:paraId="57516F96" w14:textId="77777777" w:rsidR="00734ECF" w:rsidRPr="006A0A3F" w:rsidRDefault="00734ECF" w:rsidP="00734ECF">
      <w:pPr>
        <w:pStyle w:val="ListParagraph"/>
        <w:ind w:left="0"/>
        <w:jc w:val="both"/>
        <w:rPr>
          <w:rFonts w:ascii="Verdana" w:hAnsi="Verdana"/>
          <w:sz w:val="20"/>
          <w:lang w:val="es-CR"/>
        </w:rPr>
      </w:pPr>
    </w:p>
    <w:p w14:paraId="33FF466D" w14:textId="7D0A86F8" w:rsidR="00893789" w:rsidRPr="006A0A3F" w:rsidRDefault="00893789"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Venezuela</w:t>
      </w:r>
      <w:r w:rsidRPr="006A0A3F">
        <w:rPr>
          <w:rFonts w:ascii="Verdana" w:hAnsi="Verdana"/>
          <w:spacing w:val="-2"/>
          <w:sz w:val="20"/>
          <w:lang w:val="es-CR"/>
        </w:rPr>
        <w:t xml:space="preserve"> es Estado Parte en la Convención Americana desde el 9 de agosto de 1977 y reconoció la competencia contenciosa de la Corte el 24 de junio de 1981. </w:t>
      </w:r>
      <w:r w:rsidR="000E1C47" w:rsidRPr="006A0A3F">
        <w:rPr>
          <w:rFonts w:ascii="Verdana" w:hAnsi="Verdana"/>
          <w:spacing w:val="-2"/>
          <w:sz w:val="20"/>
          <w:lang w:val="es-CR"/>
        </w:rPr>
        <w:t>Posteriormente</w:t>
      </w:r>
      <w:r w:rsidRPr="006A0A3F">
        <w:rPr>
          <w:rFonts w:ascii="Verdana" w:hAnsi="Verdana"/>
          <w:spacing w:val="-2"/>
          <w:sz w:val="20"/>
          <w:lang w:val="es-CR"/>
        </w:rPr>
        <w:t xml:space="preserve">, el 10 de septiembre de 2012 </w:t>
      </w:r>
      <w:r w:rsidR="000E1C47" w:rsidRPr="006A0A3F">
        <w:rPr>
          <w:rFonts w:ascii="Verdana" w:hAnsi="Verdana"/>
          <w:spacing w:val="-2"/>
          <w:sz w:val="20"/>
          <w:lang w:val="es-CR"/>
        </w:rPr>
        <w:t xml:space="preserve">el Estado </w:t>
      </w:r>
      <w:r w:rsidRPr="006A0A3F">
        <w:rPr>
          <w:rFonts w:ascii="Verdana" w:hAnsi="Verdana"/>
          <w:spacing w:val="-2"/>
          <w:sz w:val="20"/>
          <w:lang w:val="es-CR"/>
        </w:rPr>
        <w:t>d</w:t>
      </w:r>
      <w:r w:rsidR="008B7B29" w:rsidRPr="006A0A3F">
        <w:rPr>
          <w:rFonts w:ascii="Verdana" w:hAnsi="Verdana"/>
          <w:spacing w:val="-2"/>
          <w:sz w:val="20"/>
          <w:lang w:val="es-CR"/>
        </w:rPr>
        <w:t>enunció la Convención Americana. L</w:t>
      </w:r>
      <w:r w:rsidRPr="006A0A3F">
        <w:rPr>
          <w:rFonts w:ascii="Verdana" w:hAnsi="Verdana"/>
          <w:spacing w:val="-2"/>
          <w:sz w:val="20"/>
          <w:lang w:val="es-CR"/>
        </w:rPr>
        <w:t xml:space="preserve">a </w:t>
      </w:r>
      <w:r w:rsidR="00F249FE" w:rsidRPr="006A0A3F">
        <w:rPr>
          <w:rFonts w:ascii="Verdana" w:hAnsi="Verdana"/>
          <w:spacing w:val="-2"/>
          <w:sz w:val="20"/>
          <w:lang w:val="es-CR"/>
        </w:rPr>
        <w:t xml:space="preserve">denuncia </w:t>
      </w:r>
      <w:r w:rsidR="00274070" w:rsidRPr="006A0A3F">
        <w:rPr>
          <w:rFonts w:ascii="Verdana" w:hAnsi="Verdana"/>
          <w:spacing w:val="-2"/>
          <w:sz w:val="20"/>
          <w:lang w:val="es-CR"/>
        </w:rPr>
        <w:t>se hizo efectiva</w:t>
      </w:r>
      <w:r w:rsidRPr="006A0A3F">
        <w:rPr>
          <w:rFonts w:ascii="Verdana" w:hAnsi="Verdana"/>
          <w:spacing w:val="-2"/>
          <w:sz w:val="20"/>
          <w:lang w:val="es-CR"/>
        </w:rPr>
        <w:t xml:space="preserve"> el 10 de septiembre de 2013. De acuerdo con el artículo 78.2 de la Convención</w:t>
      </w:r>
      <w:r w:rsidR="000E1C47" w:rsidRPr="006A0A3F">
        <w:rPr>
          <w:rStyle w:val="FootnoteReference"/>
          <w:rFonts w:ascii="Verdana" w:hAnsi="Verdana"/>
          <w:spacing w:val="-6"/>
          <w:sz w:val="20"/>
          <w:shd w:val="clear" w:color="auto" w:fill="FFFFFF"/>
          <w:lang w:val="es-CR"/>
        </w:rPr>
        <w:footnoteReference w:id="15"/>
      </w:r>
      <w:r w:rsidRPr="006A0A3F">
        <w:rPr>
          <w:rFonts w:ascii="Verdana" w:hAnsi="Verdana"/>
          <w:spacing w:val="-2"/>
          <w:sz w:val="20"/>
          <w:lang w:val="es-CR"/>
        </w:rPr>
        <w:t>, la Corte es competente para conocer el presente caso, tomando en cuenta que los hechos analiza</w:t>
      </w:r>
      <w:r w:rsidR="000E1C47" w:rsidRPr="006A0A3F">
        <w:rPr>
          <w:rFonts w:ascii="Verdana" w:hAnsi="Verdana"/>
          <w:spacing w:val="-2"/>
          <w:sz w:val="20"/>
          <w:lang w:val="es-CR"/>
        </w:rPr>
        <w:t>d</w:t>
      </w:r>
      <w:r w:rsidRPr="006A0A3F">
        <w:rPr>
          <w:rFonts w:ascii="Verdana" w:hAnsi="Verdana"/>
          <w:spacing w:val="-2"/>
          <w:sz w:val="20"/>
          <w:lang w:val="es-CR"/>
        </w:rPr>
        <w:t>os son anteriores a</w:t>
      </w:r>
      <w:r w:rsidR="008B7B29" w:rsidRPr="006A0A3F">
        <w:rPr>
          <w:rFonts w:ascii="Verdana" w:hAnsi="Verdana"/>
          <w:spacing w:val="-2"/>
          <w:sz w:val="20"/>
          <w:lang w:val="es-CR"/>
        </w:rPr>
        <w:t xml:space="preserve">l momento en que la </w:t>
      </w:r>
      <w:r w:rsidR="000E1C47" w:rsidRPr="006A0A3F">
        <w:rPr>
          <w:rFonts w:ascii="Verdana" w:hAnsi="Verdana"/>
          <w:spacing w:val="-2"/>
          <w:sz w:val="20"/>
          <w:lang w:val="es-CR"/>
        </w:rPr>
        <w:t>denuncia de la Convención</w:t>
      </w:r>
      <w:r w:rsidR="008B7B29" w:rsidRPr="006A0A3F">
        <w:rPr>
          <w:rFonts w:ascii="Verdana" w:hAnsi="Verdana"/>
          <w:spacing w:val="-2"/>
          <w:sz w:val="20"/>
          <w:lang w:val="es-CR"/>
        </w:rPr>
        <w:t xml:space="preserve"> puede producir efectos</w:t>
      </w:r>
      <w:r w:rsidRPr="006A0A3F">
        <w:rPr>
          <w:rFonts w:ascii="Verdana" w:hAnsi="Verdana"/>
          <w:spacing w:val="-2"/>
          <w:sz w:val="20"/>
          <w:lang w:val="es-CR"/>
        </w:rPr>
        <w:t>.</w:t>
      </w:r>
    </w:p>
    <w:p w14:paraId="6A32B651" w14:textId="77777777" w:rsidR="00734ECF" w:rsidRPr="006A0A3F" w:rsidRDefault="00734ECF" w:rsidP="007B3B4E">
      <w:pPr>
        <w:pStyle w:val="ListParagraph"/>
        <w:ind w:left="0"/>
        <w:jc w:val="both"/>
        <w:rPr>
          <w:rFonts w:ascii="Verdana" w:hAnsi="Verdana"/>
          <w:sz w:val="20"/>
          <w:lang w:val="es-CR"/>
        </w:rPr>
      </w:pPr>
    </w:p>
    <w:p w14:paraId="340779B8" w14:textId="77777777" w:rsidR="001B1E19" w:rsidRPr="006A0A3F" w:rsidRDefault="001B1E19" w:rsidP="001B1E19">
      <w:pPr>
        <w:pStyle w:val="ListParagraph"/>
        <w:ind w:left="0"/>
        <w:jc w:val="both"/>
        <w:rPr>
          <w:rFonts w:ascii="Verdana" w:hAnsi="Verdana"/>
          <w:sz w:val="20"/>
          <w:lang w:val="es-CR"/>
        </w:rPr>
      </w:pPr>
    </w:p>
    <w:p w14:paraId="1DD561FC" w14:textId="64171CD4" w:rsidR="001B1E19" w:rsidRPr="006A0A3F" w:rsidRDefault="001B1E19" w:rsidP="001B1E19">
      <w:pPr>
        <w:pStyle w:val="Heading1"/>
        <w:spacing w:before="0" w:after="0" w:line="240" w:lineRule="auto"/>
        <w:jc w:val="center"/>
        <w:rPr>
          <w:rFonts w:ascii="Verdana" w:hAnsi="Verdana" w:cs="Verdana"/>
          <w:caps/>
          <w:noProof/>
          <w:snapToGrid w:val="0"/>
          <w:sz w:val="20"/>
          <w:szCs w:val="20"/>
          <w:lang w:val="es-CR" w:eastAsia="es-ES"/>
        </w:rPr>
      </w:pPr>
      <w:bookmarkStart w:id="8" w:name="_Toc505876983"/>
      <w:r w:rsidRPr="006A0A3F">
        <w:rPr>
          <w:rFonts w:ascii="Verdana" w:hAnsi="Verdana" w:cs="Verdana"/>
          <w:caps/>
          <w:noProof/>
          <w:snapToGrid w:val="0"/>
          <w:sz w:val="20"/>
          <w:szCs w:val="20"/>
          <w:lang w:val="es-CR" w:eastAsia="es-ES"/>
        </w:rPr>
        <w:t>IV</w:t>
      </w:r>
      <w:r w:rsidRPr="006A0A3F">
        <w:rPr>
          <w:rFonts w:ascii="Verdana" w:hAnsi="Verdana" w:cs="Verdana"/>
          <w:caps/>
          <w:noProof/>
          <w:snapToGrid w:val="0"/>
          <w:sz w:val="20"/>
          <w:szCs w:val="20"/>
          <w:lang w:val="es-CR" w:eastAsia="es-ES"/>
        </w:rPr>
        <w:br/>
        <w:t>CONSIDERACIONES PREVIAS</w:t>
      </w:r>
      <w:bookmarkEnd w:id="8"/>
    </w:p>
    <w:p w14:paraId="1E1CC7BB" w14:textId="77777777" w:rsidR="001B1E19" w:rsidRPr="006A0A3F" w:rsidRDefault="001B1E19" w:rsidP="001B1E19">
      <w:pPr>
        <w:spacing w:after="0" w:line="240" w:lineRule="auto"/>
        <w:jc w:val="center"/>
        <w:rPr>
          <w:rFonts w:ascii="Verdana" w:hAnsi="Verdana" w:cs="Times New Roman"/>
          <w:b/>
          <w:sz w:val="20"/>
          <w:szCs w:val="20"/>
        </w:rPr>
      </w:pPr>
    </w:p>
    <w:p w14:paraId="383D5532" w14:textId="6A0FEDFA" w:rsidR="00695518" w:rsidRPr="006A0A3F" w:rsidRDefault="00695518" w:rsidP="00DB4A9D">
      <w:pPr>
        <w:pStyle w:val="ListParagraph"/>
        <w:numPr>
          <w:ilvl w:val="0"/>
          <w:numId w:val="23"/>
        </w:numPr>
        <w:jc w:val="both"/>
        <w:rPr>
          <w:rFonts w:ascii="Verdana" w:hAnsi="Verdana"/>
          <w:b/>
          <w:i/>
          <w:sz w:val="20"/>
          <w:lang w:val="es-CR"/>
        </w:rPr>
      </w:pPr>
      <w:r w:rsidRPr="006A0A3F">
        <w:rPr>
          <w:rFonts w:ascii="Verdana" w:hAnsi="Verdana"/>
          <w:b/>
          <w:i/>
          <w:sz w:val="20"/>
          <w:lang w:val="es-CR"/>
        </w:rPr>
        <w:t>Incorporación tardía del Estado al procedimiento</w:t>
      </w:r>
    </w:p>
    <w:p w14:paraId="4EBA9201" w14:textId="77777777" w:rsidR="00085B49" w:rsidRPr="006A0A3F" w:rsidRDefault="00085B49" w:rsidP="00085B49">
      <w:pPr>
        <w:pStyle w:val="ListParagraph"/>
        <w:ind w:left="0"/>
        <w:jc w:val="both"/>
        <w:rPr>
          <w:rFonts w:ascii="Verdana" w:hAnsi="Verdana"/>
          <w:sz w:val="20"/>
          <w:lang w:val="es-CR"/>
        </w:rPr>
      </w:pPr>
    </w:p>
    <w:p w14:paraId="0D8AEC71" w14:textId="74A3DD3A" w:rsidR="00263DF0" w:rsidRPr="006A0A3F" w:rsidRDefault="00085B49" w:rsidP="00663889">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Según fue </w:t>
      </w:r>
      <w:r w:rsidRPr="006A0A3F">
        <w:rPr>
          <w:rFonts w:ascii="Verdana" w:hAnsi="Verdana"/>
          <w:spacing w:val="-2"/>
          <w:sz w:val="20"/>
          <w:lang w:val="es-CR"/>
        </w:rPr>
        <w:t>señalado</w:t>
      </w:r>
      <w:r w:rsidR="00263DF0" w:rsidRPr="006A0A3F">
        <w:rPr>
          <w:rFonts w:ascii="Verdana" w:hAnsi="Verdana"/>
          <w:spacing w:val="-2"/>
          <w:sz w:val="20"/>
          <w:lang w:val="es-CR"/>
        </w:rPr>
        <w:t xml:space="preserve"> (</w:t>
      </w:r>
      <w:r w:rsidR="00263DF0" w:rsidRPr="006A0A3F">
        <w:rPr>
          <w:rFonts w:ascii="Verdana" w:hAnsi="Verdana"/>
          <w:i/>
          <w:spacing w:val="-2"/>
          <w:sz w:val="20"/>
          <w:lang w:val="es-CR"/>
        </w:rPr>
        <w:t xml:space="preserve">supra </w:t>
      </w:r>
      <w:r w:rsidR="00263DF0" w:rsidRPr="006A0A3F">
        <w:rPr>
          <w:rFonts w:ascii="Verdana" w:hAnsi="Verdana"/>
          <w:spacing w:val="-2"/>
          <w:sz w:val="20"/>
          <w:lang w:val="es-CR"/>
        </w:rPr>
        <w:t>párr. 7)</w:t>
      </w:r>
      <w:r w:rsidRPr="006A0A3F">
        <w:rPr>
          <w:rFonts w:ascii="Verdana" w:hAnsi="Verdana"/>
          <w:sz w:val="20"/>
          <w:lang w:val="es-CR"/>
        </w:rPr>
        <w:t xml:space="preserve">, el Estado no presentó contestación en el presente caso y, una vez vencido el plazo, manifestó </w:t>
      </w:r>
      <w:r w:rsidR="00263DF0" w:rsidRPr="006A0A3F">
        <w:rPr>
          <w:rFonts w:ascii="Verdana" w:hAnsi="Verdana"/>
          <w:sz w:val="20"/>
          <w:lang w:val="es-CR"/>
        </w:rPr>
        <w:t>-</w:t>
      </w:r>
      <w:r w:rsidR="003326A4" w:rsidRPr="006A0A3F">
        <w:rPr>
          <w:rFonts w:ascii="Verdana" w:hAnsi="Verdana"/>
          <w:sz w:val="20"/>
          <w:lang w:val="es-CR"/>
        </w:rPr>
        <w:t>mediante su Agente anterior</w:t>
      </w:r>
      <w:r w:rsidR="00263DF0" w:rsidRPr="006A0A3F">
        <w:rPr>
          <w:rFonts w:ascii="Verdana" w:hAnsi="Verdana"/>
          <w:sz w:val="20"/>
          <w:lang w:val="es-CR"/>
        </w:rPr>
        <w:t>-</w:t>
      </w:r>
      <w:r w:rsidR="003326A4" w:rsidRPr="006A0A3F">
        <w:rPr>
          <w:rFonts w:ascii="Verdana" w:hAnsi="Verdana"/>
          <w:sz w:val="20"/>
          <w:lang w:val="es-CR"/>
        </w:rPr>
        <w:t xml:space="preserve"> </w:t>
      </w:r>
      <w:r w:rsidRPr="006A0A3F">
        <w:rPr>
          <w:rFonts w:ascii="Verdana" w:hAnsi="Verdana"/>
          <w:sz w:val="20"/>
          <w:lang w:val="es-CR"/>
        </w:rPr>
        <w:t>que “</w:t>
      </w:r>
      <w:proofErr w:type="spellStart"/>
      <w:proofErr w:type="gramStart"/>
      <w:r w:rsidRPr="006A0A3F">
        <w:rPr>
          <w:rFonts w:ascii="Verdana" w:hAnsi="Verdana"/>
          <w:sz w:val="20"/>
          <w:lang w:val="es-CR"/>
        </w:rPr>
        <w:t>ratific</w:t>
      </w:r>
      <w:proofErr w:type="spellEnd"/>
      <w:r w:rsidRPr="006A0A3F">
        <w:rPr>
          <w:rFonts w:ascii="Verdana" w:hAnsi="Verdana"/>
          <w:sz w:val="20"/>
          <w:lang w:val="es-CR"/>
        </w:rPr>
        <w:t>[</w:t>
      </w:r>
      <w:proofErr w:type="gramEnd"/>
      <w:r w:rsidRPr="006A0A3F">
        <w:rPr>
          <w:rFonts w:ascii="Verdana" w:hAnsi="Verdana"/>
          <w:sz w:val="20"/>
          <w:lang w:val="es-CR"/>
        </w:rPr>
        <w:t xml:space="preserve">aba] ante </w:t>
      </w:r>
      <w:r w:rsidRPr="006A0A3F">
        <w:rPr>
          <w:rFonts w:ascii="Verdana" w:hAnsi="Verdana"/>
          <w:sz w:val="20"/>
          <w:lang w:val="es-CR"/>
        </w:rPr>
        <w:lastRenderedPageBreak/>
        <w:t>la Corte todos y cada uno de los escritos con las argumentaciones expuestas en su defensa a</w:t>
      </w:r>
      <w:r w:rsidR="00DF6355" w:rsidRPr="006A0A3F">
        <w:rPr>
          <w:rFonts w:ascii="Verdana" w:hAnsi="Verdana"/>
          <w:sz w:val="20"/>
          <w:lang w:val="es-CR"/>
        </w:rPr>
        <w:t xml:space="preserve">nte la Comisión”. Posteriormente, </w:t>
      </w:r>
      <w:r w:rsidR="004F6836" w:rsidRPr="006A0A3F">
        <w:rPr>
          <w:rFonts w:ascii="Verdana" w:hAnsi="Verdana"/>
          <w:sz w:val="20"/>
          <w:lang w:val="es-CR"/>
        </w:rPr>
        <w:t xml:space="preserve">entre otras actuaciones, </w:t>
      </w:r>
      <w:r w:rsidR="00DF6355" w:rsidRPr="006A0A3F">
        <w:rPr>
          <w:rFonts w:ascii="Verdana" w:hAnsi="Verdana"/>
          <w:sz w:val="20"/>
          <w:lang w:val="es-CR"/>
        </w:rPr>
        <w:t>e</w:t>
      </w:r>
      <w:r w:rsidR="00DF6355" w:rsidRPr="006A0A3F">
        <w:rPr>
          <w:rFonts w:ascii="Verdana" w:hAnsi="Verdana" w:cs="Arial"/>
          <w:color w:val="000000" w:themeColor="text1"/>
          <w:sz w:val="20"/>
          <w:lang w:val="es-CR"/>
        </w:rPr>
        <w:t xml:space="preserve">l Estado designó </w:t>
      </w:r>
      <w:r w:rsidR="003326A4" w:rsidRPr="006A0A3F">
        <w:rPr>
          <w:rFonts w:ascii="Verdana" w:hAnsi="Verdana" w:cs="Arial"/>
          <w:color w:val="000000" w:themeColor="text1"/>
          <w:sz w:val="20"/>
          <w:lang w:val="es-CR"/>
        </w:rPr>
        <w:t xml:space="preserve">otro </w:t>
      </w:r>
      <w:r w:rsidR="00DF6355" w:rsidRPr="006A0A3F">
        <w:rPr>
          <w:rFonts w:ascii="Verdana" w:hAnsi="Verdana" w:cs="Arial"/>
          <w:color w:val="000000" w:themeColor="text1"/>
          <w:sz w:val="20"/>
          <w:lang w:val="es-CR"/>
        </w:rPr>
        <w:t>Agente</w:t>
      </w:r>
      <w:r w:rsidR="0076746F" w:rsidRPr="006A0A3F">
        <w:rPr>
          <w:rFonts w:ascii="Verdana" w:hAnsi="Verdana" w:cs="Arial"/>
          <w:color w:val="000000" w:themeColor="text1"/>
          <w:sz w:val="20"/>
          <w:lang w:val="es-CR"/>
        </w:rPr>
        <w:t>,</w:t>
      </w:r>
      <w:r w:rsidR="00DF6355" w:rsidRPr="006A0A3F">
        <w:rPr>
          <w:rFonts w:ascii="Verdana" w:hAnsi="Verdana" w:cs="Arial"/>
          <w:color w:val="000000" w:themeColor="text1"/>
          <w:sz w:val="20"/>
          <w:lang w:val="es-CR"/>
        </w:rPr>
        <w:t xml:space="preserve"> formuló</w:t>
      </w:r>
      <w:r w:rsidR="00263DF0" w:rsidRPr="006A0A3F">
        <w:rPr>
          <w:rFonts w:ascii="Verdana" w:hAnsi="Verdana" w:cs="Arial"/>
          <w:color w:val="000000" w:themeColor="text1"/>
          <w:sz w:val="20"/>
          <w:lang w:val="es-CR"/>
        </w:rPr>
        <w:t xml:space="preserve"> preguntas a quienes </w:t>
      </w:r>
      <w:r w:rsidR="006B7AD9" w:rsidRPr="006A0A3F">
        <w:rPr>
          <w:rFonts w:ascii="Verdana" w:hAnsi="Verdana" w:cs="Arial"/>
          <w:color w:val="000000" w:themeColor="text1"/>
          <w:sz w:val="20"/>
          <w:lang w:val="es-CR"/>
        </w:rPr>
        <w:t>declararían</w:t>
      </w:r>
      <w:r w:rsidR="0076746F" w:rsidRPr="006A0A3F">
        <w:rPr>
          <w:rFonts w:ascii="Verdana" w:hAnsi="Verdana" w:cs="Arial"/>
          <w:color w:val="000000" w:themeColor="text1"/>
          <w:sz w:val="20"/>
          <w:lang w:val="es-CR"/>
        </w:rPr>
        <w:t xml:space="preserve"> por afidávit</w:t>
      </w:r>
      <w:r w:rsidR="00067F5B" w:rsidRPr="006A0A3F">
        <w:rPr>
          <w:rFonts w:ascii="Verdana" w:hAnsi="Verdana" w:cs="Arial"/>
          <w:color w:val="000000" w:themeColor="text1"/>
          <w:sz w:val="20"/>
          <w:lang w:val="es-CR"/>
        </w:rPr>
        <w:t xml:space="preserve"> y</w:t>
      </w:r>
      <w:r w:rsidR="00DF6355" w:rsidRPr="006A0A3F">
        <w:rPr>
          <w:rFonts w:ascii="Verdana" w:hAnsi="Verdana" w:cs="Arial"/>
          <w:color w:val="000000" w:themeColor="text1"/>
          <w:sz w:val="20"/>
          <w:lang w:val="es-CR"/>
        </w:rPr>
        <w:t xml:space="preserve"> participó en la audiencia pública, en la cual interrogó a </w:t>
      </w:r>
      <w:r w:rsidR="00243C66" w:rsidRPr="006A0A3F">
        <w:rPr>
          <w:rFonts w:ascii="Verdana" w:hAnsi="Verdana" w:cs="Arial"/>
          <w:color w:val="000000" w:themeColor="text1"/>
          <w:sz w:val="20"/>
          <w:lang w:val="es-CR"/>
        </w:rPr>
        <w:t>los declarantes</w:t>
      </w:r>
      <w:r w:rsidR="0076746F" w:rsidRPr="006A0A3F">
        <w:rPr>
          <w:rFonts w:ascii="Verdana" w:hAnsi="Verdana" w:cs="Arial"/>
          <w:color w:val="000000" w:themeColor="text1"/>
          <w:sz w:val="20"/>
          <w:lang w:val="es-CR"/>
        </w:rPr>
        <w:t xml:space="preserve"> y presentó alegatos orales</w:t>
      </w:r>
      <w:r w:rsidR="006A6A2C" w:rsidRPr="006A0A3F">
        <w:rPr>
          <w:rFonts w:ascii="Verdana" w:hAnsi="Verdana" w:cs="Arial"/>
          <w:color w:val="000000" w:themeColor="text1"/>
          <w:sz w:val="20"/>
          <w:lang w:val="es-CR"/>
        </w:rPr>
        <w:t xml:space="preserve">. </w:t>
      </w:r>
      <w:r w:rsidR="004F6836" w:rsidRPr="006A0A3F">
        <w:rPr>
          <w:rFonts w:ascii="Verdana" w:hAnsi="Verdana" w:cs="Arial"/>
          <w:color w:val="000000" w:themeColor="text1"/>
          <w:sz w:val="20"/>
          <w:lang w:val="es-CR"/>
        </w:rPr>
        <w:t>Durante</w:t>
      </w:r>
      <w:r w:rsidR="006A6A2C" w:rsidRPr="006A0A3F">
        <w:rPr>
          <w:rFonts w:ascii="Verdana" w:hAnsi="Verdana" w:cs="Arial"/>
          <w:color w:val="000000" w:themeColor="text1"/>
          <w:sz w:val="20"/>
          <w:lang w:val="es-CR"/>
        </w:rPr>
        <w:t xml:space="preserve"> la audiencia</w:t>
      </w:r>
      <w:r w:rsidR="00067F5B" w:rsidRPr="006A0A3F">
        <w:rPr>
          <w:rFonts w:ascii="Verdana" w:hAnsi="Verdana" w:cs="Arial"/>
          <w:color w:val="000000" w:themeColor="text1"/>
          <w:sz w:val="20"/>
          <w:lang w:val="es-CR"/>
        </w:rPr>
        <w:t xml:space="preserve"> manifestó que “las presuntas víctimas no agotaron los recursos que debían agotar antes de a</w:t>
      </w:r>
      <w:r w:rsidR="004F6836" w:rsidRPr="006A0A3F">
        <w:rPr>
          <w:rFonts w:ascii="Verdana" w:hAnsi="Verdana" w:cs="Arial"/>
          <w:color w:val="000000" w:themeColor="text1"/>
          <w:sz w:val="20"/>
          <w:lang w:val="es-CR"/>
        </w:rPr>
        <w:t xml:space="preserve">cudir al Sistema </w:t>
      </w:r>
      <w:r w:rsidR="006B7AD9" w:rsidRPr="006A0A3F">
        <w:rPr>
          <w:rFonts w:ascii="Verdana" w:hAnsi="Verdana" w:cs="Arial"/>
          <w:color w:val="000000" w:themeColor="text1"/>
          <w:sz w:val="20"/>
          <w:lang w:val="es-CR"/>
        </w:rPr>
        <w:t>Interamericano [</w:t>
      </w:r>
      <w:r w:rsidR="004F6836" w:rsidRPr="006A0A3F">
        <w:rPr>
          <w:rFonts w:ascii="Verdana" w:hAnsi="Verdana" w:cs="Arial"/>
          <w:color w:val="000000" w:themeColor="text1"/>
          <w:sz w:val="20"/>
          <w:lang w:val="es-CR"/>
        </w:rPr>
        <w:t xml:space="preserve">, </w:t>
      </w:r>
      <w:r w:rsidR="00067F5B" w:rsidRPr="006A0A3F">
        <w:rPr>
          <w:rFonts w:ascii="Verdana" w:hAnsi="Verdana" w:cs="Arial"/>
          <w:color w:val="000000" w:themeColor="text1"/>
          <w:sz w:val="20"/>
          <w:lang w:val="es-CR"/>
        </w:rPr>
        <w:t>pues] nunca le dieron la oportunidad a la jurisdicción laboral de corregir la situación que ellos estaban denunciando”</w:t>
      </w:r>
      <w:r w:rsidR="00410F2E" w:rsidRPr="006A0A3F">
        <w:rPr>
          <w:rStyle w:val="FootnoteReference"/>
          <w:rFonts w:ascii="Verdana" w:hAnsi="Verdana" w:cs="Arial"/>
          <w:color w:val="000000" w:themeColor="text1"/>
          <w:sz w:val="20"/>
          <w:lang w:val="es-CR"/>
        </w:rPr>
        <w:footnoteReference w:id="16"/>
      </w:r>
      <w:r w:rsidR="00067F5B" w:rsidRPr="006A0A3F">
        <w:rPr>
          <w:rFonts w:ascii="Verdana" w:hAnsi="Verdana" w:cs="Arial"/>
          <w:color w:val="000000" w:themeColor="text1"/>
          <w:sz w:val="20"/>
          <w:lang w:val="es-CR"/>
        </w:rPr>
        <w:t xml:space="preserve">. </w:t>
      </w:r>
      <w:r w:rsidR="006A6A2C" w:rsidRPr="006A0A3F">
        <w:rPr>
          <w:rFonts w:ascii="Verdana" w:hAnsi="Verdana" w:cs="Arial"/>
          <w:color w:val="000000" w:themeColor="text1"/>
          <w:sz w:val="20"/>
          <w:lang w:val="es-CR"/>
        </w:rPr>
        <w:t>E</w:t>
      </w:r>
      <w:r w:rsidR="00DF6355" w:rsidRPr="006A0A3F">
        <w:rPr>
          <w:rFonts w:ascii="Verdana" w:hAnsi="Verdana" w:cs="Arial"/>
          <w:color w:val="000000" w:themeColor="text1"/>
          <w:sz w:val="20"/>
          <w:lang w:val="es-CR"/>
        </w:rPr>
        <w:t xml:space="preserve">n sus alegatos finales </w:t>
      </w:r>
      <w:r w:rsidR="00067F5B" w:rsidRPr="006A0A3F">
        <w:rPr>
          <w:rFonts w:ascii="Verdana" w:hAnsi="Verdana" w:cs="Arial"/>
          <w:color w:val="000000" w:themeColor="text1"/>
          <w:sz w:val="20"/>
          <w:lang w:val="es-CR"/>
        </w:rPr>
        <w:t xml:space="preserve">orales y </w:t>
      </w:r>
      <w:r w:rsidR="00DF6355" w:rsidRPr="006A0A3F">
        <w:rPr>
          <w:rFonts w:ascii="Verdana" w:hAnsi="Verdana" w:cs="Arial"/>
          <w:color w:val="000000" w:themeColor="text1"/>
          <w:sz w:val="20"/>
          <w:lang w:val="es-CR"/>
        </w:rPr>
        <w:t>escritos</w:t>
      </w:r>
      <w:r w:rsidR="00067F5B" w:rsidRPr="006A0A3F">
        <w:rPr>
          <w:rFonts w:ascii="Verdana" w:hAnsi="Verdana" w:cs="Arial"/>
          <w:color w:val="000000" w:themeColor="text1"/>
          <w:sz w:val="20"/>
          <w:lang w:val="es-CR"/>
        </w:rPr>
        <w:t>, el Estado</w:t>
      </w:r>
      <w:r w:rsidR="00DF6355" w:rsidRPr="006A0A3F">
        <w:rPr>
          <w:rFonts w:ascii="Verdana" w:hAnsi="Verdana" w:cs="Arial"/>
          <w:color w:val="000000" w:themeColor="text1"/>
          <w:sz w:val="20"/>
          <w:lang w:val="es-CR"/>
        </w:rPr>
        <w:t xml:space="preserve"> controvirtió cuestiones de hecho, elementos probatorios y las </w:t>
      </w:r>
      <w:r w:rsidR="00263DF0" w:rsidRPr="006A0A3F">
        <w:rPr>
          <w:rFonts w:ascii="Verdana" w:hAnsi="Verdana" w:cs="Arial"/>
          <w:color w:val="000000" w:themeColor="text1"/>
          <w:sz w:val="20"/>
          <w:lang w:val="es-CR"/>
        </w:rPr>
        <w:t>posiciones</w:t>
      </w:r>
      <w:r w:rsidR="00DF6355" w:rsidRPr="006A0A3F">
        <w:rPr>
          <w:rFonts w:ascii="Verdana" w:hAnsi="Verdana" w:cs="Arial"/>
          <w:color w:val="000000" w:themeColor="text1"/>
          <w:sz w:val="20"/>
          <w:lang w:val="es-CR"/>
        </w:rPr>
        <w:t xml:space="preserve"> jurídicas de la Comisión y </w:t>
      </w:r>
      <w:r w:rsidR="00263DF0" w:rsidRPr="006A0A3F">
        <w:rPr>
          <w:rFonts w:ascii="Verdana" w:hAnsi="Verdana" w:cs="Arial"/>
          <w:color w:val="000000" w:themeColor="text1"/>
          <w:sz w:val="20"/>
          <w:lang w:val="es-CR"/>
        </w:rPr>
        <w:t>el representante</w:t>
      </w:r>
      <w:r w:rsidR="00067F5B" w:rsidRPr="006A0A3F">
        <w:rPr>
          <w:rFonts w:ascii="Verdana" w:hAnsi="Verdana" w:cs="Arial"/>
          <w:color w:val="000000" w:themeColor="text1"/>
          <w:sz w:val="20"/>
          <w:lang w:val="es-CR"/>
        </w:rPr>
        <w:t>;</w:t>
      </w:r>
      <w:r w:rsidR="00DF6355" w:rsidRPr="006A0A3F">
        <w:rPr>
          <w:rFonts w:ascii="Verdana" w:hAnsi="Verdana" w:cs="Arial"/>
          <w:color w:val="000000" w:themeColor="text1"/>
          <w:sz w:val="20"/>
          <w:lang w:val="es-CR"/>
        </w:rPr>
        <w:t xml:space="preserve"> </w:t>
      </w:r>
      <w:r w:rsidR="00067F5B" w:rsidRPr="006A0A3F">
        <w:rPr>
          <w:rFonts w:ascii="Verdana" w:hAnsi="Verdana" w:cs="Arial"/>
          <w:color w:val="000000" w:themeColor="text1"/>
          <w:sz w:val="20"/>
          <w:lang w:val="es-CR"/>
        </w:rPr>
        <w:t>no hizo</w:t>
      </w:r>
      <w:r w:rsidR="00DF6355" w:rsidRPr="006A0A3F">
        <w:rPr>
          <w:rFonts w:ascii="Verdana" w:hAnsi="Verdana" w:cs="Arial"/>
          <w:color w:val="000000" w:themeColor="text1"/>
          <w:sz w:val="20"/>
          <w:lang w:val="es-CR"/>
        </w:rPr>
        <w:t xml:space="preserve"> referencia a </w:t>
      </w:r>
      <w:r w:rsidR="00902CC7" w:rsidRPr="006A0A3F">
        <w:rPr>
          <w:rFonts w:ascii="Verdana" w:hAnsi="Verdana" w:cs="Arial"/>
          <w:color w:val="000000" w:themeColor="text1"/>
          <w:sz w:val="20"/>
          <w:lang w:val="es-CR"/>
        </w:rPr>
        <w:t>su</w:t>
      </w:r>
      <w:r w:rsidR="00DF6355" w:rsidRPr="006A0A3F">
        <w:rPr>
          <w:rFonts w:ascii="Verdana" w:hAnsi="Verdana" w:cs="Arial"/>
          <w:color w:val="000000" w:themeColor="text1"/>
          <w:sz w:val="20"/>
          <w:lang w:val="es-CR"/>
        </w:rPr>
        <w:t xml:space="preserve"> falta de presentación de contestación</w:t>
      </w:r>
      <w:r w:rsidR="00067F5B" w:rsidRPr="006A0A3F">
        <w:rPr>
          <w:rFonts w:ascii="Verdana" w:hAnsi="Verdana" w:cs="Arial"/>
          <w:color w:val="000000" w:themeColor="text1"/>
          <w:sz w:val="20"/>
          <w:lang w:val="es-CR"/>
        </w:rPr>
        <w:t>; no manifestó expresamente que oponía excepciones preliminares</w:t>
      </w:r>
      <w:r w:rsidR="00243C66" w:rsidRPr="006A0A3F">
        <w:rPr>
          <w:rFonts w:ascii="Verdana" w:hAnsi="Verdana" w:cs="Arial"/>
          <w:color w:val="000000" w:themeColor="text1"/>
          <w:sz w:val="20"/>
          <w:lang w:val="es-CR"/>
        </w:rPr>
        <w:t>;</w:t>
      </w:r>
      <w:r w:rsidR="00067F5B" w:rsidRPr="006A0A3F">
        <w:rPr>
          <w:rFonts w:ascii="Verdana" w:hAnsi="Verdana" w:cs="Arial"/>
          <w:color w:val="000000" w:themeColor="text1"/>
          <w:sz w:val="20"/>
          <w:lang w:val="es-CR"/>
        </w:rPr>
        <w:t xml:space="preserve"> y solicitó</w:t>
      </w:r>
      <w:r w:rsidR="00DF6355" w:rsidRPr="006A0A3F">
        <w:rPr>
          <w:rFonts w:ascii="Verdana" w:hAnsi="Verdana" w:cs="Arial"/>
          <w:color w:val="000000" w:themeColor="text1"/>
          <w:sz w:val="20"/>
          <w:lang w:val="es-CR"/>
        </w:rPr>
        <w:t xml:space="preserve"> a la Corte que declare que </w:t>
      </w:r>
      <w:r w:rsidR="005110BB" w:rsidRPr="006A0A3F">
        <w:rPr>
          <w:rFonts w:ascii="Verdana" w:hAnsi="Verdana" w:cs="Arial"/>
          <w:color w:val="000000" w:themeColor="text1"/>
          <w:sz w:val="20"/>
          <w:lang w:val="es-CR"/>
        </w:rPr>
        <w:t xml:space="preserve">el Estado </w:t>
      </w:r>
      <w:r w:rsidR="00DF6355" w:rsidRPr="006A0A3F">
        <w:rPr>
          <w:rFonts w:ascii="Verdana" w:hAnsi="Verdana" w:cs="Arial"/>
          <w:color w:val="000000" w:themeColor="text1"/>
          <w:sz w:val="20"/>
          <w:lang w:val="es-CR"/>
        </w:rPr>
        <w:t xml:space="preserve">no es responsable </w:t>
      </w:r>
      <w:r w:rsidR="00243C66" w:rsidRPr="006A0A3F">
        <w:rPr>
          <w:rFonts w:ascii="Verdana" w:hAnsi="Verdana" w:cs="Arial"/>
          <w:color w:val="000000" w:themeColor="text1"/>
          <w:sz w:val="20"/>
          <w:lang w:val="es-CR"/>
        </w:rPr>
        <w:t>internacionalmente</w:t>
      </w:r>
      <w:r w:rsidR="00DF6355" w:rsidRPr="006A0A3F">
        <w:rPr>
          <w:rFonts w:ascii="Verdana" w:hAnsi="Verdana" w:cs="Arial"/>
          <w:color w:val="000000" w:themeColor="text1"/>
          <w:sz w:val="20"/>
          <w:lang w:val="es-CR"/>
        </w:rPr>
        <w:t xml:space="preserve"> y que no cabe ordenar reparaciones.  </w:t>
      </w:r>
    </w:p>
    <w:p w14:paraId="2231A7DB" w14:textId="77777777" w:rsidR="00263DF0" w:rsidRPr="006A0A3F" w:rsidRDefault="00263DF0" w:rsidP="00263DF0">
      <w:pPr>
        <w:pStyle w:val="ListParagraph"/>
        <w:ind w:left="0"/>
        <w:jc w:val="both"/>
        <w:rPr>
          <w:rFonts w:ascii="Verdana" w:hAnsi="Verdana"/>
          <w:sz w:val="20"/>
          <w:lang w:val="es-CR"/>
        </w:rPr>
      </w:pPr>
    </w:p>
    <w:p w14:paraId="7B2C32E5" w14:textId="6BBFBA1D" w:rsidR="00DF04C8" w:rsidRPr="006A0A3F" w:rsidRDefault="00DF04C8" w:rsidP="00663889">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Al respecto, el representante alegó que el Estado tenía derecho a no contestar, pero, al comparecer en una fase posterior del procedimiento, desarrollando teorías y alegando hechos que no se habían planteado previamente, </w:t>
      </w:r>
      <w:r w:rsidR="00243C66" w:rsidRPr="006A0A3F">
        <w:rPr>
          <w:rFonts w:ascii="Verdana" w:hAnsi="Verdana"/>
          <w:sz w:val="20"/>
          <w:lang w:val="es-CR"/>
        </w:rPr>
        <w:t xml:space="preserve">ha colocado a las presuntas víctimas en una situación de desventaja procesal y </w:t>
      </w:r>
      <w:r w:rsidRPr="006A0A3F">
        <w:rPr>
          <w:rFonts w:ascii="Verdana" w:hAnsi="Verdana"/>
          <w:sz w:val="20"/>
          <w:lang w:val="es-CR"/>
        </w:rPr>
        <w:t xml:space="preserve">se han visto en la necesidad de </w:t>
      </w:r>
      <w:r w:rsidR="00243C66" w:rsidRPr="006A0A3F">
        <w:rPr>
          <w:rFonts w:ascii="Verdana" w:hAnsi="Verdana"/>
          <w:sz w:val="20"/>
          <w:lang w:val="es-CR"/>
        </w:rPr>
        <w:t>“</w:t>
      </w:r>
      <w:r w:rsidRPr="006A0A3F">
        <w:rPr>
          <w:rFonts w:ascii="Verdana" w:hAnsi="Verdana"/>
          <w:sz w:val="20"/>
          <w:lang w:val="es-CR"/>
        </w:rPr>
        <w:t>responder a unos argumentos extemporáneos que, sin embargo, la Corte podrá considerar y evaluar y que, por lo tanto, hay que responder</w:t>
      </w:r>
      <w:r w:rsidR="003326A4" w:rsidRPr="006A0A3F">
        <w:rPr>
          <w:rFonts w:ascii="Verdana" w:hAnsi="Verdana"/>
          <w:sz w:val="20"/>
          <w:lang w:val="es-CR"/>
        </w:rPr>
        <w:t>”</w:t>
      </w:r>
      <w:r w:rsidRPr="006A0A3F">
        <w:rPr>
          <w:rFonts w:ascii="Verdana" w:hAnsi="Verdana"/>
          <w:sz w:val="20"/>
          <w:lang w:val="es-CR"/>
        </w:rPr>
        <w:t xml:space="preserve">. </w:t>
      </w:r>
    </w:p>
    <w:p w14:paraId="211B8FED" w14:textId="77777777" w:rsidR="00DF04C8" w:rsidRPr="006A0A3F" w:rsidRDefault="00DF04C8" w:rsidP="00663889">
      <w:pPr>
        <w:pStyle w:val="ListParagraph"/>
        <w:ind w:left="0"/>
        <w:jc w:val="both"/>
        <w:rPr>
          <w:rFonts w:ascii="Verdana" w:hAnsi="Verdana" w:cs="Arial"/>
          <w:color w:val="000000" w:themeColor="text1"/>
          <w:sz w:val="20"/>
          <w:lang w:val="es-CR"/>
        </w:rPr>
      </w:pPr>
    </w:p>
    <w:p w14:paraId="6066B16A" w14:textId="031DBED8" w:rsidR="006A6A2C" w:rsidRPr="006A0A3F" w:rsidRDefault="00035AE9" w:rsidP="006A6A2C">
      <w:pPr>
        <w:pStyle w:val="ListParagraph"/>
        <w:numPr>
          <w:ilvl w:val="0"/>
          <w:numId w:val="4"/>
        </w:numPr>
        <w:ind w:left="0" w:firstLine="0"/>
        <w:jc w:val="both"/>
        <w:rPr>
          <w:rFonts w:ascii="Verdana" w:hAnsi="Verdana"/>
          <w:sz w:val="20"/>
          <w:lang w:val="es-CR"/>
        </w:rPr>
      </w:pPr>
      <w:r w:rsidRPr="006A0A3F">
        <w:rPr>
          <w:rFonts w:ascii="Verdana" w:hAnsi="Verdana"/>
          <w:sz w:val="20"/>
          <w:lang w:val="es-CR"/>
        </w:rPr>
        <w:t>Por su parte, la Comisión</w:t>
      </w:r>
      <w:r w:rsidR="005110BB" w:rsidRPr="006A0A3F">
        <w:rPr>
          <w:rFonts w:ascii="Verdana" w:hAnsi="Verdana"/>
          <w:sz w:val="20"/>
          <w:lang w:val="es-CR"/>
        </w:rPr>
        <w:t xml:space="preserve"> manifestó</w:t>
      </w:r>
      <w:r w:rsidR="00CC1A0E" w:rsidRPr="006A0A3F">
        <w:rPr>
          <w:rFonts w:ascii="Verdana" w:hAnsi="Verdana"/>
          <w:sz w:val="20"/>
          <w:lang w:val="es-CR"/>
        </w:rPr>
        <w:t xml:space="preserve"> que </w:t>
      </w:r>
      <w:r w:rsidR="004F6836" w:rsidRPr="006A0A3F">
        <w:rPr>
          <w:rFonts w:ascii="Verdana" w:hAnsi="Verdana"/>
          <w:sz w:val="20"/>
          <w:lang w:val="es-CR"/>
        </w:rPr>
        <w:t xml:space="preserve">fue </w:t>
      </w:r>
      <w:r w:rsidR="00CC1A0E" w:rsidRPr="006A0A3F">
        <w:rPr>
          <w:rFonts w:ascii="Verdana" w:hAnsi="Verdana"/>
          <w:sz w:val="20"/>
          <w:lang w:val="es-CR"/>
        </w:rPr>
        <w:t xml:space="preserve">durante la audiencia en que, por </w:t>
      </w:r>
      <w:r w:rsidR="005110BB" w:rsidRPr="006A0A3F">
        <w:rPr>
          <w:rFonts w:ascii="Verdana" w:hAnsi="Verdana"/>
          <w:sz w:val="20"/>
          <w:lang w:val="es-CR"/>
        </w:rPr>
        <w:t>primera vez</w:t>
      </w:r>
      <w:r w:rsidR="00CC1A0E" w:rsidRPr="006A0A3F">
        <w:rPr>
          <w:rFonts w:ascii="Verdana" w:hAnsi="Verdana"/>
          <w:sz w:val="20"/>
          <w:lang w:val="es-CR"/>
        </w:rPr>
        <w:t xml:space="preserve">, el Estado </w:t>
      </w:r>
      <w:r w:rsidR="00B472ED" w:rsidRPr="006A0A3F">
        <w:rPr>
          <w:rFonts w:ascii="Verdana" w:hAnsi="Verdana"/>
          <w:sz w:val="20"/>
          <w:lang w:val="es-CR"/>
        </w:rPr>
        <w:t>opuso</w:t>
      </w:r>
      <w:r w:rsidR="005110BB" w:rsidRPr="006A0A3F">
        <w:rPr>
          <w:rFonts w:ascii="Verdana" w:hAnsi="Verdana"/>
          <w:sz w:val="20"/>
          <w:lang w:val="es-CR"/>
        </w:rPr>
        <w:t xml:space="preserve"> </w:t>
      </w:r>
      <w:r w:rsidR="001B3A3F" w:rsidRPr="006A0A3F">
        <w:rPr>
          <w:rFonts w:ascii="Verdana" w:hAnsi="Verdana"/>
          <w:sz w:val="20"/>
          <w:lang w:val="es-CR"/>
        </w:rPr>
        <w:t>la</w:t>
      </w:r>
      <w:r w:rsidR="005110BB" w:rsidRPr="006A0A3F">
        <w:rPr>
          <w:rFonts w:ascii="Verdana" w:hAnsi="Verdana"/>
          <w:sz w:val="20"/>
          <w:lang w:val="es-CR"/>
        </w:rPr>
        <w:t xml:space="preserve"> excepción de falta de agotamiento de </w:t>
      </w:r>
      <w:r w:rsidR="00BF61A1" w:rsidRPr="006A0A3F">
        <w:rPr>
          <w:rFonts w:ascii="Verdana" w:hAnsi="Verdana"/>
          <w:sz w:val="20"/>
          <w:lang w:val="es-CR"/>
        </w:rPr>
        <w:t xml:space="preserve">recursos internos, pues </w:t>
      </w:r>
      <w:r w:rsidR="005110BB" w:rsidRPr="006A0A3F">
        <w:rPr>
          <w:rFonts w:ascii="Verdana" w:hAnsi="Verdana"/>
          <w:sz w:val="20"/>
          <w:lang w:val="es-CR"/>
        </w:rPr>
        <w:t>optó por no presentar contestaci</w:t>
      </w:r>
      <w:r w:rsidR="00BF61A1" w:rsidRPr="006A0A3F">
        <w:rPr>
          <w:rFonts w:ascii="Verdana" w:hAnsi="Verdana"/>
          <w:sz w:val="20"/>
          <w:lang w:val="es-CR"/>
        </w:rPr>
        <w:t>ón</w:t>
      </w:r>
      <w:r w:rsidR="00CC1A0E" w:rsidRPr="006A0A3F">
        <w:rPr>
          <w:rFonts w:ascii="Verdana" w:hAnsi="Verdana"/>
          <w:sz w:val="20"/>
          <w:lang w:val="es-CR"/>
        </w:rPr>
        <w:t>. P</w:t>
      </w:r>
      <w:r w:rsidR="00BF61A1" w:rsidRPr="006A0A3F">
        <w:rPr>
          <w:rFonts w:ascii="Verdana" w:hAnsi="Verdana"/>
          <w:sz w:val="20"/>
          <w:lang w:val="es-CR"/>
        </w:rPr>
        <w:t>or</w:t>
      </w:r>
      <w:r w:rsidR="00CC1A0E" w:rsidRPr="006A0A3F">
        <w:rPr>
          <w:rFonts w:ascii="Verdana" w:hAnsi="Verdana"/>
          <w:sz w:val="20"/>
          <w:lang w:val="es-CR"/>
        </w:rPr>
        <w:t xml:space="preserve"> ello</w:t>
      </w:r>
      <w:r w:rsidR="00BF61A1" w:rsidRPr="006A0A3F">
        <w:rPr>
          <w:rFonts w:ascii="Verdana" w:hAnsi="Verdana"/>
          <w:sz w:val="20"/>
          <w:lang w:val="es-CR"/>
        </w:rPr>
        <w:t xml:space="preserve">, según </w:t>
      </w:r>
      <w:r w:rsidR="005110BB" w:rsidRPr="006A0A3F">
        <w:rPr>
          <w:rFonts w:ascii="Verdana" w:hAnsi="Verdana"/>
          <w:sz w:val="20"/>
          <w:lang w:val="es-CR"/>
        </w:rPr>
        <w:t>el Reglamento</w:t>
      </w:r>
      <w:r w:rsidR="00CC1A0E" w:rsidRPr="006A0A3F">
        <w:rPr>
          <w:rFonts w:ascii="Verdana" w:hAnsi="Verdana"/>
          <w:sz w:val="20"/>
          <w:lang w:val="es-CR"/>
        </w:rPr>
        <w:t xml:space="preserve"> y la jurisprudencia de la Corte</w:t>
      </w:r>
      <w:r w:rsidR="005110BB" w:rsidRPr="006A0A3F">
        <w:rPr>
          <w:rFonts w:ascii="Verdana" w:hAnsi="Verdana"/>
          <w:sz w:val="20"/>
          <w:lang w:val="es-CR"/>
        </w:rPr>
        <w:t xml:space="preserve">, </w:t>
      </w:r>
      <w:r w:rsidR="00BF61A1" w:rsidRPr="006A0A3F">
        <w:rPr>
          <w:rFonts w:ascii="Verdana" w:hAnsi="Verdana"/>
          <w:sz w:val="20"/>
          <w:lang w:val="es-CR"/>
        </w:rPr>
        <w:t xml:space="preserve">tal </w:t>
      </w:r>
      <w:r w:rsidR="005110BB" w:rsidRPr="006A0A3F">
        <w:rPr>
          <w:rFonts w:ascii="Verdana" w:hAnsi="Verdana"/>
          <w:sz w:val="20"/>
          <w:lang w:val="es-CR"/>
        </w:rPr>
        <w:t>planteamiento resulta extemporáneo</w:t>
      </w:r>
      <w:r w:rsidR="00BF61A1" w:rsidRPr="006A0A3F">
        <w:rPr>
          <w:rFonts w:ascii="Verdana" w:hAnsi="Verdana"/>
          <w:sz w:val="20"/>
          <w:lang w:val="es-CR"/>
        </w:rPr>
        <w:t>, ya que</w:t>
      </w:r>
      <w:r w:rsidR="005110BB" w:rsidRPr="006A0A3F">
        <w:rPr>
          <w:rFonts w:ascii="Verdana" w:hAnsi="Verdana"/>
          <w:sz w:val="20"/>
          <w:lang w:val="es-CR"/>
        </w:rPr>
        <w:t xml:space="preserve"> el Estado </w:t>
      </w:r>
      <w:r w:rsidR="00CC1A0E" w:rsidRPr="006A0A3F">
        <w:rPr>
          <w:rFonts w:ascii="Verdana" w:hAnsi="Verdana"/>
          <w:sz w:val="20"/>
          <w:lang w:val="es-CR"/>
        </w:rPr>
        <w:t>renunció</w:t>
      </w:r>
      <w:r w:rsidR="005110BB" w:rsidRPr="006A0A3F">
        <w:rPr>
          <w:rFonts w:ascii="Verdana" w:hAnsi="Verdana"/>
          <w:sz w:val="20"/>
          <w:lang w:val="es-CR"/>
        </w:rPr>
        <w:t xml:space="preserve"> tácitamente a interponer excepciones preliminares</w:t>
      </w:r>
      <w:r w:rsidR="00CC1A0E" w:rsidRPr="006A0A3F">
        <w:rPr>
          <w:rFonts w:ascii="Verdana" w:hAnsi="Verdana"/>
          <w:sz w:val="20"/>
          <w:lang w:val="es-CR"/>
        </w:rPr>
        <w:t>, por lo que debe</w:t>
      </w:r>
      <w:r w:rsidR="00BF61A1" w:rsidRPr="006A0A3F">
        <w:rPr>
          <w:rFonts w:ascii="Verdana" w:hAnsi="Verdana"/>
          <w:sz w:val="20"/>
          <w:lang w:val="es-CR"/>
        </w:rPr>
        <w:t xml:space="preserve"> </w:t>
      </w:r>
      <w:r w:rsidR="00CC1A0E" w:rsidRPr="006A0A3F">
        <w:rPr>
          <w:rFonts w:ascii="Verdana" w:hAnsi="Verdana"/>
          <w:sz w:val="20"/>
          <w:lang w:val="es-CR"/>
        </w:rPr>
        <w:t>ser desechado. S</w:t>
      </w:r>
      <w:r w:rsidR="006A6A2C" w:rsidRPr="006A0A3F">
        <w:rPr>
          <w:rFonts w:ascii="Verdana" w:hAnsi="Verdana"/>
          <w:sz w:val="20"/>
          <w:lang w:val="es-CR"/>
        </w:rPr>
        <w:t xml:space="preserve">in perjuicio de </w:t>
      </w:r>
      <w:r w:rsidR="00CC1A0E" w:rsidRPr="006A0A3F">
        <w:rPr>
          <w:rFonts w:ascii="Verdana" w:hAnsi="Verdana"/>
          <w:sz w:val="20"/>
          <w:lang w:val="es-CR"/>
        </w:rPr>
        <w:t xml:space="preserve">ello, la Comisión </w:t>
      </w:r>
      <w:r w:rsidR="006A6A2C" w:rsidRPr="006A0A3F">
        <w:rPr>
          <w:rFonts w:ascii="Verdana" w:hAnsi="Verdana"/>
          <w:sz w:val="20"/>
          <w:lang w:val="es-CR"/>
        </w:rPr>
        <w:t xml:space="preserve">presentó </w:t>
      </w:r>
      <w:r w:rsidR="00CC1A0E" w:rsidRPr="006A0A3F">
        <w:rPr>
          <w:rFonts w:ascii="Verdana" w:hAnsi="Verdana"/>
          <w:sz w:val="20"/>
          <w:lang w:val="es-CR"/>
        </w:rPr>
        <w:t xml:space="preserve">otras </w:t>
      </w:r>
      <w:r w:rsidR="006A6A2C" w:rsidRPr="006A0A3F">
        <w:rPr>
          <w:rFonts w:ascii="Verdana" w:hAnsi="Verdana"/>
          <w:sz w:val="20"/>
          <w:lang w:val="es-CR"/>
        </w:rPr>
        <w:t>observaciones de carácter sustantivo</w:t>
      </w:r>
      <w:r w:rsidR="00CC1A0E" w:rsidRPr="006A0A3F">
        <w:rPr>
          <w:rFonts w:ascii="Verdana" w:hAnsi="Verdana"/>
          <w:sz w:val="20"/>
          <w:lang w:val="es-CR"/>
        </w:rPr>
        <w:t xml:space="preserve"> al respecto</w:t>
      </w:r>
      <w:r w:rsidR="006A6A2C" w:rsidRPr="006A0A3F">
        <w:rPr>
          <w:rFonts w:ascii="Verdana" w:hAnsi="Verdana"/>
          <w:sz w:val="20"/>
          <w:lang w:val="es-CR"/>
        </w:rPr>
        <w:t>.</w:t>
      </w:r>
      <w:r w:rsidR="0076746F" w:rsidRPr="006A0A3F">
        <w:rPr>
          <w:rFonts w:ascii="Verdana" w:hAnsi="Verdana"/>
          <w:sz w:val="20"/>
          <w:lang w:val="es-CR"/>
        </w:rPr>
        <w:t xml:space="preserve"> </w:t>
      </w:r>
    </w:p>
    <w:p w14:paraId="7C8DBD76" w14:textId="77777777" w:rsidR="00035AE9" w:rsidRPr="006A0A3F" w:rsidRDefault="00035AE9" w:rsidP="00663889">
      <w:pPr>
        <w:pStyle w:val="ListParagraph"/>
        <w:ind w:left="0"/>
        <w:jc w:val="both"/>
        <w:rPr>
          <w:rFonts w:ascii="Verdana" w:hAnsi="Verdana" w:cs="Arial"/>
          <w:color w:val="000000" w:themeColor="text1"/>
          <w:sz w:val="20"/>
          <w:lang w:val="es-CR"/>
        </w:rPr>
      </w:pPr>
    </w:p>
    <w:p w14:paraId="0FB87DE6" w14:textId="32AF1AC6" w:rsidR="00BA1B27" w:rsidRPr="006A0A3F" w:rsidRDefault="00361084" w:rsidP="00F92FF2">
      <w:pPr>
        <w:pStyle w:val="ListParagraph"/>
        <w:numPr>
          <w:ilvl w:val="0"/>
          <w:numId w:val="4"/>
        </w:numPr>
        <w:ind w:left="0" w:firstLine="0"/>
        <w:jc w:val="both"/>
        <w:rPr>
          <w:rFonts w:ascii="Verdana" w:hAnsi="Verdana"/>
          <w:sz w:val="20"/>
          <w:lang w:val="es-CR"/>
        </w:rPr>
      </w:pPr>
      <w:r w:rsidRPr="006A0A3F">
        <w:rPr>
          <w:rFonts w:ascii="Verdana" w:hAnsi="Verdana"/>
          <w:sz w:val="20"/>
          <w:lang w:val="es-CR"/>
        </w:rPr>
        <w:t>La</w:t>
      </w:r>
      <w:r w:rsidR="00CC1A0E" w:rsidRPr="006A0A3F">
        <w:rPr>
          <w:rFonts w:ascii="Verdana" w:hAnsi="Verdana"/>
          <w:sz w:val="20"/>
          <w:lang w:val="es-CR"/>
        </w:rPr>
        <w:t xml:space="preserve"> Corte </w:t>
      </w:r>
      <w:r w:rsidR="00243C66" w:rsidRPr="006A0A3F">
        <w:rPr>
          <w:rFonts w:ascii="Verdana" w:hAnsi="Verdana"/>
          <w:sz w:val="20"/>
          <w:lang w:val="es-CR"/>
        </w:rPr>
        <w:t xml:space="preserve">hace notar </w:t>
      </w:r>
      <w:r w:rsidR="0052424C" w:rsidRPr="006A0A3F">
        <w:rPr>
          <w:rFonts w:ascii="Verdana" w:hAnsi="Verdana"/>
          <w:sz w:val="20"/>
          <w:lang w:val="es-CR"/>
        </w:rPr>
        <w:t>que, e</w:t>
      </w:r>
      <w:r w:rsidR="0052424C" w:rsidRPr="006A0A3F">
        <w:rPr>
          <w:rFonts w:ascii="Verdana" w:hAnsi="Verdana"/>
          <w:color w:val="000000" w:themeColor="text1"/>
          <w:sz w:val="20"/>
          <w:lang w:val="es-CR"/>
        </w:rPr>
        <w:t xml:space="preserve">n términos generales, </w:t>
      </w:r>
      <w:r w:rsidR="003C65C6" w:rsidRPr="006A0A3F">
        <w:rPr>
          <w:rFonts w:ascii="Verdana" w:hAnsi="Verdana"/>
          <w:color w:val="000000" w:themeColor="text1"/>
          <w:sz w:val="20"/>
          <w:lang w:val="es-CR"/>
        </w:rPr>
        <w:t>la inactividad</w:t>
      </w:r>
      <w:r w:rsidR="003C65C6" w:rsidRPr="006A0A3F">
        <w:rPr>
          <w:rFonts w:ascii="Verdana" w:hAnsi="Verdana"/>
          <w:sz w:val="20"/>
          <w:lang w:val="es-CR"/>
        </w:rPr>
        <w:t xml:space="preserve"> procesal </w:t>
      </w:r>
      <w:r w:rsidR="00247F52" w:rsidRPr="006A0A3F">
        <w:rPr>
          <w:rFonts w:ascii="Verdana" w:hAnsi="Verdana"/>
          <w:sz w:val="20"/>
          <w:lang w:val="es-CR"/>
        </w:rPr>
        <w:t xml:space="preserve">tiene como consecuencia la preclusión de la oportunidad procesal para hacer valer, en el período previsto para ello, los derechos </w:t>
      </w:r>
      <w:r w:rsidR="006B7AD9" w:rsidRPr="006A0A3F">
        <w:rPr>
          <w:rFonts w:ascii="Verdana" w:hAnsi="Verdana"/>
          <w:sz w:val="20"/>
          <w:lang w:val="es-CR"/>
        </w:rPr>
        <w:t>correspondientes</w:t>
      </w:r>
      <w:r w:rsidR="00247F52" w:rsidRPr="006A0A3F">
        <w:rPr>
          <w:rFonts w:ascii="Verdana" w:hAnsi="Verdana"/>
          <w:sz w:val="20"/>
          <w:lang w:val="es-CR"/>
        </w:rPr>
        <w:t xml:space="preserve">, lo que, eventualmente, le puede </w:t>
      </w:r>
      <w:r w:rsidR="003C65C6" w:rsidRPr="006A0A3F">
        <w:rPr>
          <w:rFonts w:ascii="Verdana" w:hAnsi="Verdana"/>
          <w:sz w:val="20"/>
          <w:lang w:val="es-CR"/>
        </w:rPr>
        <w:t>acarrea</w:t>
      </w:r>
      <w:r w:rsidR="00247F52" w:rsidRPr="006A0A3F">
        <w:rPr>
          <w:rFonts w:ascii="Verdana" w:hAnsi="Verdana"/>
          <w:sz w:val="20"/>
          <w:lang w:val="es-CR"/>
        </w:rPr>
        <w:t>r a la parte</w:t>
      </w:r>
      <w:r w:rsidR="003C65C6" w:rsidRPr="006A0A3F">
        <w:rPr>
          <w:rFonts w:ascii="Verdana" w:hAnsi="Verdana"/>
          <w:sz w:val="20"/>
          <w:lang w:val="es-CR"/>
        </w:rPr>
        <w:t xml:space="preserve"> </w:t>
      </w:r>
      <w:r w:rsidR="00FF5625" w:rsidRPr="006A0A3F">
        <w:rPr>
          <w:rFonts w:ascii="Verdana" w:hAnsi="Verdana"/>
          <w:sz w:val="20"/>
          <w:lang w:val="es-CR"/>
        </w:rPr>
        <w:t>pertinente</w:t>
      </w:r>
      <w:r w:rsidR="00247F52" w:rsidRPr="006A0A3F">
        <w:rPr>
          <w:rFonts w:ascii="Verdana" w:hAnsi="Verdana"/>
          <w:sz w:val="20"/>
          <w:lang w:val="es-CR"/>
        </w:rPr>
        <w:t xml:space="preserve"> </w:t>
      </w:r>
      <w:r w:rsidR="003C65C6" w:rsidRPr="006A0A3F">
        <w:rPr>
          <w:rFonts w:ascii="Verdana" w:hAnsi="Verdana"/>
          <w:sz w:val="20"/>
          <w:lang w:val="es-CR"/>
        </w:rPr>
        <w:t>un perjuicio</w:t>
      </w:r>
      <w:r w:rsidR="00FF5625" w:rsidRPr="006A0A3F">
        <w:rPr>
          <w:rFonts w:ascii="Verdana" w:hAnsi="Verdana"/>
          <w:sz w:val="20"/>
          <w:lang w:val="es-CR"/>
        </w:rPr>
        <w:t>,</w:t>
      </w:r>
      <w:r w:rsidR="003C65C6" w:rsidRPr="006A0A3F">
        <w:rPr>
          <w:rFonts w:ascii="Verdana" w:hAnsi="Verdana"/>
          <w:sz w:val="20"/>
          <w:lang w:val="es-CR"/>
        </w:rPr>
        <w:t xml:space="preserve"> al decidir voluntariamente no ejercer su derecho de defensa en forma completa ni llevar a cabo las actuaciones procesales convenientes para su interés, de conformidad con la máxima </w:t>
      </w:r>
      <w:proofErr w:type="spellStart"/>
      <w:r w:rsidR="003C65C6" w:rsidRPr="006A0A3F">
        <w:rPr>
          <w:rFonts w:ascii="Verdana" w:hAnsi="Verdana"/>
          <w:i/>
          <w:sz w:val="20"/>
          <w:lang w:val="es-CR"/>
        </w:rPr>
        <w:t>audi</w:t>
      </w:r>
      <w:proofErr w:type="spellEnd"/>
      <w:r w:rsidR="003C65C6" w:rsidRPr="006A0A3F">
        <w:rPr>
          <w:rFonts w:ascii="Verdana" w:hAnsi="Verdana"/>
          <w:i/>
          <w:sz w:val="20"/>
          <w:lang w:val="es-CR"/>
        </w:rPr>
        <w:t xml:space="preserve"> </w:t>
      </w:r>
      <w:proofErr w:type="spellStart"/>
      <w:r w:rsidR="003C65C6" w:rsidRPr="006A0A3F">
        <w:rPr>
          <w:rFonts w:ascii="Verdana" w:hAnsi="Verdana"/>
          <w:i/>
          <w:sz w:val="20"/>
          <w:lang w:val="es-CR"/>
        </w:rPr>
        <w:t>alteram</w:t>
      </w:r>
      <w:proofErr w:type="spellEnd"/>
      <w:r w:rsidR="003C65C6" w:rsidRPr="006A0A3F">
        <w:rPr>
          <w:rFonts w:ascii="Verdana" w:hAnsi="Verdana"/>
          <w:i/>
          <w:sz w:val="20"/>
          <w:lang w:val="es-CR"/>
        </w:rPr>
        <w:t xml:space="preserve"> </w:t>
      </w:r>
      <w:proofErr w:type="spellStart"/>
      <w:r w:rsidR="003C65C6" w:rsidRPr="006A0A3F">
        <w:rPr>
          <w:rFonts w:ascii="Verdana" w:hAnsi="Verdana"/>
          <w:i/>
          <w:sz w:val="20"/>
          <w:lang w:val="es-CR"/>
        </w:rPr>
        <w:t>partem</w:t>
      </w:r>
      <w:proofErr w:type="spellEnd"/>
      <w:r w:rsidR="003C65C6" w:rsidRPr="006A0A3F">
        <w:rPr>
          <w:rStyle w:val="FootnoteReference"/>
          <w:rFonts w:ascii="Verdana" w:hAnsi="Verdana"/>
          <w:sz w:val="20"/>
          <w:lang w:val="es-CR"/>
        </w:rPr>
        <w:footnoteReference w:id="17"/>
      </w:r>
      <w:r w:rsidR="003C65C6" w:rsidRPr="006A0A3F">
        <w:rPr>
          <w:rFonts w:ascii="Verdana" w:hAnsi="Verdana"/>
          <w:i/>
          <w:sz w:val="20"/>
          <w:lang w:val="es-CR"/>
        </w:rPr>
        <w:t>.</w:t>
      </w:r>
      <w:r w:rsidR="003C65C6" w:rsidRPr="006A0A3F">
        <w:rPr>
          <w:rFonts w:ascii="Verdana" w:hAnsi="Verdana"/>
          <w:color w:val="000000" w:themeColor="text1"/>
          <w:sz w:val="20"/>
          <w:lang w:val="es-CR"/>
        </w:rPr>
        <w:t xml:space="preserve"> </w:t>
      </w:r>
      <w:r w:rsidR="00247F52" w:rsidRPr="006A0A3F">
        <w:rPr>
          <w:rFonts w:ascii="Verdana" w:hAnsi="Verdana"/>
          <w:sz w:val="20"/>
          <w:lang w:val="es-CR"/>
        </w:rPr>
        <w:t>No obstante ello y de acuerdo a lo dispuesto en</w:t>
      </w:r>
      <w:r w:rsidR="003C65C6" w:rsidRPr="006A0A3F">
        <w:rPr>
          <w:rFonts w:ascii="Verdana" w:hAnsi="Verdana"/>
          <w:color w:val="0070C0"/>
          <w:sz w:val="20"/>
          <w:lang w:val="es-CR"/>
        </w:rPr>
        <w:t xml:space="preserve"> </w:t>
      </w:r>
      <w:r w:rsidR="003C65C6" w:rsidRPr="006A0A3F">
        <w:rPr>
          <w:rFonts w:ascii="Verdana" w:hAnsi="Verdana"/>
          <w:color w:val="000000" w:themeColor="text1"/>
          <w:sz w:val="20"/>
          <w:lang w:val="es-CR"/>
        </w:rPr>
        <w:t>el Reglamento</w:t>
      </w:r>
      <w:r w:rsidR="003C65C6" w:rsidRPr="006A0A3F">
        <w:rPr>
          <w:rStyle w:val="FootnoteReference"/>
          <w:rFonts w:ascii="Verdana" w:hAnsi="Verdana"/>
          <w:color w:val="000000" w:themeColor="text1"/>
          <w:sz w:val="20"/>
          <w:lang w:val="es-CR"/>
        </w:rPr>
        <w:footnoteReference w:id="18"/>
      </w:r>
      <w:r w:rsidR="003C65C6" w:rsidRPr="006A0A3F">
        <w:rPr>
          <w:rFonts w:ascii="Verdana" w:hAnsi="Verdana"/>
          <w:color w:val="000000" w:themeColor="text1"/>
          <w:sz w:val="20"/>
          <w:lang w:val="es-CR"/>
        </w:rPr>
        <w:t xml:space="preserve"> y la jurisprudencia, </w:t>
      </w:r>
      <w:r w:rsidR="0052424C" w:rsidRPr="006A0A3F">
        <w:rPr>
          <w:rFonts w:ascii="Verdana" w:hAnsi="Verdana"/>
          <w:color w:val="000000" w:themeColor="text1"/>
          <w:sz w:val="20"/>
          <w:lang w:val="es-CR"/>
        </w:rPr>
        <w:t>se ha permitido a las partes participar en las actuaciones procesales posteriores, tomando en cuenta las etapas que hubiesen caducado de acuerdo al momento procesal</w:t>
      </w:r>
      <w:r w:rsidR="003C65C6" w:rsidRPr="006A0A3F">
        <w:rPr>
          <w:rStyle w:val="FootnoteReference"/>
          <w:rFonts w:ascii="Verdana" w:hAnsi="Verdana"/>
          <w:color w:val="000000" w:themeColor="text1"/>
          <w:sz w:val="20"/>
          <w:lang w:val="es-CR"/>
        </w:rPr>
        <w:footnoteReference w:id="19"/>
      </w:r>
      <w:r w:rsidR="0052424C" w:rsidRPr="006A0A3F">
        <w:rPr>
          <w:rFonts w:ascii="Verdana" w:hAnsi="Verdana"/>
          <w:color w:val="000000" w:themeColor="text1"/>
          <w:sz w:val="20"/>
          <w:lang w:val="es-CR"/>
        </w:rPr>
        <w:t xml:space="preserve">. En consecuencia, </w:t>
      </w:r>
      <w:r w:rsidR="003C65C6" w:rsidRPr="006A0A3F">
        <w:rPr>
          <w:rFonts w:ascii="Verdana" w:hAnsi="Verdana"/>
          <w:color w:val="000000" w:themeColor="text1"/>
          <w:sz w:val="20"/>
          <w:lang w:val="es-CR"/>
        </w:rPr>
        <w:t xml:space="preserve">la falta de contestación por parte del Estado y su incorporación </w:t>
      </w:r>
      <w:r w:rsidR="008240A6" w:rsidRPr="006A0A3F">
        <w:rPr>
          <w:rFonts w:ascii="Verdana" w:hAnsi="Verdana"/>
          <w:color w:val="000000" w:themeColor="text1"/>
          <w:sz w:val="20"/>
          <w:lang w:val="es-CR"/>
        </w:rPr>
        <w:t xml:space="preserve">tardía </w:t>
      </w:r>
      <w:r w:rsidR="003C65C6" w:rsidRPr="006A0A3F">
        <w:rPr>
          <w:rFonts w:ascii="Verdana" w:hAnsi="Verdana"/>
          <w:color w:val="000000" w:themeColor="text1"/>
          <w:sz w:val="20"/>
          <w:lang w:val="es-CR"/>
        </w:rPr>
        <w:t xml:space="preserve">al procedimiento </w:t>
      </w:r>
      <w:r w:rsidR="00243C66" w:rsidRPr="006A0A3F">
        <w:rPr>
          <w:rFonts w:ascii="Verdana" w:hAnsi="Verdana"/>
          <w:sz w:val="20"/>
          <w:lang w:val="es-CR"/>
        </w:rPr>
        <w:t>plantea</w:t>
      </w:r>
      <w:r w:rsidR="003C65C6" w:rsidRPr="006A0A3F">
        <w:rPr>
          <w:rFonts w:ascii="Verdana" w:hAnsi="Verdana"/>
          <w:sz w:val="20"/>
          <w:lang w:val="es-CR"/>
        </w:rPr>
        <w:t>n</w:t>
      </w:r>
      <w:r w:rsidR="00243C66" w:rsidRPr="006A0A3F">
        <w:rPr>
          <w:rFonts w:ascii="Verdana" w:hAnsi="Verdana"/>
          <w:sz w:val="20"/>
          <w:lang w:val="es-CR"/>
        </w:rPr>
        <w:t xml:space="preserve"> </w:t>
      </w:r>
      <w:r w:rsidR="001C715C">
        <w:rPr>
          <w:rFonts w:ascii="Verdana" w:hAnsi="Verdana"/>
          <w:sz w:val="20"/>
          <w:lang w:val="es-CR"/>
        </w:rPr>
        <w:t>dos</w:t>
      </w:r>
      <w:r w:rsidR="00243C66" w:rsidRPr="006A0A3F">
        <w:rPr>
          <w:rFonts w:ascii="Verdana" w:hAnsi="Verdana"/>
          <w:sz w:val="20"/>
          <w:lang w:val="es-CR"/>
        </w:rPr>
        <w:t xml:space="preserve"> </w:t>
      </w:r>
      <w:r w:rsidRPr="006A0A3F">
        <w:rPr>
          <w:rFonts w:ascii="Verdana" w:hAnsi="Verdana"/>
          <w:sz w:val="20"/>
          <w:lang w:val="es-CR"/>
        </w:rPr>
        <w:t xml:space="preserve">cuestiones </w:t>
      </w:r>
      <w:r w:rsidR="00BA1B27" w:rsidRPr="006A0A3F">
        <w:rPr>
          <w:rFonts w:ascii="Verdana" w:hAnsi="Verdana"/>
          <w:sz w:val="20"/>
          <w:lang w:val="es-CR"/>
        </w:rPr>
        <w:t>de orden procesal:</w:t>
      </w:r>
      <w:r w:rsidR="004D3EC5" w:rsidRPr="006A0A3F">
        <w:rPr>
          <w:rFonts w:ascii="Verdana" w:hAnsi="Verdana"/>
          <w:sz w:val="20"/>
          <w:lang w:val="es-CR"/>
        </w:rPr>
        <w:t xml:space="preserve"> </w:t>
      </w:r>
      <w:r w:rsidR="00243C66" w:rsidRPr="006A0A3F">
        <w:rPr>
          <w:rFonts w:ascii="Verdana" w:hAnsi="Verdana"/>
          <w:sz w:val="20"/>
          <w:lang w:val="es-CR"/>
        </w:rPr>
        <w:t xml:space="preserve">a) si es atendible su argumento sobre falta agotamiento de recursos internos; b) </w:t>
      </w:r>
      <w:r w:rsidR="006A6A2C" w:rsidRPr="006A0A3F">
        <w:rPr>
          <w:rFonts w:ascii="Verdana" w:hAnsi="Verdana"/>
          <w:sz w:val="20"/>
          <w:lang w:val="es-CR"/>
        </w:rPr>
        <w:t xml:space="preserve">si </w:t>
      </w:r>
      <w:r w:rsidR="00BA1B27" w:rsidRPr="006A0A3F">
        <w:rPr>
          <w:rFonts w:ascii="Verdana" w:hAnsi="Verdana"/>
          <w:sz w:val="20"/>
          <w:lang w:val="es-CR"/>
        </w:rPr>
        <w:t xml:space="preserve">se tienen por aceptados los hechos expuestos en el Informe de </w:t>
      </w:r>
      <w:r w:rsidR="00F52BC7" w:rsidRPr="006A0A3F">
        <w:rPr>
          <w:rFonts w:ascii="Verdana" w:hAnsi="Verdana"/>
          <w:sz w:val="20"/>
          <w:lang w:val="es-CR"/>
        </w:rPr>
        <w:t xml:space="preserve">Fondo </w:t>
      </w:r>
      <w:r w:rsidR="004D3EC5" w:rsidRPr="006A0A3F">
        <w:rPr>
          <w:rFonts w:ascii="Verdana" w:hAnsi="Verdana"/>
          <w:sz w:val="20"/>
          <w:lang w:val="es-CR"/>
        </w:rPr>
        <w:t>y</w:t>
      </w:r>
      <w:r w:rsidR="00243C66" w:rsidRPr="006A0A3F">
        <w:rPr>
          <w:rFonts w:ascii="Verdana" w:hAnsi="Verdana"/>
          <w:sz w:val="20"/>
          <w:lang w:val="es-CR"/>
        </w:rPr>
        <w:t xml:space="preserve"> por </w:t>
      </w:r>
      <w:r w:rsidRPr="006A0A3F">
        <w:rPr>
          <w:rFonts w:ascii="Verdana" w:hAnsi="Verdana"/>
          <w:sz w:val="20"/>
          <w:lang w:val="es-CR"/>
        </w:rPr>
        <w:t xml:space="preserve">reconocidas </w:t>
      </w:r>
      <w:r w:rsidR="004D3EC5" w:rsidRPr="006A0A3F">
        <w:rPr>
          <w:rFonts w:ascii="Verdana" w:hAnsi="Verdana"/>
          <w:sz w:val="20"/>
          <w:lang w:val="es-CR"/>
        </w:rPr>
        <w:t xml:space="preserve">las pretensiones de la Comisión y de las presuntas víctimas. </w:t>
      </w:r>
    </w:p>
    <w:p w14:paraId="6484D2CA" w14:textId="77777777" w:rsidR="00663889" w:rsidRPr="006A0A3F" w:rsidRDefault="00663889" w:rsidP="004D3EC5">
      <w:pPr>
        <w:pStyle w:val="ListParagraph"/>
        <w:ind w:left="0"/>
        <w:jc w:val="both"/>
        <w:rPr>
          <w:rFonts w:ascii="Verdana" w:hAnsi="Verdana"/>
          <w:sz w:val="20"/>
          <w:lang w:val="es-CR"/>
        </w:rPr>
      </w:pPr>
    </w:p>
    <w:p w14:paraId="4AF55849" w14:textId="689F92B5" w:rsidR="00E9067F" w:rsidRPr="006A0A3F" w:rsidRDefault="00410F2E" w:rsidP="00E9067F">
      <w:pPr>
        <w:pStyle w:val="ListParagraph"/>
        <w:numPr>
          <w:ilvl w:val="0"/>
          <w:numId w:val="4"/>
        </w:numPr>
        <w:ind w:left="0" w:firstLine="0"/>
        <w:jc w:val="both"/>
        <w:rPr>
          <w:rFonts w:ascii="Verdana" w:hAnsi="Verdana"/>
          <w:color w:val="000000" w:themeColor="text1"/>
          <w:spacing w:val="-4"/>
          <w:sz w:val="20"/>
          <w:lang w:val="es-CR"/>
        </w:rPr>
      </w:pPr>
      <w:r w:rsidRPr="006A0A3F">
        <w:rPr>
          <w:rFonts w:ascii="Verdana" w:hAnsi="Verdana" w:cs="Arial"/>
          <w:color w:val="000000" w:themeColor="text1"/>
          <w:sz w:val="20"/>
          <w:lang w:val="es-CR"/>
        </w:rPr>
        <w:t xml:space="preserve">En primer lugar, </w:t>
      </w:r>
      <w:r w:rsidR="00361084" w:rsidRPr="006A0A3F">
        <w:rPr>
          <w:rFonts w:ascii="Verdana" w:hAnsi="Verdana" w:cs="Arial"/>
          <w:color w:val="000000" w:themeColor="text1"/>
          <w:sz w:val="20"/>
          <w:lang w:val="es-CR"/>
        </w:rPr>
        <w:t xml:space="preserve">la alegada </w:t>
      </w:r>
      <w:r w:rsidRPr="006A0A3F">
        <w:rPr>
          <w:rFonts w:ascii="Verdana" w:hAnsi="Verdana" w:cs="Arial"/>
          <w:color w:val="000000" w:themeColor="text1"/>
          <w:sz w:val="20"/>
          <w:lang w:val="es-CR"/>
        </w:rPr>
        <w:t>falta de agotamiento de recursos judiciales internos</w:t>
      </w:r>
      <w:r w:rsidR="004F6836" w:rsidRPr="006A0A3F">
        <w:rPr>
          <w:rFonts w:ascii="Verdana" w:hAnsi="Verdana" w:cs="Arial"/>
          <w:color w:val="000000" w:themeColor="text1"/>
          <w:sz w:val="20"/>
          <w:lang w:val="es-CR"/>
        </w:rPr>
        <w:t xml:space="preserve"> idóneos</w:t>
      </w:r>
      <w:r w:rsidR="008240A6" w:rsidRPr="006A0A3F">
        <w:rPr>
          <w:rFonts w:ascii="Verdana" w:hAnsi="Verdana" w:cs="Arial"/>
          <w:color w:val="000000" w:themeColor="text1"/>
          <w:sz w:val="20"/>
          <w:lang w:val="es-CR"/>
        </w:rPr>
        <w:t>,</w:t>
      </w:r>
      <w:r w:rsidRPr="006A0A3F">
        <w:rPr>
          <w:rFonts w:ascii="Verdana" w:hAnsi="Verdana" w:cs="Arial"/>
          <w:color w:val="000000" w:themeColor="text1"/>
          <w:sz w:val="20"/>
          <w:lang w:val="es-CR"/>
        </w:rPr>
        <w:t xml:space="preserve"> por parte de las presuntas víctimas, </w:t>
      </w:r>
      <w:r w:rsidR="00361084" w:rsidRPr="006A0A3F">
        <w:rPr>
          <w:rFonts w:ascii="Verdana" w:hAnsi="Verdana" w:cs="Arial"/>
          <w:color w:val="000000" w:themeColor="text1"/>
          <w:sz w:val="20"/>
          <w:lang w:val="es-CR"/>
        </w:rPr>
        <w:t>fue planteada por el Estado</w:t>
      </w:r>
      <w:r w:rsidR="000114AD" w:rsidRPr="006A0A3F">
        <w:rPr>
          <w:rFonts w:ascii="Verdana" w:hAnsi="Verdana" w:cs="Arial"/>
          <w:color w:val="000000" w:themeColor="text1"/>
          <w:sz w:val="20"/>
          <w:lang w:val="es-CR"/>
        </w:rPr>
        <w:t xml:space="preserve"> ante la Comisión </w:t>
      </w:r>
      <w:r w:rsidR="00361084" w:rsidRPr="006A0A3F">
        <w:rPr>
          <w:rFonts w:ascii="Verdana" w:hAnsi="Verdana" w:cs="Arial"/>
          <w:color w:val="000000" w:themeColor="text1"/>
          <w:sz w:val="20"/>
          <w:lang w:val="es-CR"/>
        </w:rPr>
        <w:t>y resuelta por ésta</w:t>
      </w:r>
      <w:r w:rsidR="000114AD" w:rsidRPr="006A0A3F">
        <w:rPr>
          <w:rFonts w:ascii="Verdana" w:hAnsi="Verdana" w:cs="Arial"/>
          <w:color w:val="000000" w:themeColor="text1"/>
          <w:sz w:val="20"/>
          <w:lang w:val="es-CR"/>
        </w:rPr>
        <w:t xml:space="preserve"> en su Informe</w:t>
      </w:r>
      <w:r w:rsidR="004F6836" w:rsidRPr="006A0A3F">
        <w:rPr>
          <w:rFonts w:ascii="Verdana" w:hAnsi="Verdana" w:cs="Arial"/>
          <w:color w:val="000000" w:themeColor="text1"/>
          <w:sz w:val="20"/>
          <w:lang w:val="es-CR"/>
        </w:rPr>
        <w:t xml:space="preserve"> de Admisibilidad</w:t>
      </w:r>
      <w:r w:rsidR="000114AD" w:rsidRPr="006A0A3F">
        <w:rPr>
          <w:rFonts w:ascii="Verdana" w:hAnsi="Verdana" w:cs="Arial"/>
          <w:color w:val="000000" w:themeColor="text1"/>
          <w:sz w:val="20"/>
          <w:lang w:val="es-CR"/>
        </w:rPr>
        <w:t xml:space="preserve">. Sin embargo, </w:t>
      </w:r>
      <w:r w:rsidR="008240A6" w:rsidRPr="006A0A3F">
        <w:rPr>
          <w:rFonts w:ascii="Verdana" w:hAnsi="Verdana" w:cs="Arial"/>
          <w:color w:val="000000" w:themeColor="text1"/>
          <w:sz w:val="20"/>
          <w:lang w:val="es-CR"/>
        </w:rPr>
        <w:t xml:space="preserve">aún si reiteró tal planteamiento en sus alegatos finales orales y escritos, </w:t>
      </w:r>
      <w:r w:rsidRPr="006A0A3F">
        <w:rPr>
          <w:rFonts w:ascii="Verdana" w:hAnsi="Verdana" w:cs="Arial"/>
          <w:color w:val="000000" w:themeColor="text1"/>
          <w:sz w:val="20"/>
          <w:lang w:val="es-CR"/>
        </w:rPr>
        <w:t>el Estado no planteó excepciones preliminares</w:t>
      </w:r>
      <w:r w:rsidR="008240A6" w:rsidRPr="006A0A3F">
        <w:rPr>
          <w:rFonts w:ascii="Verdana" w:hAnsi="Verdana" w:cs="Arial"/>
          <w:color w:val="000000" w:themeColor="text1"/>
          <w:sz w:val="20"/>
          <w:lang w:val="es-CR"/>
        </w:rPr>
        <w:t xml:space="preserve"> en el </w:t>
      </w:r>
      <w:r w:rsidR="008240A6" w:rsidRPr="006A0A3F">
        <w:rPr>
          <w:rFonts w:ascii="Verdana" w:hAnsi="Verdana" w:cs="Arial"/>
          <w:color w:val="000000" w:themeColor="text1"/>
          <w:sz w:val="20"/>
          <w:lang w:val="es-CR"/>
        </w:rPr>
        <w:lastRenderedPageBreak/>
        <w:t>procedimiento ante la Corte</w:t>
      </w:r>
      <w:r w:rsidRPr="006A0A3F">
        <w:rPr>
          <w:rFonts w:ascii="Verdana" w:hAnsi="Verdana" w:cs="Arial"/>
          <w:color w:val="000000" w:themeColor="text1"/>
          <w:sz w:val="20"/>
          <w:lang w:val="es-CR"/>
        </w:rPr>
        <w:t xml:space="preserve">. En este sentido, es </w:t>
      </w:r>
      <w:r w:rsidR="00243C66" w:rsidRPr="006A0A3F">
        <w:rPr>
          <w:rFonts w:ascii="Verdana" w:hAnsi="Verdana" w:cs="Arial"/>
          <w:color w:val="000000" w:themeColor="text1"/>
          <w:sz w:val="20"/>
          <w:lang w:val="es-CR"/>
        </w:rPr>
        <w:t>evidente</w:t>
      </w:r>
      <w:r w:rsidRPr="006A0A3F">
        <w:rPr>
          <w:rFonts w:ascii="Verdana" w:hAnsi="Verdana" w:cs="Arial"/>
          <w:color w:val="000000" w:themeColor="text1"/>
          <w:sz w:val="20"/>
          <w:lang w:val="es-CR"/>
        </w:rPr>
        <w:t xml:space="preserve"> que un alegato de falta de agotamiento de recursos, en los térmi</w:t>
      </w:r>
      <w:r w:rsidR="00450B78" w:rsidRPr="006A0A3F">
        <w:rPr>
          <w:rFonts w:ascii="Verdana" w:hAnsi="Verdana" w:cs="Arial"/>
          <w:color w:val="000000" w:themeColor="text1"/>
          <w:sz w:val="20"/>
          <w:lang w:val="es-CR"/>
        </w:rPr>
        <w:t>nos de los</w:t>
      </w:r>
      <w:r w:rsidRPr="006A0A3F">
        <w:rPr>
          <w:rFonts w:ascii="Verdana" w:hAnsi="Verdana" w:cs="Arial"/>
          <w:color w:val="000000" w:themeColor="text1"/>
          <w:sz w:val="20"/>
          <w:lang w:val="es-CR"/>
        </w:rPr>
        <w:t xml:space="preserve"> </w:t>
      </w:r>
      <w:r w:rsidRPr="006A0A3F">
        <w:rPr>
          <w:rFonts w:ascii="Verdana" w:hAnsi="Verdana"/>
          <w:sz w:val="20"/>
          <w:lang w:val="es-CR"/>
        </w:rPr>
        <w:t>artículo</w:t>
      </w:r>
      <w:r w:rsidR="00450B78" w:rsidRPr="006A0A3F">
        <w:rPr>
          <w:rFonts w:ascii="Verdana" w:hAnsi="Verdana"/>
          <w:sz w:val="20"/>
          <w:lang w:val="es-CR"/>
        </w:rPr>
        <w:t>s</w:t>
      </w:r>
      <w:r w:rsidR="0052424C" w:rsidRPr="006A0A3F">
        <w:rPr>
          <w:rFonts w:ascii="Verdana" w:hAnsi="Verdana"/>
          <w:sz w:val="20"/>
          <w:lang w:val="es-CR"/>
        </w:rPr>
        <w:t xml:space="preserve"> 46</w:t>
      </w:r>
      <w:r w:rsidRPr="006A0A3F">
        <w:rPr>
          <w:rFonts w:ascii="Verdana" w:hAnsi="Verdana"/>
          <w:sz w:val="20"/>
          <w:lang w:val="es-CR"/>
        </w:rPr>
        <w:t xml:space="preserve">.1.a) de la Convención </w:t>
      </w:r>
      <w:r w:rsidR="00C206D1" w:rsidRPr="006A0A3F">
        <w:rPr>
          <w:rFonts w:ascii="Verdana" w:hAnsi="Verdana"/>
          <w:sz w:val="20"/>
          <w:lang w:val="es-CR"/>
        </w:rPr>
        <w:t>y 42 del Reglamento</w:t>
      </w:r>
      <w:r w:rsidR="0052424C" w:rsidRPr="006A0A3F">
        <w:rPr>
          <w:rStyle w:val="FootnoteReference"/>
          <w:rFonts w:ascii="Verdana" w:hAnsi="Verdana"/>
          <w:color w:val="000000" w:themeColor="text1"/>
          <w:spacing w:val="-4"/>
          <w:sz w:val="20"/>
          <w:lang w:val="es-CR"/>
        </w:rPr>
        <w:footnoteReference w:id="20"/>
      </w:r>
      <w:r w:rsidRPr="006A0A3F">
        <w:rPr>
          <w:rFonts w:ascii="Verdana" w:hAnsi="Verdana"/>
          <w:sz w:val="20"/>
          <w:lang w:val="es-CR"/>
        </w:rPr>
        <w:t xml:space="preserve">, sólo </w:t>
      </w:r>
      <w:r w:rsidR="00243C66" w:rsidRPr="006A0A3F">
        <w:rPr>
          <w:rFonts w:ascii="Verdana" w:hAnsi="Verdana"/>
          <w:sz w:val="20"/>
          <w:lang w:val="es-CR"/>
        </w:rPr>
        <w:t>puede</w:t>
      </w:r>
      <w:r w:rsidRPr="006A0A3F">
        <w:rPr>
          <w:rFonts w:ascii="Verdana" w:hAnsi="Verdana"/>
          <w:sz w:val="20"/>
          <w:lang w:val="es-CR"/>
        </w:rPr>
        <w:t xml:space="preserve"> ser planteado ante la Corte en forma de excepción preliminar y en </w:t>
      </w:r>
      <w:r w:rsidRPr="006A0A3F">
        <w:rPr>
          <w:rFonts w:ascii="Verdana" w:hAnsi="Verdana" w:cs="Arial"/>
          <w:color w:val="000000" w:themeColor="text1"/>
          <w:sz w:val="20"/>
          <w:lang w:val="es-CR"/>
        </w:rPr>
        <w:t>el momento procesal oportuno para ello</w:t>
      </w:r>
      <w:r w:rsidR="00C206D1" w:rsidRPr="006A0A3F">
        <w:rPr>
          <w:rFonts w:ascii="Verdana" w:hAnsi="Verdana" w:cs="Arial"/>
          <w:color w:val="000000" w:themeColor="text1"/>
          <w:sz w:val="20"/>
          <w:lang w:val="es-CR"/>
        </w:rPr>
        <w:t xml:space="preserve">, a saber, </w:t>
      </w:r>
      <w:r w:rsidRPr="006A0A3F">
        <w:rPr>
          <w:rFonts w:ascii="Verdana" w:hAnsi="Verdana"/>
          <w:color w:val="000000" w:themeColor="text1"/>
          <w:spacing w:val="-4"/>
          <w:sz w:val="20"/>
          <w:lang w:val="es-CR"/>
        </w:rPr>
        <w:t xml:space="preserve">en </w:t>
      </w:r>
      <w:r w:rsidR="00C206D1" w:rsidRPr="006A0A3F">
        <w:rPr>
          <w:rFonts w:ascii="Verdana" w:hAnsi="Verdana"/>
          <w:color w:val="000000" w:themeColor="text1"/>
          <w:spacing w:val="-4"/>
          <w:sz w:val="20"/>
          <w:lang w:val="es-CR"/>
        </w:rPr>
        <w:t xml:space="preserve">el </w:t>
      </w:r>
      <w:r w:rsidRPr="006A0A3F">
        <w:rPr>
          <w:rFonts w:ascii="Verdana" w:hAnsi="Verdana"/>
          <w:color w:val="000000" w:themeColor="text1"/>
          <w:spacing w:val="-4"/>
          <w:sz w:val="20"/>
          <w:lang w:val="es-CR"/>
        </w:rPr>
        <w:t>escrito de contestación</w:t>
      </w:r>
      <w:r w:rsidR="00C206D1" w:rsidRPr="006A0A3F">
        <w:rPr>
          <w:rFonts w:ascii="Verdana" w:hAnsi="Verdana"/>
          <w:color w:val="000000" w:themeColor="text1"/>
          <w:spacing w:val="-4"/>
          <w:sz w:val="20"/>
          <w:lang w:val="es-CR"/>
        </w:rPr>
        <w:t xml:space="preserve"> del Estado</w:t>
      </w:r>
      <w:r w:rsidRPr="006A0A3F">
        <w:rPr>
          <w:rFonts w:ascii="Verdana" w:hAnsi="Verdana" w:cs="Arial"/>
          <w:color w:val="000000" w:themeColor="text1"/>
          <w:sz w:val="20"/>
          <w:lang w:val="es-CR"/>
        </w:rPr>
        <w:t xml:space="preserve">. Por ende, sin perjuicio de considerar esos alegatos del Estado en lo que sea pertinente para </w:t>
      </w:r>
      <w:r w:rsidR="00687C60" w:rsidRPr="006A0A3F">
        <w:rPr>
          <w:rFonts w:ascii="Verdana" w:hAnsi="Verdana" w:cs="Arial"/>
          <w:color w:val="000000" w:themeColor="text1"/>
          <w:sz w:val="20"/>
          <w:lang w:val="es-CR"/>
        </w:rPr>
        <w:t>el fondo del caso</w:t>
      </w:r>
      <w:r w:rsidRPr="006A0A3F">
        <w:rPr>
          <w:rFonts w:ascii="Verdana" w:hAnsi="Verdana" w:cs="Arial"/>
          <w:color w:val="000000" w:themeColor="text1"/>
          <w:sz w:val="20"/>
          <w:lang w:val="es-CR"/>
        </w:rPr>
        <w:t xml:space="preserve">, </w:t>
      </w:r>
      <w:r w:rsidR="00501E71" w:rsidRPr="006A0A3F">
        <w:rPr>
          <w:rFonts w:ascii="Verdana" w:hAnsi="Verdana" w:cs="Arial"/>
          <w:color w:val="000000" w:themeColor="text1"/>
          <w:sz w:val="20"/>
          <w:lang w:val="es-CR"/>
        </w:rPr>
        <w:t>la Corte</w:t>
      </w:r>
      <w:r w:rsidR="00501E71" w:rsidRPr="006A0A3F">
        <w:rPr>
          <w:rFonts w:ascii="Verdana" w:hAnsi="Verdana" w:cs="Arial"/>
          <w:sz w:val="20"/>
          <w:lang w:val="es-CR"/>
        </w:rPr>
        <w:t xml:space="preserve">, </w:t>
      </w:r>
      <w:r w:rsidR="006B7AD9" w:rsidRPr="006A0A3F">
        <w:rPr>
          <w:rFonts w:ascii="Verdana" w:hAnsi="Verdana" w:cs="Arial"/>
          <w:sz w:val="20"/>
          <w:lang w:val="es-CR"/>
        </w:rPr>
        <w:t>constatando</w:t>
      </w:r>
      <w:r w:rsidR="00501E71" w:rsidRPr="006A0A3F">
        <w:rPr>
          <w:rFonts w:ascii="Verdana" w:hAnsi="Verdana" w:cs="Arial"/>
          <w:sz w:val="20"/>
          <w:lang w:val="es-CR"/>
        </w:rPr>
        <w:t xml:space="preserve"> que el Estado no presentó en autos la e</w:t>
      </w:r>
      <w:r w:rsidR="007768C8" w:rsidRPr="006A0A3F">
        <w:rPr>
          <w:rFonts w:ascii="Verdana" w:hAnsi="Verdana" w:cs="Arial"/>
          <w:sz w:val="20"/>
          <w:lang w:val="es-CR"/>
        </w:rPr>
        <w:t>xcepción de falta de previo agotamiento de los recur</w:t>
      </w:r>
      <w:r w:rsidR="00501E71" w:rsidRPr="006A0A3F">
        <w:rPr>
          <w:rFonts w:ascii="Verdana" w:hAnsi="Verdana" w:cs="Arial"/>
          <w:sz w:val="20"/>
          <w:lang w:val="es-CR"/>
        </w:rPr>
        <w:t>s</w:t>
      </w:r>
      <w:r w:rsidR="007768C8" w:rsidRPr="006A0A3F">
        <w:rPr>
          <w:rFonts w:ascii="Verdana" w:hAnsi="Verdana" w:cs="Arial"/>
          <w:sz w:val="20"/>
          <w:lang w:val="es-CR"/>
        </w:rPr>
        <w:t>os internos</w:t>
      </w:r>
      <w:r w:rsidR="00501E71" w:rsidRPr="006A0A3F">
        <w:rPr>
          <w:rFonts w:ascii="Verdana" w:hAnsi="Verdana" w:cs="Arial"/>
          <w:sz w:val="20"/>
          <w:lang w:val="es-CR"/>
        </w:rPr>
        <w:t xml:space="preserve">, no </w:t>
      </w:r>
      <w:r w:rsidR="00465E87" w:rsidRPr="006A0A3F">
        <w:rPr>
          <w:rFonts w:ascii="Verdana" w:hAnsi="Verdana" w:cs="Arial"/>
          <w:sz w:val="20"/>
          <w:lang w:val="es-CR"/>
        </w:rPr>
        <w:t xml:space="preserve">considerará los alegatos que, al efecto, formuló.  </w:t>
      </w:r>
    </w:p>
    <w:p w14:paraId="5A27BBEE" w14:textId="77777777" w:rsidR="00E9067F" w:rsidRPr="006A0A3F" w:rsidRDefault="00E9067F" w:rsidP="00E9067F">
      <w:pPr>
        <w:pStyle w:val="ListParagraph"/>
        <w:rPr>
          <w:rFonts w:ascii="Verdana" w:hAnsi="Verdana"/>
          <w:color w:val="000000" w:themeColor="text1"/>
          <w:sz w:val="20"/>
          <w:lang w:val="es-CR"/>
        </w:rPr>
      </w:pPr>
    </w:p>
    <w:p w14:paraId="7AE59E9B" w14:textId="752355F3" w:rsidR="00DE44ED" w:rsidRPr="006A0A3F" w:rsidRDefault="003C65C6" w:rsidP="00E9067F">
      <w:pPr>
        <w:pStyle w:val="ListParagraph"/>
        <w:numPr>
          <w:ilvl w:val="0"/>
          <w:numId w:val="4"/>
        </w:numPr>
        <w:ind w:left="0" w:firstLine="0"/>
        <w:jc w:val="both"/>
        <w:rPr>
          <w:rFonts w:ascii="Verdana" w:hAnsi="Verdana"/>
          <w:color w:val="000000" w:themeColor="text1"/>
          <w:spacing w:val="-4"/>
          <w:sz w:val="20"/>
          <w:lang w:val="es-CR"/>
        </w:rPr>
      </w:pPr>
      <w:r w:rsidRPr="006A0A3F">
        <w:rPr>
          <w:rFonts w:ascii="Verdana" w:hAnsi="Verdana"/>
          <w:color w:val="000000" w:themeColor="text1"/>
          <w:sz w:val="20"/>
          <w:lang w:val="es-CR"/>
        </w:rPr>
        <w:t>En segundo lugar</w:t>
      </w:r>
      <w:r w:rsidR="00264EE4" w:rsidRPr="006A0A3F">
        <w:rPr>
          <w:rFonts w:ascii="Verdana" w:hAnsi="Verdana"/>
          <w:color w:val="000000" w:themeColor="text1"/>
          <w:sz w:val="20"/>
          <w:lang w:val="es-CR"/>
        </w:rPr>
        <w:t xml:space="preserve">, </w:t>
      </w:r>
      <w:r w:rsidR="00DE44ED" w:rsidRPr="006A0A3F">
        <w:rPr>
          <w:rFonts w:ascii="Verdana" w:hAnsi="Verdana"/>
          <w:color w:val="000000" w:themeColor="text1"/>
          <w:sz w:val="20"/>
          <w:lang w:val="es-CR"/>
        </w:rPr>
        <w:t>de acuerdo con</w:t>
      </w:r>
      <w:r w:rsidR="00DE44ED" w:rsidRPr="006A0A3F">
        <w:rPr>
          <w:rFonts w:ascii="Verdana" w:eastAsia="Calibri" w:hAnsi="Verdana" w:cs="Verdana"/>
          <w:sz w:val="20"/>
          <w:lang w:val="es-CR" w:eastAsia="es-CR"/>
        </w:rPr>
        <w:t xml:space="preserve"> el artículo 41.3 de su </w:t>
      </w:r>
      <w:r w:rsidR="006B7AD9" w:rsidRPr="006A0A3F">
        <w:rPr>
          <w:rFonts w:ascii="Verdana" w:eastAsia="Calibri" w:hAnsi="Verdana" w:cs="Verdana"/>
          <w:sz w:val="20"/>
          <w:lang w:val="es-CR" w:eastAsia="es-CR"/>
        </w:rPr>
        <w:t>Reglamento</w:t>
      </w:r>
      <w:r w:rsidR="00DE44ED" w:rsidRPr="006A0A3F">
        <w:rPr>
          <w:rFonts w:ascii="Verdana" w:eastAsia="Calibri" w:hAnsi="Verdana" w:cs="Verdana"/>
          <w:sz w:val="20"/>
          <w:lang w:val="es-CR" w:eastAsia="es-CR"/>
        </w:rPr>
        <w:t>, “[l]a Corte podrá considerar aceptados aquellos hechos que no hayan sido expresamente negados y las pretensiones que no hayan sido controvertidas”. E</w:t>
      </w:r>
      <w:r w:rsidR="00264EE4" w:rsidRPr="006A0A3F">
        <w:rPr>
          <w:rFonts w:ascii="Verdana" w:eastAsia="Calibri" w:hAnsi="Verdana" w:cs="Verdana"/>
          <w:sz w:val="20"/>
          <w:lang w:val="es-CR" w:eastAsia="es-CR"/>
        </w:rPr>
        <w:t>l Estado controvirtió hechos y pretensiones</w:t>
      </w:r>
      <w:r w:rsidR="00DE44ED" w:rsidRPr="006A0A3F">
        <w:rPr>
          <w:rFonts w:ascii="Verdana" w:eastAsia="Calibri" w:hAnsi="Verdana" w:cs="Verdana"/>
          <w:sz w:val="20"/>
          <w:lang w:val="es-CR" w:eastAsia="es-CR"/>
        </w:rPr>
        <w:t xml:space="preserve"> en sus alegatos finales orales y escritos</w:t>
      </w:r>
      <w:r w:rsidRPr="006A0A3F">
        <w:rPr>
          <w:rFonts w:ascii="Verdana" w:eastAsia="Calibri" w:hAnsi="Verdana" w:cs="Verdana"/>
          <w:sz w:val="20"/>
          <w:lang w:val="es-CR" w:eastAsia="es-CR"/>
        </w:rPr>
        <w:t xml:space="preserve">. Sin embargo, </w:t>
      </w:r>
      <w:r w:rsidR="00264EE4" w:rsidRPr="006A0A3F">
        <w:rPr>
          <w:rFonts w:ascii="Verdana" w:hAnsi="Verdana"/>
          <w:color w:val="000000" w:themeColor="text1"/>
          <w:sz w:val="20"/>
          <w:lang w:val="es-CR"/>
        </w:rPr>
        <w:t xml:space="preserve">el Tribunal ha considerado que </w:t>
      </w:r>
      <w:r w:rsidRPr="006A0A3F">
        <w:rPr>
          <w:rFonts w:ascii="Verdana" w:hAnsi="Verdana"/>
          <w:color w:val="000000" w:themeColor="text1"/>
          <w:sz w:val="20"/>
          <w:lang w:val="es-CR"/>
        </w:rPr>
        <w:t xml:space="preserve">los alegatos finales </w:t>
      </w:r>
      <w:r w:rsidR="00264EE4" w:rsidRPr="006A0A3F">
        <w:rPr>
          <w:rFonts w:ascii="Verdana" w:hAnsi="Verdana"/>
          <w:color w:val="000000" w:themeColor="text1"/>
          <w:sz w:val="20"/>
          <w:lang w:val="es-CR"/>
        </w:rPr>
        <w:t>son esencialmente una oportunidad para sistematizar los argumentos de hecho y de derecho presentados oportunamente y no una etapa para presentar hechos</w:t>
      </w:r>
      <w:r w:rsidR="00B472ED" w:rsidRPr="006A0A3F">
        <w:rPr>
          <w:rFonts w:ascii="Verdana" w:hAnsi="Verdana"/>
          <w:color w:val="000000" w:themeColor="text1"/>
          <w:sz w:val="20"/>
          <w:lang w:val="es-CR"/>
        </w:rPr>
        <w:t>, prueba</w:t>
      </w:r>
      <w:r w:rsidR="00264EE4" w:rsidRPr="006A0A3F">
        <w:rPr>
          <w:rFonts w:ascii="Verdana" w:hAnsi="Verdana"/>
          <w:color w:val="000000" w:themeColor="text1"/>
          <w:sz w:val="20"/>
          <w:lang w:val="es-CR"/>
        </w:rPr>
        <w:t xml:space="preserve"> y/o argumentos de derecho adicionales, por cuanto no podrían ser respondidos por las otras partes</w:t>
      </w:r>
      <w:r w:rsidR="00264EE4" w:rsidRPr="006A0A3F">
        <w:rPr>
          <w:rStyle w:val="FootnoteReference"/>
          <w:rFonts w:ascii="Verdana" w:hAnsi="Verdana"/>
          <w:sz w:val="20"/>
          <w:lang w:val="es-CR"/>
        </w:rPr>
        <w:footnoteReference w:id="21"/>
      </w:r>
      <w:r w:rsidR="00264EE4" w:rsidRPr="006A0A3F">
        <w:rPr>
          <w:rFonts w:ascii="Verdana" w:hAnsi="Verdana"/>
          <w:color w:val="000000" w:themeColor="text1"/>
          <w:sz w:val="20"/>
          <w:lang w:val="es-CR"/>
        </w:rPr>
        <w:t xml:space="preserve">. </w:t>
      </w:r>
      <w:r w:rsidR="00360037" w:rsidRPr="006A0A3F">
        <w:rPr>
          <w:rFonts w:ascii="Verdana" w:hAnsi="Verdana"/>
          <w:color w:val="000000" w:themeColor="text1"/>
          <w:sz w:val="20"/>
          <w:lang w:val="es-CR"/>
        </w:rPr>
        <w:t>Es decir</w:t>
      </w:r>
      <w:r w:rsidR="00264EE4" w:rsidRPr="006A0A3F">
        <w:rPr>
          <w:rFonts w:ascii="Verdana" w:hAnsi="Verdana"/>
          <w:color w:val="000000" w:themeColor="text1"/>
          <w:sz w:val="20"/>
          <w:lang w:val="es-CR"/>
        </w:rPr>
        <w:t>, tales alegatos no pueden sustituir propiamente la falta de presentación del escrito inicial.</w:t>
      </w:r>
      <w:r w:rsidR="00DE44ED" w:rsidRPr="006A0A3F">
        <w:rPr>
          <w:rFonts w:ascii="Verdana" w:hAnsi="Verdana"/>
          <w:color w:val="000000" w:themeColor="text1"/>
          <w:sz w:val="20"/>
          <w:lang w:val="es-CR"/>
        </w:rPr>
        <w:t xml:space="preserve"> </w:t>
      </w:r>
      <w:r w:rsidR="00DE44ED" w:rsidRPr="006A0A3F">
        <w:rPr>
          <w:rFonts w:ascii="Verdana" w:eastAsia="Calibri" w:hAnsi="Verdana" w:cs="Verdana"/>
          <w:sz w:val="20"/>
          <w:lang w:val="es-CR" w:eastAsia="es-CR"/>
        </w:rPr>
        <w:t>A la vez, la falta de participación inicial de una parte</w:t>
      </w:r>
      <w:r w:rsidR="00264EE4" w:rsidRPr="006A0A3F">
        <w:rPr>
          <w:rFonts w:ascii="Verdana" w:eastAsia="Calibri" w:hAnsi="Verdana" w:cs="Verdana"/>
          <w:sz w:val="20"/>
          <w:lang w:val="es-CR" w:eastAsia="es-CR"/>
        </w:rPr>
        <w:t xml:space="preserve"> no significa necesariamente que la Corte deba tener por aceptados automáticamente los hechos en todos los casos en donde no existiere oposición de </w:t>
      </w:r>
      <w:r w:rsidR="00DE44ED" w:rsidRPr="006A0A3F">
        <w:rPr>
          <w:rFonts w:ascii="Verdana" w:eastAsia="Calibri" w:hAnsi="Verdana" w:cs="Verdana"/>
          <w:sz w:val="20"/>
          <w:lang w:val="es-CR" w:eastAsia="es-CR"/>
        </w:rPr>
        <w:t>esa</w:t>
      </w:r>
      <w:r w:rsidR="00264EE4" w:rsidRPr="006A0A3F">
        <w:rPr>
          <w:rFonts w:ascii="Verdana" w:eastAsia="Calibri" w:hAnsi="Verdana" w:cs="Verdana"/>
          <w:sz w:val="20"/>
          <w:lang w:val="es-CR" w:eastAsia="es-CR"/>
        </w:rPr>
        <w:t xml:space="preserve"> parte al respecto, </w:t>
      </w:r>
      <w:r w:rsidR="00775215" w:rsidRPr="006A0A3F">
        <w:rPr>
          <w:rFonts w:ascii="Verdana" w:eastAsia="Calibri" w:hAnsi="Verdana" w:cs="Verdana"/>
          <w:sz w:val="20"/>
          <w:lang w:val="es-CR" w:eastAsia="es-CR"/>
        </w:rPr>
        <w:t>pues puede ser necesario valorar</w:t>
      </w:r>
      <w:r w:rsidR="00264EE4" w:rsidRPr="006A0A3F">
        <w:rPr>
          <w:rFonts w:ascii="Verdana" w:eastAsia="Calibri" w:hAnsi="Verdana" w:cs="Verdana"/>
          <w:sz w:val="20"/>
          <w:lang w:val="es-CR" w:eastAsia="es-CR"/>
        </w:rPr>
        <w:t xml:space="preserve"> las circunstancias particulares del caso y el acervo probatorio existente</w:t>
      </w:r>
      <w:r w:rsidR="00DE44ED" w:rsidRPr="006A0A3F">
        <w:rPr>
          <w:rStyle w:val="FootnoteReference"/>
          <w:rFonts w:ascii="Verdana" w:eastAsia="Calibri" w:hAnsi="Verdana" w:cs="Verdana"/>
          <w:sz w:val="20"/>
          <w:lang w:val="es-CR" w:eastAsia="es-CR"/>
        </w:rPr>
        <w:footnoteReference w:id="22"/>
      </w:r>
      <w:r w:rsidR="00DE44ED" w:rsidRPr="006A0A3F">
        <w:rPr>
          <w:rFonts w:ascii="Verdana" w:eastAsia="Calibri" w:hAnsi="Verdana" w:cs="Verdana"/>
          <w:sz w:val="20"/>
          <w:lang w:val="es-CR" w:eastAsia="es-CR"/>
        </w:rPr>
        <w:t xml:space="preserve">. </w:t>
      </w:r>
    </w:p>
    <w:p w14:paraId="245B621E" w14:textId="77777777" w:rsidR="00DE44ED" w:rsidRPr="006A0A3F" w:rsidRDefault="00DE44ED" w:rsidP="00DE44ED">
      <w:pPr>
        <w:pStyle w:val="ListParagraph"/>
        <w:ind w:left="0"/>
        <w:jc w:val="both"/>
        <w:rPr>
          <w:rFonts w:ascii="Verdana" w:hAnsi="Verdana"/>
          <w:color w:val="000000" w:themeColor="text1"/>
          <w:spacing w:val="-4"/>
          <w:sz w:val="20"/>
          <w:lang w:val="es-CR"/>
        </w:rPr>
      </w:pPr>
    </w:p>
    <w:p w14:paraId="1F3F092A" w14:textId="3CFA60ED" w:rsidR="008429AC" w:rsidRPr="006A0A3F" w:rsidRDefault="00583CE3" w:rsidP="006419BD">
      <w:pPr>
        <w:pStyle w:val="ListParagraph"/>
        <w:numPr>
          <w:ilvl w:val="0"/>
          <w:numId w:val="4"/>
        </w:numPr>
        <w:ind w:left="0" w:firstLine="0"/>
        <w:jc w:val="both"/>
        <w:rPr>
          <w:rFonts w:ascii="Verdana" w:hAnsi="Verdana"/>
          <w:color w:val="000000" w:themeColor="text1"/>
          <w:spacing w:val="-4"/>
          <w:sz w:val="20"/>
          <w:lang w:val="es-CR"/>
        </w:rPr>
      </w:pPr>
      <w:r w:rsidRPr="006A0A3F">
        <w:rPr>
          <w:rFonts w:ascii="Verdana" w:hAnsi="Verdana"/>
          <w:sz w:val="20"/>
          <w:lang w:val="es-CR"/>
        </w:rPr>
        <w:t>E</w:t>
      </w:r>
      <w:r w:rsidR="00AA643B" w:rsidRPr="006A0A3F">
        <w:rPr>
          <w:rFonts w:ascii="Verdana" w:hAnsi="Verdana"/>
          <w:sz w:val="20"/>
          <w:lang w:val="es-CR"/>
        </w:rPr>
        <w:t xml:space="preserve">n el presente caso, </w:t>
      </w:r>
      <w:r w:rsidR="00DE44ED" w:rsidRPr="006A0A3F">
        <w:rPr>
          <w:rFonts w:ascii="Verdana" w:eastAsia="Calibri" w:hAnsi="Verdana" w:cs="Verdana"/>
          <w:sz w:val="20"/>
          <w:lang w:val="es-CR" w:eastAsia="es-CR"/>
        </w:rPr>
        <w:t>como en otros</w:t>
      </w:r>
      <w:r w:rsidR="00DE44ED" w:rsidRPr="006A0A3F">
        <w:rPr>
          <w:rStyle w:val="FootnoteReference"/>
          <w:rFonts w:ascii="Verdana" w:eastAsia="Calibri" w:hAnsi="Verdana" w:cs="Verdana"/>
          <w:sz w:val="20"/>
          <w:lang w:val="es-CR" w:eastAsia="es-CR"/>
        </w:rPr>
        <w:footnoteReference w:id="23"/>
      </w:r>
      <w:r w:rsidR="00DE44ED" w:rsidRPr="006A0A3F">
        <w:rPr>
          <w:rFonts w:ascii="Verdana" w:eastAsia="Calibri" w:hAnsi="Verdana" w:cs="Verdana"/>
          <w:sz w:val="20"/>
          <w:lang w:val="es-CR" w:eastAsia="es-CR"/>
        </w:rPr>
        <w:t>, el Tribunal valorará únicamente las controversias presentadas por el Estado sobre declarac</w:t>
      </w:r>
      <w:r w:rsidR="001C715C">
        <w:rPr>
          <w:rFonts w:ascii="Verdana" w:eastAsia="Calibri" w:hAnsi="Verdana" w:cs="Verdana"/>
          <w:sz w:val="20"/>
          <w:lang w:val="es-CR" w:eastAsia="es-CR"/>
        </w:rPr>
        <w:t>iones rendidas por a</w:t>
      </w:r>
      <w:r w:rsidR="00DE44ED" w:rsidRPr="006A0A3F">
        <w:rPr>
          <w:rFonts w:ascii="Verdana" w:eastAsia="Calibri" w:hAnsi="Verdana" w:cs="Verdana"/>
          <w:sz w:val="20"/>
          <w:lang w:val="es-CR" w:eastAsia="es-CR"/>
        </w:rPr>
        <w:t xml:space="preserve">fidávit y en la audiencia pública, los alegatos de derecho presentados durante la misma y los alegatos finales escritos relacionados con alegatos realizados en dicha audiencia, así como las respuestas y pruebas estrictamente relacionadas con las preguntas de los jueces durante la </w:t>
      </w:r>
      <w:r w:rsidR="00E9067F" w:rsidRPr="006A0A3F">
        <w:rPr>
          <w:rFonts w:ascii="Verdana" w:eastAsia="Calibri" w:hAnsi="Verdana" w:cs="Verdana"/>
          <w:sz w:val="20"/>
          <w:lang w:val="es-CR" w:eastAsia="es-CR"/>
        </w:rPr>
        <w:t>misma</w:t>
      </w:r>
      <w:r w:rsidR="00DE44ED" w:rsidRPr="006A0A3F">
        <w:rPr>
          <w:rFonts w:ascii="Verdana" w:eastAsia="Calibri" w:hAnsi="Verdana" w:cs="Verdana"/>
          <w:sz w:val="20"/>
          <w:lang w:val="es-CR" w:eastAsia="es-CR"/>
        </w:rPr>
        <w:t xml:space="preserve">. </w:t>
      </w:r>
      <w:r w:rsidR="00DE44ED" w:rsidRPr="006A0A3F">
        <w:rPr>
          <w:rFonts w:ascii="Verdana" w:hAnsi="Verdana"/>
          <w:sz w:val="20"/>
          <w:lang w:val="es-CR"/>
        </w:rPr>
        <w:t>Así, c</w:t>
      </w:r>
      <w:r w:rsidR="00775215" w:rsidRPr="006A0A3F">
        <w:rPr>
          <w:rFonts w:ascii="Verdana" w:hAnsi="Verdana"/>
          <w:sz w:val="20"/>
          <w:lang w:val="es-CR"/>
        </w:rPr>
        <w:t xml:space="preserve">onforme </w:t>
      </w:r>
      <w:r w:rsidR="0016169D" w:rsidRPr="006A0A3F">
        <w:rPr>
          <w:rFonts w:ascii="Verdana" w:hAnsi="Verdana"/>
          <w:sz w:val="20"/>
          <w:lang w:val="es-CR"/>
        </w:rPr>
        <w:t xml:space="preserve">a </w:t>
      </w:r>
      <w:r w:rsidR="00775215" w:rsidRPr="006A0A3F">
        <w:rPr>
          <w:rFonts w:ascii="Verdana" w:hAnsi="Verdana"/>
          <w:sz w:val="20"/>
          <w:lang w:val="es-CR"/>
        </w:rPr>
        <w:t>las normas reglamentarias aplicables</w:t>
      </w:r>
      <w:r w:rsidR="00792836" w:rsidRPr="006A0A3F">
        <w:rPr>
          <w:rFonts w:ascii="Verdana" w:hAnsi="Verdana"/>
          <w:sz w:val="20"/>
          <w:lang w:val="es-CR"/>
        </w:rPr>
        <w:t>,</w:t>
      </w:r>
      <w:r w:rsidR="00AA643B" w:rsidRPr="006A0A3F">
        <w:rPr>
          <w:rFonts w:ascii="Verdana" w:hAnsi="Verdana"/>
          <w:sz w:val="20"/>
          <w:lang w:val="es-CR"/>
        </w:rPr>
        <w:t xml:space="preserve"> </w:t>
      </w:r>
      <w:r w:rsidR="00775215" w:rsidRPr="006A0A3F">
        <w:rPr>
          <w:rFonts w:ascii="Verdana" w:hAnsi="Verdana"/>
          <w:sz w:val="20"/>
          <w:lang w:val="es-CR"/>
        </w:rPr>
        <w:t>al dictar sentencia l</w:t>
      </w:r>
      <w:r w:rsidR="00AA643B" w:rsidRPr="006A0A3F">
        <w:rPr>
          <w:rFonts w:ascii="Verdana" w:hAnsi="Verdana"/>
          <w:sz w:val="20"/>
          <w:lang w:val="es-CR"/>
        </w:rPr>
        <w:t xml:space="preserve">a Corte </w:t>
      </w:r>
      <w:r w:rsidR="003C65C6" w:rsidRPr="006A0A3F">
        <w:rPr>
          <w:rFonts w:ascii="Verdana" w:hAnsi="Verdana"/>
          <w:sz w:val="20"/>
          <w:lang w:val="es-CR"/>
        </w:rPr>
        <w:t>determinará</w:t>
      </w:r>
      <w:r w:rsidR="00792836" w:rsidRPr="006A0A3F">
        <w:rPr>
          <w:rFonts w:ascii="Verdana" w:hAnsi="Verdana"/>
          <w:sz w:val="20"/>
          <w:lang w:val="es-CR"/>
        </w:rPr>
        <w:t xml:space="preserve"> </w:t>
      </w:r>
      <w:r w:rsidR="00513196" w:rsidRPr="006A0A3F">
        <w:rPr>
          <w:rFonts w:ascii="Verdana" w:hAnsi="Verdana"/>
          <w:sz w:val="20"/>
          <w:lang w:val="es-CR"/>
        </w:rPr>
        <w:t>los hechos probados</w:t>
      </w:r>
      <w:r w:rsidR="003C65C6" w:rsidRPr="006A0A3F">
        <w:rPr>
          <w:rStyle w:val="FootnoteReference"/>
          <w:rFonts w:ascii="Verdana" w:hAnsi="Verdana"/>
          <w:sz w:val="20"/>
          <w:lang w:val="es-CR"/>
        </w:rPr>
        <w:footnoteReference w:id="24"/>
      </w:r>
      <w:r w:rsidR="003C65C6" w:rsidRPr="006A0A3F">
        <w:rPr>
          <w:rFonts w:ascii="Verdana" w:hAnsi="Verdana"/>
          <w:sz w:val="20"/>
          <w:lang w:val="es-CR"/>
        </w:rPr>
        <w:t xml:space="preserve">, </w:t>
      </w:r>
      <w:r w:rsidR="00775215" w:rsidRPr="006A0A3F">
        <w:rPr>
          <w:rFonts w:ascii="Verdana" w:hAnsi="Verdana"/>
          <w:sz w:val="20"/>
          <w:lang w:val="es-CR"/>
        </w:rPr>
        <w:t>conforme a</w:t>
      </w:r>
      <w:r w:rsidR="00977842" w:rsidRPr="006A0A3F">
        <w:rPr>
          <w:rFonts w:ascii="Verdana" w:hAnsi="Verdana"/>
          <w:sz w:val="20"/>
          <w:lang w:val="es-CR"/>
        </w:rPr>
        <w:t xml:space="preserve">l marco fáctico del </w:t>
      </w:r>
      <w:r w:rsidR="00AD17EC">
        <w:rPr>
          <w:rFonts w:ascii="Verdana" w:hAnsi="Verdana"/>
          <w:sz w:val="20"/>
          <w:lang w:val="es-CR"/>
        </w:rPr>
        <w:t>caso</w:t>
      </w:r>
      <w:r w:rsidR="003C65C6" w:rsidRPr="006A0A3F">
        <w:rPr>
          <w:rFonts w:ascii="Verdana" w:hAnsi="Verdana"/>
          <w:sz w:val="20"/>
          <w:lang w:val="es-CR"/>
        </w:rPr>
        <w:t>,</w:t>
      </w:r>
      <w:r w:rsidR="00977842" w:rsidRPr="006A0A3F">
        <w:rPr>
          <w:rFonts w:ascii="Verdana" w:hAnsi="Verdana"/>
          <w:sz w:val="20"/>
          <w:lang w:val="es-CR"/>
        </w:rPr>
        <w:t xml:space="preserve"> </w:t>
      </w:r>
      <w:r w:rsidR="00513196" w:rsidRPr="006A0A3F">
        <w:rPr>
          <w:rFonts w:ascii="Verdana" w:hAnsi="Verdana"/>
          <w:sz w:val="20"/>
          <w:lang w:val="es-CR"/>
        </w:rPr>
        <w:t xml:space="preserve">tomando en cuenta, además del silencio del Estado, </w:t>
      </w:r>
      <w:r w:rsidR="00775215" w:rsidRPr="006A0A3F">
        <w:rPr>
          <w:rFonts w:ascii="Verdana" w:hAnsi="Verdana"/>
          <w:sz w:val="20"/>
          <w:lang w:val="es-CR"/>
        </w:rPr>
        <w:t>los</w:t>
      </w:r>
      <w:r w:rsidR="00513196" w:rsidRPr="006A0A3F">
        <w:rPr>
          <w:rFonts w:ascii="Verdana" w:hAnsi="Verdana"/>
          <w:sz w:val="20"/>
          <w:lang w:val="es-CR"/>
        </w:rPr>
        <w:t xml:space="preserve"> elementos</w:t>
      </w:r>
      <w:r w:rsidR="00775215" w:rsidRPr="006A0A3F">
        <w:rPr>
          <w:rFonts w:ascii="Verdana" w:hAnsi="Verdana"/>
          <w:sz w:val="20"/>
          <w:lang w:val="es-CR"/>
        </w:rPr>
        <w:t xml:space="preserve"> aportados</w:t>
      </w:r>
      <w:r w:rsidR="00513196" w:rsidRPr="006A0A3F">
        <w:rPr>
          <w:rFonts w:ascii="Verdana" w:hAnsi="Verdana"/>
          <w:sz w:val="20"/>
          <w:lang w:val="es-CR"/>
        </w:rPr>
        <w:t xml:space="preserve"> que le permitan establecer la verdad de los </w:t>
      </w:r>
      <w:r w:rsidR="00792836" w:rsidRPr="006A0A3F">
        <w:rPr>
          <w:rFonts w:ascii="Verdana" w:hAnsi="Verdana"/>
          <w:sz w:val="20"/>
          <w:lang w:val="es-CR"/>
        </w:rPr>
        <w:t>mismos</w:t>
      </w:r>
      <w:r w:rsidR="00360037" w:rsidRPr="006A0A3F">
        <w:rPr>
          <w:rFonts w:ascii="Verdana" w:hAnsi="Verdana"/>
          <w:sz w:val="20"/>
          <w:lang w:val="es-CR"/>
        </w:rPr>
        <w:t>,</w:t>
      </w:r>
      <w:r w:rsidR="00513196" w:rsidRPr="006A0A3F">
        <w:rPr>
          <w:rFonts w:ascii="Verdana" w:hAnsi="Verdana"/>
          <w:sz w:val="20"/>
          <w:lang w:val="es-CR"/>
        </w:rPr>
        <w:t xml:space="preserve"> </w:t>
      </w:r>
      <w:r w:rsidR="00360037" w:rsidRPr="006A0A3F">
        <w:rPr>
          <w:rFonts w:ascii="Verdana" w:hAnsi="Verdana"/>
          <w:sz w:val="20"/>
          <w:lang w:val="es-CR"/>
        </w:rPr>
        <w:t xml:space="preserve">especialmente los no controvertidos expresamente, </w:t>
      </w:r>
      <w:r w:rsidR="00513196" w:rsidRPr="006A0A3F">
        <w:rPr>
          <w:rFonts w:ascii="Verdana" w:hAnsi="Verdana"/>
          <w:sz w:val="20"/>
          <w:lang w:val="es-CR"/>
        </w:rPr>
        <w:t xml:space="preserve">y su valoración jurídica, </w:t>
      </w:r>
      <w:r w:rsidR="00360037" w:rsidRPr="006A0A3F">
        <w:rPr>
          <w:rFonts w:ascii="Verdana" w:hAnsi="Verdana"/>
          <w:sz w:val="20"/>
          <w:lang w:val="es-CR"/>
        </w:rPr>
        <w:t>con</w:t>
      </w:r>
      <w:r w:rsidR="00AA643B" w:rsidRPr="006A0A3F">
        <w:rPr>
          <w:rFonts w:ascii="Verdana" w:hAnsi="Verdana"/>
          <w:sz w:val="20"/>
          <w:lang w:val="es-CR"/>
        </w:rPr>
        <w:t xml:space="preserve"> los fundamentos de derecho</w:t>
      </w:r>
      <w:r w:rsidR="00AA643B" w:rsidRPr="006A0A3F">
        <w:rPr>
          <w:rStyle w:val="FootnoteReference"/>
          <w:rFonts w:ascii="Verdana" w:hAnsi="Verdana"/>
          <w:sz w:val="20"/>
          <w:lang w:val="es-CR"/>
        </w:rPr>
        <w:footnoteReference w:id="25"/>
      </w:r>
      <w:r w:rsidR="00687C60" w:rsidRPr="006A0A3F">
        <w:rPr>
          <w:rFonts w:ascii="Verdana" w:hAnsi="Verdana"/>
          <w:sz w:val="20"/>
          <w:lang w:val="es-CR"/>
        </w:rPr>
        <w:t xml:space="preserve"> y</w:t>
      </w:r>
      <w:r w:rsidR="00AA643B" w:rsidRPr="006A0A3F">
        <w:rPr>
          <w:rFonts w:ascii="Verdana" w:hAnsi="Verdana"/>
          <w:sz w:val="20"/>
          <w:lang w:val="es-CR"/>
        </w:rPr>
        <w:t xml:space="preserve"> </w:t>
      </w:r>
      <w:r w:rsidR="00C92129" w:rsidRPr="006A0A3F">
        <w:rPr>
          <w:rFonts w:ascii="Verdana" w:hAnsi="Verdana"/>
          <w:sz w:val="20"/>
          <w:lang w:val="es-CR"/>
        </w:rPr>
        <w:t>aplicando, para ese fin, los preceptos de derecho convencional y de derecho internacional general pertinentes</w:t>
      </w:r>
      <w:r w:rsidR="00C92129" w:rsidRPr="006A0A3F">
        <w:rPr>
          <w:rStyle w:val="FootnoteReference"/>
          <w:rFonts w:ascii="Verdana" w:hAnsi="Verdana"/>
          <w:sz w:val="20"/>
          <w:lang w:val="es-CR"/>
        </w:rPr>
        <w:footnoteReference w:id="26"/>
      </w:r>
      <w:r w:rsidR="00C92129" w:rsidRPr="006A0A3F">
        <w:rPr>
          <w:rFonts w:ascii="Verdana" w:hAnsi="Verdana"/>
          <w:sz w:val="20"/>
          <w:lang w:val="es-CR"/>
        </w:rPr>
        <w:t>.</w:t>
      </w:r>
    </w:p>
    <w:p w14:paraId="06185F20" w14:textId="77777777" w:rsidR="00360037" w:rsidRDefault="00360037" w:rsidP="00632001">
      <w:pPr>
        <w:spacing w:after="120"/>
        <w:ind w:right="159"/>
        <w:jc w:val="both"/>
        <w:rPr>
          <w:rFonts w:ascii="Verdana" w:hAnsi="Verdana" w:cs="Arial"/>
          <w:color w:val="000000" w:themeColor="text1"/>
          <w:sz w:val="18"/>
          <w:szCs w:val="18"/>
        </w:rPr>
      </w:pPr>
    </w:p>
    <w:p w14:paraId="0D496B0D" w14:textId="77777777" w:rsidR="00925197" w:rsidRPr="006A0A3F" w:rsidRDefault="00925197" w:rsidP="00632001">
      <w:pPr>
        <w:spacing w:after="120"/>
        <w:ind w:right="159"/>
        <w:jc w:val="both"/>
        <w:rPr>
          <w:rFonts w:ascii="Verdana" w:hAnsi="Verdana" w:cs="Arial"/>
          <w:color w:val="000000" w:themeColor="text1"/>
          <w:sz w:val="18"/>
          <w:szCs w:val="18"/>
        </w:rPr>
      </w:pPr>
    </w:p>
    <w:p w14:paraId="4FC7AEDA" w14:textId="17393576" w:rsidR="00695518" w:rsidRPr="006A0A3F" w:rsidRDefault="00695518" w:rsidP="00DB4A9D">
      <w:pPr>
        <w:pStyle w:val="ListParagraph"/>
        <w:numPr>
          <w:ilvl w:val="0"/>
          <w:numId w:val="23"/>
        </w:numPr>
        <w:jc w:val="both"/>
        <w:rPr>
          <w:rFonts w:ascii="Verdana" w:hAnsi="Verdana"/>
          <w:b/>
          <w:i/>
          <w:sz w:val="20"/>
          <w:lang w:val="es-CR"/>
        </w:rPr>
      </w:pPr>
      <w:r w:rsidRPr="006A0A3F">
        <w:rPr>
          <w:rFonts w:ascii="Verdana" w:hAnsi="Verdana"/>
          <w:b/>
          <w:i/>
          <w:sz w:val="20"/>
          <w:lang w:val="es-CR"/>
        </w:rPr>
        <w:lastRenderedPageBreak/>
        <w:t>Marco fáctico del caso</w:t>
      </w:r>
      <w:r w:rsidR="00977842" w:rsidRPr="006A0A3F">
        <w:rPr>
          <w:rFonts w:ascii="Verdana" w:hAnsi="Verdana"/>
          <w:b/>
          <w:i/>
          <w:sz w:val="20"/>
          <w:lang w:val="es-CR"/>
        </w:rPr>
        <w:t xml:space="preserve"> y otras solicitudes del representante </w:t>
      </w:r>
    </w:p>
    <w:p w14:paraId="22B07EBF" w14:textId="77777777" w:rsidR="007B47AA" w:rsidRPr="006A0A3F" w:rsidRDefault="007B47AA" w:rsidP="007B47AA">
      <w:pPr>
        <w:pStyle w:val="ListParagraph"/>
        <w:ind w:left="0"/>
        <w:jc w:val="both"/>
        <w:rPr>
          <w:rFonts w:ascii="Verdana" w:hAnsi="Verdana"/>
          <w:sz w:val="20"/>
          <w:lang w:val="es-CR"/>
        </w:rPr>
      </w:pPr>
    </w:p>
    <w:p w14:paraId="3304B742" w14:textId="71E290FD" w:rsidR="00E9067F" w:rsidRPr="006A0A3F" w:rsidRDefault="00E9067F" w:rsidP="00E9067F">
      <w:pPr>
        <w:pStyle w:val="ListParagraph"/>
        <w:numPr>
          <w:ilvl w:val="0"/>
          <w:numId w:val="4"/>
        </w:numPr>
        <w:ind w:left="0" w:firstLine="0"/>
        <w:jc w:val="both"/>
        <w:rPr>
          <w:rFonts w:ascii="Verdana" w:hAnsi="Verdana" w:cs="Verdana"/>
          <w:spacing w:val="-2"/>
          <w:sz w:val="20"/>
          <w:lang w:val="es-CR"/>
        </w:rPr>
      </w:pPr>
      <w:r w:rsidRPr="006A0A3F">
        <w:rPr>
          <w:rFonts w:ascii="Verdana" w:hAnsi="Verdana"/>
          <w:sz w:val="20"/>
          <w:lang w:val="es-CR"/>
        </w:rPr>
        <w:t>El marco fáctico del proceso ante la Corte se encuentra constituido por los hechos contenidos en el informe de fondo sometido a su consideración. En consecuencia, no es admisible que las partes aleguen nuevos hechos</w:t>
      </w:r>
      <w:r w:rsidR="00B472ED" w:rsidRPr="006A0A3F">
        <w:rPr>
          <w:rFonts w:ascii="Verdana" w:hAnsi="Verdana"/>
          <w:sz w:val="20"/>
          <w:lang w:val="es-CR"/>
        </w:rPr>
        <w:t>,</w:t>
      </w:r>
      <w:r w:rsidRPr="006A0A3F">
        <w:rPr>
          <w:rFonts w:ascii="Verdana" w:hAnsi="Verdana"/>
          <w:sz w:val="20"/>
          <w:lang w:val="es-CR"/>
        </w:rPr>
        <w:t xml:space="preserve"> distintos de los contenidos en dicho informe, sin perjuicio de exponer aquellos complementarios que permitan explicar, aclarar o desestimar los que hayan sido mencionados en el mismo</w:t>
      </w:r>
      <w:r w:rsidRPr="006A0A3F">
        <w:rPr>
          <w:rFonts w:ascii="Verdana" w:hAnsi="Verdana"/>
          <w:spacing w:val="-2"/>
          <w:sz w:val="20"/>
          <w:lang w:val="es-CR" w:eastAsia="es-CR"/>
        </w:rPr>
        <w:t xml:space="preserve">. </w:t>
      </w:r>
      <w:r w:rsidRPr="006A0A3F">
        <w:rPr>
          <w:rFonts w:ascii="Verdana" w:hAnsi="Verdana" w:cs="Arial"/>
          <w:sz w:val="20"/>
          <w:lang w:val="es-CR"/>
        </w:rPr>
        <w:t>La excepción a este principio son los hechos que se califican como supervinientes o cuando se tenga conocimiento de esos hechos o acceso a las pruebas sobre los mismos con posterioridad, siempre que se encuentren ligados a los hechos del proceso</w:t>
      </w:r>
      <w:r w:rsidRPr="006A0A3F">
        <w:rPr>
          <w:rFonts w:ascii="Verdana" w:hAnsi="Verdana"/>
          <w:spacing w:val="-2"/>
          <w:sz w:val="20"/>
          <w:vertAlign w:val="superscript"/>
          <w:lang w:val="es-CR" w:eastAsia="es-CR"/>
        </w:rPr>
        <w:footnoteReference w:id="27"/>
      </w:r>
      <w:r w:rsidRPr="006A0A3F">
        <w:rPr>
          <w:rFonts w:ascii="Verdana" w:hAnsi="Verdana" w:cs="Arial"/>
          <w:sz w:val="20"/>
          <w:lang w:val="es-CR"/>
        </w:rPr>
        <w:t>. En definitiva, corresponde a la Corte decidir en cada caso acerca de la procedencia de alegatos relativos al marco fáctico en resguardo del equilibrio procesal de las partes</w:t>
      </w:r>
      <w:r w:rsidRPr="006A0A3F">
        <w:rPr>
          <w:rFonts w:ascii="Verdana" w:hAnsi="Verdana" w:cs="Verdana"/>
          <w:spacing w:val="-2"/>
          <w:sz w:val="20"/>
          <w:vertAlign w:val="superscript"/>
          <w:lang w:val="es-CR"/>
        </w:rPr>
        <w:footnoteReference w:id="28"/>
      </w:r>
      <w:r w:rsidRPr="006A0A3F">
        <w:rPr>
          <w:rFonts w:ascii="Verdana" w:hAnsi="Verdana" w:cs="Verdana"/>
          <w:spacing w:val="-2"/>
          <w:sz w:val="20"/>
          <w:lang w:val="es-CR"/>
        </w:rPr>
        <w:t>.</w:t>
      </w:r>
    </w:p>
    <w:p w14:paraId="34FFF95D" w14:textId="77777777" w:rsidR="00E9067F" w:rsidRPr="006A0A3F" w:rsidRDefault="00E9067F" w:rsidP="00E9067F">
      <w:pPr>
        <w:pStyle w:val="ListParagraph"/>
        <w:ind w:left="0"/>
        <w:jc w:val="both"/>
        <w:rPr>
          <w:rFonts w:ascii="Verdana" w:hAnsi="Verdana"/>
          <w:sz w:val="20"/>
          <w:lang w:val="es-CR"/>
        </w:rPr>
      </w:pPr>
    </w:p>
    <w:p w14:paraId="392B876F" w14:textId="32EE7225" w:rsidR="00977842" w:rsidRPr="006A0A3F" w:rsidRDefault="00695518" w:rsidP="007B47AA">
      <w:pPr>
        <w:pStyle w:val="ListParagraph"/>
        <w:numPr>
          <w:ilvl w:val="0"/>
          <w:numId w:val="4"/>
        </w:numPr>
        <w:ind w:left="0" w:firstLine="0"/>
        <w:jc w:val="both"/>
        <w:rPr>
          <w:rFonts w:ascii="Verdana" w:hAnsi="Verdana"/>
          <w:sz w:val="20"/>
          <w:lang w:val="es-CR"/>
        </w:rPr>
      </w:pPr>
      <w:r w:rsidRPr="006A0A3F">
        <w:rPr>
          <w:rFonts w:ascii="Verdana" w:hAnsi="Verdana"/>
          <w:sz w:val="20"/>
          <w:lang w:val="es-CR"/>
        </w:rPr>
        <w:t>E</w:t>
      </w:r>
      <w:r w:rsidR="00BE0120" w:rsidRPr="006A0A3F">
        <w:rPr>
          <w:rFonts w:ascii="Verdana" w:hAnsi="Verdana"/>
          <w:sz w:val="20"/>
          <w:lang w:val="es-CR"/>
        </w:rPr>
        <w:t xml:space="preserve">n su </w:t>
      </w:r>
      <w:r w:rsidR="007B47AA" w:rsidRPr="006A0A3F">
        <w:rPr>
          <w:rFonts w:ascii="Verdana" w:hAnsi="Verdana"/>
          <w:sz w:val="20"/>
          <w:lang w:val="es-CR"/>
        </w:rPr>
        <w:t>escrito de solicitudes y argumentos</w:t>
      </w:r>
      <w:r w:rsidR="00BE0120" w:rsidRPr="006A0A3F">
        <w:rPr>
          <w:rFonts w:ascii="Verdana" w:hAnsi="Verdana"/>
          <w:sz w:val="20"/>
          <w:lang w:val="es-CR"/>
        </w:rPr>
        <w:t>, e</w:t>
      </w:r>
      <w:r w:rsidRPr="006A0A3F">
        <w:rPr>
          <w:rFonts w:ascii="Verdana" w:hAnsi="Verdana"/>
          <w:sz w:val="20"/>
          <w:lang w:val="es-CR"/>
        </w:rPr>
        <w:t xml:space="preserve">l representante </w:t>
      </w:r>
      <w:r w:rsidR="007B47AA" w:rsidRPr="006A0A3F">
        <w:rPr>
          <w:rFonts w:ascii="Verdana" w:hAnsi="Verdana"/>
          <w:color w:val="000000" w:themeColor="text1"/>
          <w:sz w:val="20"/>
          <w:lang w:val="es-CR"/>
        </w:rPr>
        <w:t>describió el contexto del caso con mayor amplitud que la Comisión, es decir, refirió</w:t>
      </w:r>
      <w:r w:rsidR="007B47AA" w:rsidRPr="006A0A3F">
        <w:rPr>
          <w:rFonts w:ascii="Verdana" w:hAnsi="Verdana"/>
          <w:sz w:val="20"/>
          <w:lang w:val="es-CR"/>
        </w:rPr>
        <w:t xml:space="preserve"> </w:t>
      </w:r>
      <w:r w:rsidRPr="006A0A3F">
        <w:rPr>
          <w:rFonts w:ascii="Verdana" w:hAnsi="Verdana"/>
          <w:sz w:val="20"/>
          <w:lang w:val="es-CR"/>
        </w:rPr>
        <w:t xml:space="preserve">antecedentes </w:t>
      </w:r>
      <w:r w:rsidR="007B47AA" w:rsidRPr="006A0A3F">
        <w:rPr>
          <w:rFonts w:ascii="Verdana" w:hAnsi="Verdana"/>
          <w:sz w:val="20"/>
          <w:lang w:val="es-CR"/>
        </w:rPr>
        <w:t xml:space="preserve">de hecho </w:t>
      </w:r>
      <w:r w:rsidRPr="006A0A3F">
        <w:rPr>
          <w:rFonts w:ascii="Verdana" w:hAnsi="Verdana"/>
          <w:sz w:val="20"/>
          <w:lang w:val="es-CR"/>
        </w:rPr>
        <w:t xml:space="preserve">que no están propiamente contenidos en el Informe de la Comisión, ya sea para </w:t>
      </w:r>
      <w:r w:rsidR="006E085D" w:rsidRPr="006A0A3F">
        <w:rPr>
          <w:rFonts w:ascii="Verdana" w:hAnsi="Verdana"/>
          <w:sz w:val="20"/>
          <w:lang w:val="es-CR"/>
        </w:rPr>
        <w:t>presentar un</w:t>
      </w:r>
      <w:r w:rsidRPr="006A0A3F">
        <w:rPr>
          <w:rFonts w:ascii="Verdana" w:hAnsi="Verdana"/>
          <w:sz w:val="20"/>
          <w:lang w:val="es-CR"/>
        </w:rPr>
        <w:t xml:space="preserve"> contexto </w:t>
      </w:r>
      <w:r w:rsidR="006E085D" w:rsidRPr="006A0A3F">
        <w:rPr>
          <w:rFonts w:ascii="Verdana" w:hAnsi="Verdana"/>
          <w:sz w:val="20"/>
          <w:lang w:val="es-CR"/>
        </w:rPr>
        <w:t xml:space="preserve">más amplio </w:t>
      </w:r>
      <w:r w:rsidRPr="006A0A3F">
        <w:rPr>
          <w:rFonts w:ascii="Verdana" w:hAnsi="Verdana"/>
          <w:sz w:val="20"/>
          <w:lang w:val="es-CR"/>
        </w:rPr>
        <w:t xml:space="preserve">en que </w:t>
      </w:r>
      <w:r w:rsidR="006E085D" w:rsidRPr="006A0A3F">
        <w:rPr>
          <w:rFonts w:ascii="Verdana" w:hAnsi="Verdana"/>
          <w:sz w:val="20"/>
          <w:lang w:val="es-CR"/>
        </w:rPr>
        <w:t xml:space="preserve">alega se produjeron </w:t>
      </w:r>
      <w:r w:rsidRPr="006A0A3F">
        <w:rPr>
          <w:rFonts w:ascii="Verdana" w:hAnsi="Verdana"/>
          <w:sz w:val="20"/>
          <w:lang w:val="es-CR"/>
        </w:rPr>
        <w:t>los hechos</w:t>
      </w:r>
      <w:r w:rsidR="006E085D" w:rsidRPr="006A0A3F">
        <w:rPr>
          <w:rFonts w:ascii="Verdana" w:hAnsi="Verdana"/>
          <w:sz w:val="20"/>
          <w:lang w:val="es-CR"/>
        </w:rPr>
        <w:t>;</w:t>
      </w:r>
      <w:r w:rsidRPr="006A0A3F">
        <w:rPr>
          <w:rFonts w:ascii="Verdana" w:hAnsi="Verdana"/>
          <w:sz w:val="20"/>
          <w:lang w:val="es-CR"/>
        </w:rPr>
        <w:t xml:space="preserve"> para efectos de la valoración de la prueba sobre esos hechos</w:t>
      </w:r>
      <w:r w:rsidR="006E085D" w:rsidRPr="006A0A3F">
        <w:rPr>
          <w:rFonts w:ascii="Verdana" w:hAnsi="Verdana"/>
          <w:sz w:val="20"/>
          <w:lang w:val="es-CR"/>
        </w:rPr>
        <w:t>;</w:t>
      </w:r>
      <w:r w:rsidRPr="006A0A3F">
        <w:rPr>
          <w:rFonts w:ascii="Verdana" w:hAnsi="Verdana"/>
          <w:sz w:val="20"/>
          <w:lang w:val="es-CR"/>
        </w:rPr>
        <w:t xml:space="preserve"> o para </w:t>
      </w:r>
      <w:r w:rsidR="007B47AA" w:rsidRPr="006A0A3F">
        <w:rPr>
          <w:rFonts w:ascii="Verdana" w:hAnsi="Verdana"/>
          <w:sz w:val="20"/>
          <w:lang w:val="es-CR"/>
        </w:rPr>
        <w:t xml:space="preserve">pretender que se considere </w:t>
      </w:r>
      <w:r w:rsidRPr="006A0A3F">
        <w:rPr>
          <w:rFonts w:ascii="Verdana" w:hAnsi="Verdana"/>
          <w:sz w:val="20"/>
          <w:lang w:val="es-CR"/>
        </w:rPr>
        <w:t>un alegado patrón de conducta de las autoridades que considera responsables</w:t>
      </w:r>
      <w:r w:rsidR="007B47AA" w:rsidRPr="006A0A3F">
        <w:rPr>
          <w:rStyle w:val="FootnoteReference"/>
          <w:rFonts w:ascii="Verdana" w:hAnsi="Verdana"/>
          <w:sz w:val="20"/>
          <w:lang w:val="es-CR"/>
        </w:rPr>
        <w:footnoteReference w:id="29"/>
      </w:r>
      <w:r w:rsidRPr="006A0A3F">
        <w:rPr>
          <w:rFonts w:ascii="Verdana" w:hAnsi="Verdana"/>
          <w:sz w:val="20"/>
          <w:lang w:val="es-CR"/>
        </w:rPr>
        <w:t>.</w:t>
      </w:r>
      <w:r w:rsidR="007B47AA" w:rsidRPr="006A0A3F">
        <w:rPr>
          <w:rFonts w:ascii="Verdana" w:hAnsi="Verdana"/>
          <w:sz w:val="20"/>
          <w:lang w:val="es-CR"/>
        </w:rPr>
        <w:t xml:space="preserve"> </w:t>
      </w:r>
      <w:r w:rsidR="00977842" w:rsidRPr="006A0A3F">
        <w:rPr>
          <w:rFonts w:ascii="Verdana" w:hAnsi="Verdana"/>
          <w:color w:val="000000" w:themeColor="text1"/>
          <w:sz w:val="20"/>
          <w:lang w:val="es-CR"/>
        </w:rPr>
        <w:t xml:space="preserve">Por otro lado, </w:t>
      </w:r>
      <w:r w:rsidR="00977842" w:rsidRPr="006A0A3F">
        <w:rPr>
          <w:rFonts w:ascii="Verdana" w:eastAsia="Calibri" w:hAnsi="Verdana" w:cs="Verdana Bold"/>
          <w:bCs/>
          <w:sz w:val="20"/>
          <w:lang w:val="es-CR"/>
        </w:rPr>
        <w:t xml:space="preserve">en sus alegatos finales orales y escritos, el representante solicitó a la Corte que declare violaciones de </w:t>
      </w:r>
      <w:r w:rsidR="00BD6723" w:rsidRPr="006A0A3F">
        <w:rPr>
          <w:rFonts w:ascii="Verdana" w:eastAsia="Calibri" w:hAnsi="Verdana" w:cs="Verdana Bold"/>
          <w:bCs/>
          <w:sz w:val="20"/>
          <w:lang w:val="es-CR"/>
        </w:rPr>
        <w:t>derechos</w:t>
      </w:r>
      <w:r w:rsidR="00977842" w:rsidRPr="006A0A3F">
        <w:rPr>
          <w:rStyle w:val="FootnoteReference"/>
          <w:rFonts w:ascii="Verdana" w:eastAsia="Calibri" w:hAnsi="Verdana" w:cs="Verdana Bold"/>
          <w:bCs/>
          <w:sz w:val="20"/>
          <w:lang w:val="es-CR"/>
        </w:rPr>
        <w:footnoteReference w:id="30"/>
      </w:r>
      <w:r w:rsidR="00977842" w:rsidRPr="006A0A3F">
        <w:rPr>
          <w:rFonts w:ascii="Verdana" w:eastAsia="Calibri" w:hAnsi="Verdana" w:cs="Verdana Bold"/>
          <w:bCs/>
          <w:sz w:val="20"/>
          <w:lang w:val="es-CR"/>
        </w:rPr>
        <w:t xml:space="preserve"> y que ordene solicitudes de reparaciones</w:t>
      </w:r>
      <w:r w:rsidR="00977842" w:rsidRPr="006A0A3F">
        <w:rPr>
          <w:rStyle w:val="FootnoteReference"/>
          <w:rFonts w:ascii="Verdana" w:eastAsia="Calibri" w:hAnsi="Verdana" w:cs="Verdana Bold"/>
          <w:bCs/>
          <w:sz w:val="20"/>
          <w:lang w:val="es-CR"/>
        </w:rPr>
        <w:footnoteReference w:id="31"/>
      </w:r>
      <w:r w:rsidR="00977842" w:rsidRPr="006A0A3F">
        <w:rPr>
          <w:rFonts w:ascii="Verdana" w:eastAsia="Calibri" w:hAnsi="Verdana" w:cs="Verdana Bold"/>
          <w:bCs/>
          <w:sz w:val="20"/>
          <w:lang w:val="es-CR"/>
        </w:rPr>
        <w:t xml:space="preserve"> que no planteó en su escrito de solicitudes y argumentos.</w:t>
      </w:r>
      <w:r w:rsidR="00465E87" w:rsidRPr="006A0A3F">
        <w:rPr>
          <w:rFonts w:ascii="Verdana" w:eastAsia="Calibri" w:hAnsi="Verdana" w:cs="Verdana Bold"/>
          <w:bCs/>
          <w:sz w:val="20"/>
          <w:lang w:val="es-CR"/>
        </w:rPr>
        <w:t xml:space="preserve"> </w:t>
      </w:r>
    </w:p>
    <w:p w14:paraId="1CA392BC" w14:textId="77777777" w:rsidR="00124C67" w:rsidRPr="006A0A3F" w:rsidRDefault="00124C67" w:rsidP="00124C67">
      <w:pPr>
        <w:pStyle w:val="ListParagraph"/>
        <w:ind w:left="0"/>
        <w:jc w:val="both"/>
        <w:rPr>
          <w:rFonts w:ascii="Verdana" w:hAnsi="Verdana" w:cs="Arial"/>
          <w:sz w:val="20"/>
          <w:lang w:val="es-CR"/>
        </w:rPr>
      </w:pPr>
    </w:p>
    <w:p w14:paraId="23ECE0F6" w14:textId="4E109ECC" w:rsidR="00124C67" w:rsidRPr="006A0A3F" w:rsidRDefault="00124C67" w:rsidP="00124C67">
      <w:pPr>
        <w:pStyle w:val="ListParagraph"/>
        <w:numPr>
          <w:ilvl w:val="0"/>
          <w:numId w:val="4"/>
        </w:numPr>
        <w:ind w:left="0" w:firstLine="0"/>
        <w:jc w:val="both"/>
        <w:rPr>
          <w:rFonts w:ascii="Verdana" w:hAnsi="Verdana" w:cs="Arial"/>
          <w:sz w:val="20"/>
          <w:lang w:val="es-CR"/>
        </w:rPr>
      </w:pPr>
      <w:r w:rsidRPr="006A0A3F">
        <w:rPr>
          <w:rFonts w:ascii="Verdana" w:hAnsi="Verdana" w:cs="Arial"/>
          <w:sz w:val="20"/>
          <w:lang w:val="es-CR"/>
        </w:rPr>
        <w:t xml:space="preserve">En </w:t>
      </w:r>
      <w:r w:rsidR="00343AC1" w:rsidRPr="006A0A3F">
        <w:rPr>
          <w:rFonts w:ascii="Verdana" w:hAnsi="Verdana" w:cs="Arial"/>
          <w:sz w:val="20"/>
          <w:lang w:val="es-CR"/>
        </w:rPr>
        <w:t>el presente caso</w:t>
      </w:r>
      <w:r w:rsidRPr="006A0A3F">
        <w:rPr>
          <w:rFonts w:ascii="Verdana" w:hAnsi="Verdana" w:cs="Arial"/>
          <w:sz w:val="20"/>
          <w:lang w:val="es-CR"/>
        </w:rPr>
        <w:t xml:space="preserve">, el Tribunal tomará en cuenta </w:t>
      </w:r>
      <w:r w:rsidR="00126381" w:rsidRPr="006A0A3F">
        <w:rPr>
          <w:rFonts w:ascii="Verdana" w:hAnsi="Verdana" w:cs="Arial"/>
          <w:sz w:val="20"/>
          <w:lang w:val="es-CR"/>
        </w:rPr>
        <w:t xml:space="preserve">únicamente </w:t>
      </w:r>
      <w:r w:rsidRPr="006A0A3F">
        <w:rPr>
          <w:rFonts w:ascii="Verdana" w:hAnsi="Verdana" w:cs="Arial"/>
          <w:sz w:val="20"/>
          <w:lang w:val="es-CR"/>
        </w:rPr>
        <w:t>el contexto y hechos probados por el representante que sean complementarios a los establecidos en el marco fáctico del presente caso</w:t>
      </w:r>
      <w:r w:rsidRPr="006A0A3F">
        <w:rPr>
          <w:rStyle w:val="FootnoteReference"/>
          <w:rFonts w:ascii="Verdana" w:hAnsi="Verdana" w:cs="Arial"/>
          <w:sz w:val="20"/>
          <w:lang w:val="es-CR"/>
        </w:rPr>
        <w:footnoteReference w:id="32"/>
      </w:r>
      <w:r w:rsidRPr="006A0A3F">
        <w:rPr>
          <w:rFonts w:ascii="Verdana" w:hAnsi="Verdana" w:cs="Arial"/>
          <w:sz w:val="20"/>
          <w:lang w:val="es-CR"/>
        </w:rPr>
        <w:t xml:space="preserve">. </w:t>
      </w:r>
    </w:p>
    <w:p w14:paraId="3AD46388" w14:textId="77777777" w:rsidR="00652E77" w:rsidRPr="006A0A3F" w:rsidRDefault="00652E77" w:rsidP="00A05AD6">
      <w:pPr>
        <w:pStyle w:val="ListParagraph"/>
        <w:ind w:left="0"/>
        <w:jc w:val="both"/>
        <w:rPr>
          <w:rFonts w:ascii="Verdana" w:hAnsi="Verdana" w:cs="Arial"/>
          <w:sz w:val="20"/>
          <w:lang w:val="es-CR"/>
        </w:rPr>
      </w:pPr>
    </w:p>
    <w:p w14:paraId="451A1053" w14:textId="66305823" w:rsidR="00652E77" w:rsidRPr="006A0A3F" w:rsidRDefault="00124C67" w:rsidP="00A05AD6">
      <w:pPr>
        <w:pStyle w:val="ListParagraph"/>
        <w:numPr>
          <w:ilvl w:val="0"/>
          <w:numId w:val="4"/>
        </w:numPr>
        <w:ind w:left="0" w:firstLine="0"/>
        <w:jc w:val="both"/>
        <w:rPr>
          <w:rFonts w:ascii="Verdana" w:hAnsi="Verdana"/>
          <w:sz w:val="20"/>
          <w:lang w:val="es-CR"/>
        </w:rPr>
      </w:pPr>
      <w:r w:rsidRPr="006A0A3F">
        <w:rPr>
          <w:rFonts w:ascii="Verdana" w:hAnsi="Verdana" w:cs="Arial"/>
          <w:sz w:val="20"/>
          <w:lang w:val="es-CR"/>
        </w:rPr>
        <w:lastRenderedPageBreak/>
        <w:t>Por otro lado</w:t>
      </w:r>
      <w:r w:rsidR="00652E77" w:rsidRPr="006A0A3F">
        <w:rPr>
          <w:rFonts w:ascii="Verdana" w:hAnsi="Verdana" w:cs="Arial"/>
          <w:sz w:val="20"/>
          <w:lang w:val="es-CR"/>
        </w:rPr>
        <w:t xml:space="preserve">, </w:t>
      </w:r>
      <w:r w:rsidR="00503B6C" w:rsidRPr="006A0A3F">
        <w:rPr>
          <w:rFonts w:ascii="Verdana" w:hAnsi="Verdana" w:cs="Arial"/>
          <w:sz w:val="20"/>
          <w:lang w:val="es-CR"/>
        </w:rPr>
        <w:t>en</w:t>
      </w:r>
      <w:r w:rsidR="00652E77" w:rsidRPr="006A0A3F">
        <w:rPr>
          <w:rFonts w:ascii="Verdana" w:hAnsi="Verdana" w:cs="Arial"/>
          <w:sz w:val="20"/>
          <w:lang w:val="es-CR"/>
        </w:rPr>
        <w:t xml:space="preserve"> el</w:t>
      </w:r>
      <w:r w:rsidR="00652E77" w:rsidRPr="006A0A3F">
        <w:rPr>
          <w:rFonts w:ascii="Verdana" w:hAnsi="Verdana"/>
          <w:sz w:val="20"/>
          <w:lang w:val="es-CR"/>
        </w:rPr>
        <w:t xml:space="preserve"> procedimiento de un caso contencioso ante este Tribunal </w:t>
      </w:r>
      <w:r w:rsidR="00652E77" w:rsidRPr="006A0A3F">
        <w:rPr>
          <w:rFonts w:ascii="Verdana" w:hAnsi="Verdana" w:cs="Arial"/>
          <w:sz w:val="20"/>
          <w:lang w:val="es-CR"/>
        </w:rPr>
        <w:t xml:space="preserve">las presuntas víctimas y sus representantes tienen, </w:t>
      </w:r>
      <w:r w:rsidR="00652E77" w:rsidRPr="006A0A3F">
        <w:rPr>
          <w:rFonts w:ascii="Verdana" w:hAnsi="Verdana"/>
          <w:sz w:val="20"/>
          <w:lang w:val="es-CR"/>
        </w:rPr>
        <w:t xml:space="preserve">en ejercicio pleno de su derecho de </w:t>
      </w:r>
      <w:r w:rsidR="00652E77" w:rsidRPr="006A0A3F">
        <w:rPr>
          <w:rFonts w:ascii="Verdana" w:hAnsi="Verdana"/>
          <w:i/>
          <w:sz w:val="20"/>
          <w:lang w:val="es-CR"/>
        </w:rPr>
        <w:t xml:space="preserve">locus </w:t>
      </w:r>
      <w:proofErr w:type="spellStart"/>
      <w:r w:rsidR="00652E77" w:rsidRPr="006A0A3F">
        <w:rPr>
          <w:rFonts w:ascii="Verdana" w:hAnsi="Verdana"/>
          <w:i/>
          <w:sz w:val="20"/>
          <w:lang w:val="es-CR"/>
        </w:rPr>
        <w:t>standi</w:t>
      </w:r>
      <w:proofErr w:type="spellEnd"/>
      <w:r w:rsidR="00652E77" w:rsidRPr="006A0A3F">
        <w:rPr>
          <w:rFonts w:ascii="Verdana" w:hAnsi="Verdana"/>
          <w:i/>
          <w:sz w:val="20"/>
          <w:lang w:val="es-CR"/>
        </w:rPr>
        <w:t xml:space="preserve"> in </w:t>
      </w:r>
      <w:proofErr w:type="spellStart"/>
      <w:r w:rsidR="00652E77" w:rsidRPr="006A0A3F">
        <w:rPr>
          <w:rFonts w:ascii="Verdana" w:hAnsi="Verdana"/>
          <w:i/>
          <w:sz w:val="20"/>
          <w:lang w:val="es-CR"/>
        </w:rPr>
        <w:t>judicio</w:t>
      </w:r>
      <w:proofErr w:type="spellEnd"/>
      <w:r w:rsidR="00652E77" w:rsidRPr="006A0A3F">
        <w:rPr>
          <w:rFonts w:ascii="Verdana" w:hAnsi="Verdana" w:cs="Arial"/>
          <w:sz w:val="20"/>
          <w:lang w:val="es-CR"/>
        </w:rPr>
        <w:t xml:space="preserve">, la </w:t>
      </w:r>
      <w:r w:rsidR="00652E77" w:rsidRPr="006A0A3F">
        <w:rPr>
          <w:rFonts w:ascii="Verdana" w:hAnsi="Verdana"/>
          <w:sz w:val="20"/>
          <w:lang w:val="es-CR"/>
        </w:rPr>
        <w:t xml:space="preserve">facultad de </w:t>
      </w:r>
      <w:r w:rsidR="00652E77" w:rsidRPr="006A0A3F">
        <w:rPr>
          <w:rFonts w:ascii="Verdana" w:hAnsi="Verdana" w:cs="Arial"/>
          <w:sz w:val="20"/>
          <w:lang w:val="es-CR"/>
        </w:rPr>
        <w:t>invocar la violación de otros derechos distintos a los comprendidos en el Informe de Fondo</w:t>
      </w:r>
      <w:r w:rsidR="00343AC1" w:rsidRPr="006A0A3F">
        <w:rPr>
          <w:rFonts w:ascii="Verdana" w:hAnsi="Verdana" w:cs="Arial"/>
          <w:sz w:val="20"/>
          <w:lang w:val="es-CR"/>
        </w:rPr>
        <w:t xml:space="preserve"> y de hacer sus propias solicitudes de reparación</w:t>
      </w:r>
      <w:r w:rsidR="00652E77" w:rsidRPr="006A0A3F">
        <w:rPr>
          <w:rFonts w:ascii="Verdana" w:hAnsi="Verdana" w:cs="Arial"/>
          <w:sz w:val="20"/>
          <w:lang w:val="es-CR"/>
        </w:rPr>
        <w:t>, siempre y cuando se atengan a ese marco fáctico</w:t>
      </w:r>
      <w:r w:rsidR="00652E77" w:rsidRPr="006A0A3F">
        <w:rPr>
          <w:rFonts w:ascii="Verdana" w:hAnsi="Verdana" w:cs="Verdana"/>
          <w:spacing w:val="-2"/>
          <w:sz w:val="20"/>
          <w:vertAlign w:val="superscript"/>
          <w:lang w:val="es-CR"/>
        </w:rPr>
        <w:footnoteReference w:id="33"/>
      </w:r>
      <w:r w:rsidR="00652E77" w:rsidRPr="006A0A3F">
        <w:rPr>
          <w:rFonts w:ascii="Verdana" w:hAnsi="Verdana" w:cs="Verdana"/>
          <w:spacing w:val="-2"/>
          <w:sz w:val="20"/>
          <w:lang w:val="es-CR"/>
        </w:rPr>
        <w:t xml:space="preserve"> y lo hagan en</w:t>
      </w:r>
      <w:r w:rsidR="00652E77" w:rsidRPr="006A0A3F">
        <w:rPr>
          <w:rFonts w:ascii="Verdana" w:hAnsi="Verdana" w:cs="Arial"/>
          <w:sz w:val="20"/>
          <w:lang w:val="es-CR"/>
        </w:rPr>
        <w:t xml:space="preserve"> </w:t>
      </w:r>
      <w:r w:rsidR="00652E77" w:rsidRPr="006A0A3F">
        <w:rPr>
          <w:rFonts w:ascii="Verdana" w:hAnsi="Verdana"/>
          <w:sz w:val="20"/>
          <w:lang w:val="es-CR"/>
        </w:rPr>
        <w:t>el momento procesal oportuno, a saber, en su escrito de solicitudes, argumentos y pruebas</w:t>
      </w:r>
      <w:r w:rsidR="00343AC1" w:rsidRPr="006A0A3F">
        <w:rPr>
          <w:rFonts w:ascii="Verdana" w:hAnsi="Verdana"/>
          <w:sz w:val="20"/>
          <w:lang w:val="es-CR"/>
        </w:rPr>
        <w:t xml:space="preserve"> (artículo 40.1 del Reglamento)</w:t>
      </w:r>
      <w:r w:rsidR="00652E77" w:rsidRPr="006A0A3F">
        <w:rPr>
          <w:rStyle w:val="FootnoteReference"/>
          <w:rFonts w:ascii="Verdana" w:hAnsi="Verdana"/>
          <w:sz w:val="20"/>
          <w:lang w:val="es-CR"/>
        </w:rPr>
        <w:footnoteReference w:id="34"/>
      </w:r>
      <w:r w:rsidR="00652E77" w:rsidRPr="006A0A3F">
        <w:rPr>
          <w:rFonts w:ascii="Verdana" w:hAnsi="Verdana"/>
          <w:sz w:val="20"/>
          <w:lang w:val="es-CR"/>
        </w:rPr>
        <w:t>.</w:t>
      </w:r>
    </w:p>
    <w:p w14:paraId="13F112F3" w14:textId="77777777" w:rsidR="00652E77" w:rsidRPr="006A0A3F" w:rsidRDefault="00652E77" w:rsidP="00A05AD6">
      <w:pPr>
        <w:pStyle w:val="ListParagraph"/>
        <w:ind w:left="0"/>
        <w:jc w:val="both"/>
        <w:rPr>
          <w:rFonts w:ascii="Verdana" w:hAnsi="Verdana" w:cs="Arial"/>
          <w:sz w:val="20"/>
          <w:lang w:val="es-CR"/>
        </w:rPr>
      </w:pPr>
    </w:p>
    <w:p w14:paraId="2270C31B" w14:textId="756A30C3" w:rsidR="00652E77" w:rsidRPr="006A0A3F" w:rsidRDefault="00911EB9" w:rsidP="00A05AD6">
      <w:pPr>
        <w:pStyle w:val="ListParagraph"/>
        <w:numPr>
          <w:ilvl w:val="0"/>
          <w:numId w:val="4"/>
        </w:numPr>
        <w:ind w:left="0" w:firstLine="0"/>
        <w:jc w:val="both"/>
        <w:rPr>
          <w:rFonts w:ascii="Verdana" w:eastAsia="Calibri" w:hAnsi="Verdana" w:cs="Verdana Bold"/>
          <w:bCs/>
          <w:sz w:val="20"/>
          <w:lang w:val="es-CR"/>
        </w:rPr>
      </w:pPr>
      <w:r w:rsidRPr="006A0A3F">
        <w:rPr>
          <w:rFonts w:ascii="Verdana" w:hAnsi="Verdana"/>
          <w:sz w:val="20"/>
          <w:lang w:val="es-CR" w:eastAsia="es-CR"/>
        </w:rPr>
        <w:t>En atención a</w:t>
      </w:r>
      <w:r w:rsidR="00786982" w:rsidRPr="006A0A3F">
        <w:rPr>
          <w:rFonts w:ascii="Verdana" w:hAnsi="Verdana"/>
          <w:sz w:val="20"/>
          <w:lang w:val="es-CR" w:eastAsia="es-CR"/>
        </w:rPr>
        <w:t xml:space="preserve">l alcance de </w:t>
      </w:r>
      <w:r w:rsidR="00652E77" w:rsidRPr="006A0A3F">
        <w:rPr>
          <w:rFonts w:ascii="Verdana" w:hAnsi="Verdana"/>
          <w:sz w:val="20"/>
          <w:lang w:val="es-CR"/>
        </w:rPr>
        <w:t>los alegatos finales (</w:t>
      </w:r>
      <w:r w:rsidR="00652E77" w:rsidRPr="006A0A3F">
        <w:rPr>
          <w:rFonts w:ascii="Verdana" w:hAnsi="Verdana"/>
          <w:i/>
          <w:sz w:val="20"/>
          <w:lang w:val="es-CR"/>
        </w:rPr>
        <w:t>supra</w:t>
      </w:r>
      <w:r w:rsidR="00652E77" w:rsidRPr="006A0A3F">
        <w:rPr>
          <w:rFonts w:ascii="Verdana" w:hAnsi="Verdana"/>
          <w:sz w:val="20"/>
          <w:lang w:val="es-CR"/>
        </w:rPr>
        <w:t xml:space="preserve"> párr. </w:t>
      </w:r>
      <w:r w:rsidRPr="006A0A3F">
        <w:rPr>
          <w:rFonts w:ascii="Verdana" w:hAnsi="Verdana"/>
          <w:sz w:val="20"/>
          <w:lang w:val="es-CR"/>
        </w:rPr>
        <w:t>18</w:t>
      </w:r>
      <w:r w:rsidR="009048D0" w:rsidRPr="006A0A3F">
        <w:rPr>
          <w:rFonts w:ascii="Verdana" w:hAnsi="Verdana"/>
          <w:sz w:val="20"/>
          <w:lang w:val="es-CR"/>
        </w:rPr>
        <w:t>)</w:t>
      </w:r>
      <w:r w:rsidR="00652E77" w:rsidRPr="006A0A3F">
        <w:rPr>
          <w:rFonts w:ascii="Verdana" w:hAnsi="Verdana"/>
          <w:sz w:val="20"/>
          <w:lang w:val="es-CR"/>
        </w:rPr>
        <w:t xml:space="preserve"> y </w:t>
      </w:r>
      <w:r w:rsidRPr="006A0A3F">
        <w:rPr>
          <w:rFonts w:ascii="Verdana" w:hAnsi="Verdana"/>
          <w:sz w:val="20"/>
          <w:lang w:val="es-CR"/>
        </w:rPr>
        <w:t>a</w:t>
      </w:r>
      <w:r w:rsidR="00652E77" w:rsidRPr="006A0A3F">
        <w:rPr>
          <w:rFonts w:ascii="Verdana" w:eastAsia="Calibri" w:hAnsi="Verdana" w:cs="Verdana Bold"/>
          <w:bCs/>
          <w:sz w:val="20"/>
          <w:lang w:val="es-CR"/>
        </w:rPr>
        <w:t xml:space="preserve"> los principios de contradicción y preclusión procesal, no corresponde tomar en cuenta solicitu</w:t>
      </w:r>
      <w:r w:rsidR="00124C67" w:rsidRPr="006A0A3F">
        <w:rPr>
          <w:rFonts w:ascii="Verdana" w:eastAsia="Calibri" w:hAnsi="Verdana" w:cs="Verdana Bold"/>
          <w:bCs/>
          <w:sz w:val="20"/>
          <w:lang w:val="es-CR"/>
        </w:rPr>
        <w:t xml:space="preserve">des o argumentos planteadas </w:t>
      </w:r>
      <w:r w:rsidRPr="006A0A3F">
        <w:rPr>
          <w:rFonts w:ascii="Verdana" w:eastAsia="Calibri" w:hAnsi="Verdana" w:cs="Verdana Bold"/>
          <w:bCs/>
          <w:sz w:val="20"/>
          <w:lang w:val="es-CR"/>
        </w:rPr>
        <w:t>por el representante en sus</w:t>
      </w:r>
      <w:r w:rsidR="00124C67" w:rsidRPr="006A0A3F">
        <w:rPr>
          <w:rFonts w:ascii="Verdana" w:eastAsia="Calibri" w:hAnsi="Verdana" w:cs="Verdana Bold"/>
          <w:bCs/>
          <w:sz w:val="20"/>
          <w:lang w:val="es-CR"/>
        </w:rPr>
        <w:t xml:space="preserve"> alegatos finales</w:t>
      </w:r>
      <w:r w:rsidR="00652E77" w:rsidRPr="006A0A3F">
        <w:rPr>
          <w:rFonts w:ascii="Verdana" w:eastAsia="Calibri" w:hAnsi="Verdana" w:cs="Verdana Bold"/>
          <w:bCs/>
          <w:sz w:val="20"/>
          <w:lang w:val="es-CR"/>
        </w:rPr>
        <w:t xml:space="preserve">, por </w:t>
      </w:r>
      <w:r w:rsidR="00124C67" w:rsidRPr="006A0A3F">
        <w:rPr>
          <w:rFonts w:ascii="Verdana" w:eastAsia="Calibri" w:hAnsi="Verdana" w:cs="Verdana Bold"/>
          <w:bCs/>
          <w:sz w:val="20"/>
          <w:lang w:val="es-CR"/>
        </w:rPr>
        <w:t>haber sid</w:t>
      </w:r>
      <w:r w:rsidR="009048D0" w:rsidRPr="006A0A3F">
        <w:rPr>
          <w:rFonts w:ascii="Verdana" w:eastAsia="Calibri" w:hAnsi="Verdana" w:cs="Verdana Bold"/>
          <w:bCs/>
          <w:sz w:val="20"/>
          <w:lang w:val="es-CR"/>
        </w:rPr>
        <w:t>o presentado</w:t>
      </w:r>
      <w:r w:rsidR="00503B6C" w:rsidRPr="006A0A3F">
        <w:rPr>
          <w:rFonts w:ascii="Verdana" w:eastAsia="Calibri" w:hAnsi="Verdana" w:cs="Verdana Bold"/>
          <w:bCs/>
          <w:sz w:val="20"/>
          <w:lang w:val="es-CR"/>
        </w:rPr>
        <w:t>s extemporáneamente.</w:t>
      </w:r>
      <w:r w:rsidR="00124C67" w:rsidRPr="006A0A3F">
        <w:rPr>
          <w:rFonts w:ascii="Verdana" w:eastAsia="Calibri" w:hAnsi="Verdana" w:cs="Verdana Bold"/>
          <w:bCs/>
          <w:sz w:val="20"/>
          <w:lang w:val="es-CR"/>
        </w:rPr>
        <w:t xml:space="preserve"> </w:t>
      </w:r>
      <w:r w:rsidR="00503B6C" w:rsidRPr="006A0A3F">
        <w:rPr>
          <w:rFonts w:ascii="Verdana" w:eastAsia="Calibri" w:hAnsi="Verdana" w:cs="Verdana Bold"/>
          <w:bCs/>
          <w:sz w:val="20"/>
          <w:lang w:val="es-CR"/>
        </w:rPr>
        <w:t xml:space="preserve">En consecuencia, </w:t>
      </w:r>
      <w:r w:rsidR="00652E77" w:rsidRPr="006A0A3F">
        <w:rPr>
          <w:rFonts w:ascii="Verdana" w:eastAsia="Calibri" w:hAnsi="Verdana" w:cs="Verdana Bold"/>
          <w:bCs/>
          <w:sz w:val="20"/>
          <w:lang w:val="es-CR"/>
        </w:rPr>
        <w:t>el Tribunal se pronuncia</w:t>
      </w:r>
      <w:r w:rsidR="00124C67" w:rsidRPr="006A0A3F">
        <w:rPr>
          <w:rFonts w:ascii="Verdana" w:eastAsia="Calibri" w:hAnsi="Verdana" w:cs="Verdana Bold"/>
          <w:bCs/>
          <w:sz w:val="20"/>
          <w:lang w:val="es-CR"/>
        </w:rPr>
        <w:t>rá</w:t>
      </w:r>
      <w:r w:rsidR="00652E77" w:rsidRPr="006A0A3F">
        <w:rPr>
          <w:rFonts w:ascii="Verdana" w:eastAsia="Calibri" w:hAnsi="Verdana" w:cs="Verdana Bold"/>
          <w:bCs/>
          <w:sz w:val="20"/>
          <w:lang w:val="es-CR"/>
        </w:rPr>
        <w:t xml:space="preserve"> </w:t>
      </w:r>
      <w:r w:rsidR="00124C67" w:rsidRPr="006A0A3F">
        <w:rPr>
          <w:rFonts w:ascii="Verdana" w:eastAsia="Calibri" w:hAnsi="Verdana" w:cs="Verdana Bold"/>
          <w:bCs/>
          <w:sz w:val="20"/>
          <w:lang w:val="es-CR"/>
        </w:rPr>
        <w:t xml:space="preserve">únicamente respecto de las </w:t>
      </w:r>
      <w:r w:rsidR="00503B6C" w:rsidRPr="006A0A3F">
        <w:rPr>
          <w:rFonts w:ascii="Verdana" w:eastAsia="Calibri" w:hAnsi="Verdana" w:cs="Verdana Bold"/>
          <w:bCs/>
          <w:sz w:val="20"/>
          <w:lang w:val="es-CR"/>
        </w:rPr>
        <w:t>solicitudes y argumentos oportunamente planteado</w:t>
      </w:r>
      <w:r w:rsidR="00124C67" w:rsidRPr="006A0A3F">
        <w:rPr>
          <w:rFonts w:ascii="Verdana" w:eastAsia="Calibri" w:hAnsi="Verdana" w:cs="Verdana Bold"/>
          <w:bCs/>
          <w:sz w:val="20"/>
          <w:lang w:val="es-CR"/>
        </w:rPr>
        <w:t xml:space="preserve">s en </w:t>
      </w:r>
      <w:r w:rsidR="00503B6C" w:rsidRPr="006A0A3F">
        <w:rPr>
          <w:rFonts w:ascii="Verdana" w:eastAsia="Calibri" w:hAnsi="Verdana" w:cs="Verdana Bold"/>
          <w:bCs/>
          <w:sz w:val="20"/>
          <w:lang w:val="es-CR"/>
        </w:rPr>
        <w:t xml:space="preserve">el </w:t>
      </w:r>
      <w:r w:rsidR="00124C67" w:rsidRPr="006A0A3F">
        <w:rPr>
          <w:rFonts w:ascii="Verdana" w:eastAsia="Calibri" w:hAnsi="Verdana" w:cs="Verdana Bold"/>
          <w:bCs/>
          <w:sz w:val="20"/>
          <w:lang w:val="es-CR"/>
        </w:rPr>
        <w:t xml:space="preserve">escrito </w:t>
      </w:r>
      <w:r w:rsidR="00503B6C" w:rsidRPr="006A0A3F">
        <w:rPr>
          <w:rFonts w:ascii="Verdana" w:eastAsia="Calibri" w:hAnsi="Verdana" w:cs="Verdana Bold"/>
          <w:bCs/>
          <w:sz w:val="20"/>
          <w:lang w:val="es-CR"/>
        </w:rPr>
        <w:t xml:space="preserve">presentado en los términos del </w:t>
      </w:r>
      <w:r w:rsidR="00503B6C" w:rsidRPr="006A0A3F">
        <w:rPr>
          <w:rFonts w:ascii="Verdana" w:hAnsi="Verdana"/>
          <w:sz w:val="20"/>
          <w:lang w:val="es-CR"/>
        </w:rPr>
        <w:t>artículo 40.1 del Reglamento</w:t>
      </w:r>
      <w:r w:rsidR="00652E77" w:rsidRPr="006A0A3F">
        <w:rPr>
          <w:rStyle w:val="FootnoteReference"/>
          <w:rFonts w:ascii="Verdana" w:eastAsia="Calibri" w:hAnsi="Verdana" w:cs="Verdana Bold"/>
          <w:bCs/>
          <w:sz w:val="20"/>
          <w:lang w:val="es-CR"/>
        </w:rPr>
        <w:footnoteReference w:id="35"/>
      </w:r>
      <w:r w:rsidR="00652E77" w:rsidRPr="006A0A3F">
        <w:rPr>
          <w:rFonts w:ascii="Verdana" w:eastAsia="Calibri" w:hAnsi="Verdana" w:cs="Verdana Bold"/>
          <w:bCs/>
          <w:sz w:val="20"/>
          <w:lang w:val="es-CR"/>
        </w:rPr>
        <w:t>.</w:t>
      </w:r>
    </w:p>
    <w:p w14:paraId="405CD9E6" w14:textId="77777777" w:rsidR="00124C67" w:rsidRDefault="00124C67" w:rsidP="007B3B4E">
      <w:pPr>
        <w:pStyle w:val="ListParagraph"/>
        <w:ind w:left="0"/>
        <w:jc w:val="both"/>
        <w:rPr>
          <w:rFonts w:ascii="Verdana" w:hAnsi="Verdana"/>
          <w:sz w:val="20"/>
          <w:lang w:val="es-CR"/>
        </w:rPr>
      </w:pPr>
    </w:p>
    <w:p w14:paraId="5314AB17" w14:textId="77777777" w:rsidR="005005A1" w:rsidRPr="006A0A3F" w:rsidRDefault="005005A1" w:rsidP="007B3B4E">
      <w:pPr>
        <w:pStyle w:val="ListParagraph"/>
        <w:ind w:left="0"/>
        <w:jc w:val="both"/>
        <w:rPr>
          <w:rFonts w:ascii="Verdana" w:hAnsi="Verdana"/>
          <w:sz w:val="20"/>
          <w:lang w:val="es-CR"/>
        </w:rPr>
      </w:pPr>
    </w:p>
    <w:p w14:paraId="4FFCE2A7" w14:textId="73833ED5" w:rsidR="001F09C8" w:rsidRPr="006A0A3F" w:rsidRDefault="001F09C8" w:rsidP="001F09C8">
      <w:pPr>
        <w:pStyle w:val="Heading1"/>
        <w:spacing w:before="0" w:after="0" w:line="240" w:lineRule="auto"/>
        <w:jc w:val="center"/>
        <w:rPr>
          <w:rFonts w:ascii="Verdana" w:hAnsi="Verdana" w:cs="Verdana"/>
          <w:caps/>
          <w:noProof/>
          <w:snapToGrid w:val="0"/>
          <w:sz w:val="20"/>
          <w:szCs w:val="20"/>
          <w:lang w:val="es-CR" w:eastAsia="es-ES"/>
        </w:rPr>
      </w:pPr>
      <w:bookmarkStart w:id="9" w:name="_Toc340752581"/>
      <w:bookmarkStart w:id="10" w:name="_Toc505876984"/>
      <w:r w:rsidRPr="006A0A3F">
        <w:rPr>
          <w:rFonts w:ascii="Verdana" w:hAnsi="Verdana" w:cs="Verdana"/>
          <w:caps/>
          <w:noProof/>
          <w:snapToGrid w:val="0"/>
          <w:sz w:val="20"/>
          <w:szCs w:val="20"/>
          <w:lang w:val="es-CR" w:eastAsia="es-ES"/>
        </w:rPr>
        <w:t>V</w:t>
      </w:r>
      <w:r w:rsidRPr="006A0A3F">
        <w:rPr>
          <w:rFonts w:ascii="Verdana" w:hAnsi="Verdana" w:cs="Verdana"/>
          <w:caps/>
          <w:noProof/>
          <w:snapToGrid w:val="0"/>
          <w:sz w:val="20"/>
          <w:szCs w:val="20"/>
          <w:lang w:val="es-CR" w:eastAsia="es-ES"/>
        </w:rPr>
        <w:br/>
        <w:t>PRUEBA</w:t>
      </w:r>
      <w:bookmarkEnd w:id="9"/>
      <w:bookmarkEnd w:id="10"/>
    </w:p>
    <w:p w14:paraId="5B9F22F4" w14:textId="77777777" w:rsidR="00435F1C" w:rsidRPr="006A0A3F" w:rsidRDefault="00435F1C" w:rsidP="001F09C8">
      <w:pPr>
        <w:spacing w:after="0" w:line="240" w:lineRule="auto"/>
        <w:jc w:val="center"/>
        <w:rPr>
          <w:rFonts w:ascii="Verdana" w:hAnsi="Verdana" w:cs="Times New Roman"/>
          <w:b/>
          <w:sz w:val="20"/>
          <w:szCs w:val="20"/>
        </w:rPr>
      </w:pPr>
    </w:p>
    <w:p w14:paraId="3495C9E4" w14:textId="77777777" w:rsidR="001F09C8" w:rsidRPr="006A0A3F" w:rsidRDefault="001F09C8" w:rsidP="002F0D91">
      <w:pPr>
        <w:pStyle w:val="Heading2"/>
        <w:keepLines/>
        <w:numPr>
          <w:ilvl w:val="0"/>
          <w:numId w:val="5"/>
        </w:numPr>
        <w:rPr>
          <w:rFonts w:ascii="Verdana" w:hAnsi="Verdana"/>
          <w:b w:val="0"/>
          <w:i/>
          <w:sz w:val="20"/>
          <w:lang w:val="es-CR"/>
        </w:rPr>
      </w:pPr>
      <w:bookmarkStart w:id="11" w:name="_Toc340752582"/>
      <w:bookmarkStart w:id="12" w:name="_Toc505876985"/>
      <w:r w:rsidRPr="006A0A3F">
        <w:rPr>
          <w:rFonts w:ascii="Verdana" w:hAnsi="Verdana"/>
          <w:i/>
          <w:sz w:val="20"/>
          <w:lang w:val="es-CR"/>
        </w:rPr>
        <w:t>Prueba documental, testimonial y pericial</w:t>
      </w:r>
      <w:bookmarkEnd w:id="11"/>
      <w:bookmarkEnd w:id="12"/>
    </w:p>
    <w:p w14:paraId="716F0E3C" w14:textId="77777777" w:rsidR="001F09C8" w:rsidRPr="006A0A3F" w:rsidRDefault="001F09C8" w:rsidP="001F09C8">
      <w:pPr>
        <w:spacing w:after="0" w:line="240" w:lineRule="auto"/>
        <w:jc w:val="both"/>
        <w:rPr>
          <w:rFonts w:ascii="Verdana" w:hAnsi="Verdana" w:cs="Times New Roman"/>
          <w:b/>
          <w:i/>
          <w:sz w:val="20"/>
          <w:szCs w:val="20"/>
        </w:rPr>
      </w:pPr>
    </w:p>
    <w:p w14:paraId="4C820EE7" w14:textId="3658AE2D" w:rsidR="001F09C8" w:rsidRPr="006A0A3F" w:rsidRDefault="001F09C8"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El Tribunal recibió diversos documentos presentados </w:t>
      </w:r>
      <w:r w:rsidR="00825488">
        <w:rPr>
          <w:rFonts w:ascii="Verdana" w:hAnsi="Verdana"/>
          <w:sz w:val="20"/>
          <w:lang w:val="es-CR"/>
        </w:rPr>
        <w:t xml:space="preserve">como prueba por la Comisión y el representante, </w:t>
      </w:r>
      <w:r w:rsidR="00C21703" w:rsidRPr="006A0A3F">
        <w:rPr>
          <w:rFonts w:ascii="Verdana" w:hAnsi="Verdana"/>
          <w:sz w:val="20"/>
          <w:lang w:val="es-CR"/>
        </w:rPr>
        <w:t>así como declaraciones de presuntas víctimas,</w:t>
      </w:r>
      <w:r w:rsidR="00385DC1" w:rsidRPr="006A0A3F">
        <w:rPr>
          <w:rFonts w:ascii="Verdana" w:hAnsi="Verdana"/>
          <w:sz w:val="20"/>
          <w:lang w:val="es-CR"/>
        </w:rPr>
        <w:t xml:space="preserve"> de</w:t>
      </w:r>
      <w:r w:rsidR="00C21703" w:rsidRPr="006A0A3F">
        <w:rPr>
          <w:rFonts w:ascii="Verdana" w:hAnsi="Verdana"/>
          <w:sz w:val="20"/>
          <w:lang w:val="es-CR"/>
        </w:rPr>
        <w:t xml:space="preserve"> testigos y </w:t>
      </w:r>
      <w:r w:rsidR="00385DC1" w:rsidRPr="006A0A3F">
        <w:rPr>
          <w:rFonts w:ascii="Verdana" w:hAnsi="Verdana"/>
          <w:sz w:val="20"/>
          <w:lang w:val="es-CR"/>
        </w:rPr>
        <w:t xml:space="preserve">de </w:t>
      </w:r>
      <w:r w:rsidR="00C21703" w:rsidRPr="006A0A3F">
        <w:rPr>
          <w:rFonts w:ascii="Verdana" w:hAnsi="Verdana"/>
          <w:sz w:val="20"/>
          <w:lang w:val="es-CR"/>
        </w:rPr>
        <w:t>peritos, requeridas oportunamente por el Presidente</w:t>
      </w:r>
      <w:r w:rsidR="00385DC1" w:rsidRPr="006A0A3F">
        <w:rPr>
          <w:rStyle w:val="FootnoteReference"/>
          <w:rFonts w:ascii="Verdana" w:hAnsi="Verdana"/>
          <w:sz w:val="20"/>
          <w:lang w:val="es-CR"/>
        </w:rPr>
        <w:footnoteReference w:id="36"/>
      </w:r>
      <w:r w:rsidR="00224867" w:rsidRPr="006A0A3F">
        <w:rPr>
          <w:rFonts w:ascii="Verdana" w:hAnsi="Verdana"/>
          <w:sz w:val="20"/>
          <w:lang w:val="es-CR"/>
        </w:rPr>
        <w:t>. Durante la audiencia p</w:t>
      </w:r>
      <w:r w:rsidR="00C21703" w:rsidRPr="006A0A3F">
        <w:rPr>
          <w:rFonts w:ascii="Verdana" w:hAnsi="Verdana"/>
          <w:sz w:val="20"/>
          <w:lang w:val="es-CR"/>
        </w:rPr>
        <w:t>ública se recibieron declaraciones de una presunta víctima y de tres peritos</w:t>
      </w:r>
      <w:r w:rsidR="00160526" w:rsidRPr="006A0A3F">
        <w:rPr>
          <w:rFonts w:ascii="Verdana" w:hAnsi="Verdana"/>
          <w:sz w:val="20"/>
          <w:lang w:val="es-CR"/>
        </w:rPr>
        <w:t xml:space="preserve"> propuestos por el representante, el Estado y la Comisión</w:t>
      </w:r>
      <w:r w:rsidR="00CC009A" w:rsidRPr="006A0A3F">
        <w:rPr>
          <w:rFonts w:ascii="Verdana" w:hAnsi="Verdana"/>
          <w:sz w:val="20"/>
          <w:lang w:val="es-CR"/>
        </w:rPr>
        <w:t xml:space="preserve"> (</w:t>
      </w:r>
      <w:r w:rsidR="00CC009A" w:rsidRPr="006A0A3F">
        <w:rPr>
          <w:rFonts w:ascii="Verdana" w:hAnsi="Verdana"/>
          <w:i/>
          <w:sz w:val="20"/>
          <w:lang w:val="es-CR"/>
        </w:rPr>
        <w:t xml:space="preserve">supra </w:t>
      </w:r>
      <w:r w:rsidR="00CC009A" w:rsidRPr="006A0A3F">
        <w:rPr>
          <w:rFonts w:ascii="Verdana" w:hAnsi="Verdana"/>
          <w:sz w:val="20"/>
          <w:lang w:val="es-CR"/>
        </w:rPr>
        <w:t>párr. 8)</w:t>
      </w:r>
      <w:r w:rsidRPr="006A0A3F">
        <w:rPr>
          <w:rFonts w:ascii="Verdana" w:hAnsi="Verdana"/>
          <w:sz w:val="20"/>
          <w:lang w:val="es-CR"/>
        </w:rPr>
        <w:t xml:space="preserve">. </w:t>
      </w:r>
    </w:p>
    <w:p w14:paraId="2D25BDCF" w14:textId="77777777" w:rsidR="001F09C8" w:rsidRPr="006A0A3F" w:rsidRDefault="001F09C8" w:rsidP="001F09C8">
      <w:pPr>
        <w:pStyle w:val="ListParagraph"/>
        <w:ind w:left="0"/>
        <w:jc w:val="both"/>
        <w:rPr>
          <w:rFonts w:ascii="Verdana" w:hAnsi="Verdana"/>
          <w:sz w:val="20"/>
          <w:lang w:val="es-CR" w:eastAsia="es-ES_tradnl"/>
        </w:rPr>
      </w:pPr>
    </w:p>
    <w:p w14:paraId="3C418E9C" w14:textId="77777777" w:rsidR="00B472ED" w:rsidRPr="006A0A3F" w:rsidRDefault="00B472ED" w:rsidP="001F09C8">
      <w:pPr>
        <w:pStyle w:val="ListParagraph"/>
        <w:ind w:left="0"/>
        <w:jc w:val="both"/>
        <w:rPr>
          <w:rFonts w:ascii="Verdana" w:hAnsi="Verdana"/>
          <w:sz w:val="20"/>
          <w:lang w:val="es-CR" w:eastAsia="es-ES_tradnl"/>
        </w:rPr>
      </w:pPr>
    </w:p>
    <w:p w14:paraId="1BEF8ABD" w14:textId="77777777" w:rsidR="001F09C8" w:rsidRPr="006A0A3F" w:rsidRDefault="001F09C8" w:rsidP="002F0D91">
      <w:pPr>
        <w:pStyle w:val="Heading2"/>
        <w:keepLines/>
        <w:numPr>
          <w:ilvl w:val="0"/>
          <w:numId w:val="5"/>
        </w:numPr>
        <w:rPr>
          <w:rFonts w:ascii="Verdana" w:hAnsi="Verdana"/>
          <w:i/>
          <w:sz w:val="20"/>
          <w:lang w:val="es-CR"/>
        </w:rPr>
      </w:pPr>
      <w:r w:rsidRPr="006A0A3F">
        <w:rPr>
          <w:rFonts w:ascii="Verdana" w:hAnsi="Verdana"/>
          <w:i/>
          <w:sz w:val="20"/>
          <w:lang w:val="es-CR"/>
        </w:rPr>
        <w:t xml:space="preserve"> </w:t>
      </w:r>
      <w:bookmarkStart w:id="13" w:name="_Toc340752583"/>
      <w:bookmarkStart w:id="14" w:name="_Toc505876986"/>
      <w:r w:rsidRPr="006A0A3F">
        <w:rPr>
          <w:rFonts w:ascii="Verdana" w:hAnsi="Verdana"/>
          <w:i/>
          <w:sz w:val="20"/>
          <w:lang w:val="es-CR"/>
        </w:rPr>
        <w:t>Admisibilidad de la prueba</w:t>
      </w:r>
      <w:bookmarkEnd w:id="13"/>
      <w:bookmarkEnd w:id="14"/>
    </w:p>
    <w:p w14:paraId="4FAEC441" w14:textId="77777777" w:rsidR="001308C2" w:rsidRPr="006A0A3F" w:rsidRDefault="001308C2" w:rsidP="001F09C8">
      <w:pPr>
        <w:spacing w:after="0" w:line="240" w:lineRule="auto"/>
        <w:jc w:val="both"/>
        <w:rPr>
          <w:rFonts w:ascii="Verdana" w:hAnsi="Verdana" w:cs="Times New Roman"/>
          <w:b/>
          <w:i/>
          <w:sz w:val="20"/>
          <w:szCs w:val="20"/>
        </w:rPr>
      </w:pPr>
    </w:p>
    <w:p w14:paraId="4FB2A2CA" w14:textId="77777777" w:rsidR="001F09C8" w:rsidRPr="006A0A3F" w:rsidRDefault="001F09C8" w:rsidP="001F09C8">
      <w:pPr>
        <w:ind w:left="708"/>
        <w:rPr>
          <w:rFonts w:ascii="Verdana" w:hAnsi="Verdana" w:cs="Times New Roman"/>
          <w:b/>
          <w:i/>
          <w:sz w:val="20"/>
          <w:szCs w:val="20"/>
        </w:rPr>
      </w:pPr>
      <w:r w:rsidRPr="006A0A3F">
        <w:rPr>
          <w:rFonts w:ascii="Verdana" w:hAnsi="Verdana"/>
          <w:b/>
          <w:i/>
          <w:sz w:val="20"/>
          <w:szCs w:val="20"/>
        </w:rPr>
        <w:t>B.1)</w:t>
      </w:r>
      <w:r w:rsidRPr="006A0A3F">
        <w:rPr>
          <w:rFonts w:ascii="Verdana" w:hAnsi="Verdana"/>
          <w:b/>
          <w:i/>
          <w:sz w:val="20"/>
          <w:szCs w:val="20"/>
        </w:rPr>
        <w:tab/>
        <w:t xml:space="preserve"> Admisibilidad de la prueba documental</w:t>
      </w:r>
    </w:p>
    <w:p w14:paraId="131BFB19" w14:textId="26396A5F" w:rsidR="001F09C8" w:rsidRPr="006A0A3F" w:rsidRDefault="001F09C8"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En el presente caso, como en otros, la Corte admite los documentos presentados por la Comisión </w:t>
      </w:r>
      <w:r w:rsidR="004F5EFB" w:rsidRPr="006A0A3F">
        <w:rPr>
          <w:rFonts w:ascii="Verdana" w:hAnsi="Verdana"/>
          <w:sz w:val="20"/>
          <w:lang w:val="es-CR"/>
        </w:rPr>
        <w:t xml:space="preserve">y el representante </w:t>
      </w:r>
      <w:r w:rsidRPr="006A0A3F">
        <w:rPr>
          <w:rFonts w:ascii="Verdana" w:hAnsi="Verdana"/>
          <w:sz w:val="20"/>
          <w:lang w:val="es-CR"/>
        </w:rPr>
        <w:t>en la debida oportunidad procesal (artículo 57 del Reglamento)</w:t>
      </w:r>
      <w:r w:rsidR="004F5EFB" w:rsidRPr="006A0A3F">
        <w:rPr>
          <w:rStyle w:val="FootnoteReference"/>
          <w:rFonts w:ascii="Verdana" w:hAnsi="Verdana"/>
          <w:sz w:val="20"/>
          <w:lang w:val="es-CR"/>
        </w:rPr>
        <w:footnoteReference w:id="37"/>
      </w:r>
      <w:r w:rsidRPr="006A0A3F">
        <w:rPr>
          <w:rFonts w:ascii="Verdana" w:hAnsi="Verdana"/>
          <w:sz w:val="20"/>
          <w:lang w:val="es-CR"/>
        </w:rPr>
        <w:t xml:space="preserve">, </w:t>
      </w:r>
      <w:r w:rsidRPr="006A0A3F">
        <w:rPr>
          <w:rFonts w:ascii="Verdana" w:hAnsi="Verdana"/>
          <w:sz w:val="20"/>
          <w:lang w:val="es-CR"/>
        </w:rPr>
        <w:lastRenderedPageBreak/>
        <w:t>cuya admisibilidad no fue controvertida ni objetada</w:t>
      </w:r>
      <w:r w:rsidRPr="006A0A3F">
        <w:rPr>
          <w:rStyle w:val="FootnoteReference"/>
          <w:rFonts w:ascii="Verdana" w:hAnsi="Verdana"/>
          <w:sz w:val="20"/>
          <w:lang w:val="es-CR"/>
        </w:rPr>
        <w:footnoteReference w:id="38"/>
      </w:r>
      <w:r w:rsidRPr="006A0A3F">
        <w:rPr>
          <w:rFonts w:ascii="Verdana" w:hAnsi="Verdana"/>
          <w:sz w:val="20"/>
          <w:lang w:val="es-CR"/>
        </w:rPr>
        <w:t xml:space="preserve">. </w:t>
      </w:r>
      <w:r w:rsidR="00CC009A" w:rsidRPr="006A0A3F">
        <w:rPr>
          <w:rFonts w:ascii="Verdana" w:hAnsi="Verdana"/>
          <w:sz w:val="20"/>
          <w:lang w:val="es-CR"/>
        </w:rPr>
        <w:t>Sin perjuicio de ello, a continuación se realizan consideraciones puntuales y se resuelven las controversias planteadas sobre la admisibilidad de determinados documentos.</w:t>
      </w:r>
    </w:p>
    <w:p w14:paraId="31D779EE" w14:textId="77777777" w:rsidR="007E7C13" w:rsidRPr="006A0A3F" w:rsidRDefault="007E7C13" w:rsidP="0013423A">
      <w:pPr>
        <w:pStyle w:val="ListParagraph"/>
        <w:ind w:left="0"/>
        <w:jc w:val="both"/>
        <w:rPr>
          <w:rFonts w:ascii="Verdana" w:hAnsi="Verdana"/>
          <w:sz w:val="20"/>
          <w:lang w:val="es-CR"/>
        </w:rPr>
      </w:pPr>
    </w:p>
    <w:p w14:paraId="44D7EB2B" w14:textId="1CAD17F7" w:rsidR="008179EA" w:rsidRPr="006A0A3F" w:rsidRDefault="008179EA" w:rsidP="0013423A">
      <w:pPr>
        <w:pStyle w:val="ListParagraph"/>
        <w:numPr>
          <w:ilvl w:val="0"/>
          <w:numId w:val="4"/>
        </w:numPr>
        <w:ind w:left="0" w:firstLine="0"/>
        <w:jc w:val="both"/>
        <w:rPr>
          <w:rFonts w:ascii="Verdana" w:hAnsi="Verdana"/>
          <w:sz w:val="20"/>
          <w:lang w:val="es-CR"/>
        </w:rPr>
      </w:pPr>
      <w:r w:rsidRPr="006A0A3F">
        <w:rPr>
          <w:rFonts w:ascii="Verdana" w:hAnsi="Verdana"/>
          <w:sz w:val="20"/>
          <w:lang w:val="es-CR"/>
        </w:rPr>
        <w:t>En cuanto a las notas de prensa aportadas oportunamente por la Comisión y el representante, la Corte las admite y las apreciará, según su jurisprudencia, cuando recojan hechos públicos y notorios o declaraciones de funcionarios del Estado, o cuando corroboren aspectos relacionados con el caso</w:t>
      </w:r>
      <w:r w:rsidRPr="006A0A3F">
        <w:rPr>
          <w:rFonts w:ascii="Verdana" w:eastAsia="Batang" w:hAnsi="Verdana" w:cs="Verdana"/>
          <w:sz w:val="20"/>
          <w:lang w:val="es-CR"/>
        </w:rPr>
        <w:t>, siempre que sea posible constatar su fuente y fecha de publicación</w:t>
      </w:r>
      <w:r w:rsidRPr="006A0A3F">
        <w:rPr>
          <w:rStyle w:val="FootnoteReference"/>
          <w:rFonts w:ascii="Verdana" w:eastAsia="Batang" w:hAnsi="Verdana" w:cs="Verdana"/>
          <w:sz w:val="20"/>
          <w:lang w:val="es-CR"/>
        </w:rPr>
        <w:footnoteReference w:id="39"/>
      </w:r>
      <w:r w:rsidRPr="006A0A3F">
        <w:rPr>
          <w:rFonts w:ascii="Verdana" w:eastAsia="Batang" w:hAnsi="Verdana" w:cs="Verdana"/>
          <w:sz w:val="20"/>
          <w:lang w:val="es-CR"/>
        </w:rPr>
        <w:t>.</w:t>
      </w:r>
      <w:r w:rsidRPr="006A0A3F">
        <w:rPr>
          <w:rFonts w:ascii="Verdana" w:eastAsiaTheme="minorHAnsi" w:hAnsi="Verdana"/>
          <w:sz w:val="20"/>
          <w:lang w:val="es-CR"/>
        </w:rPr>
        <w:t xml:space="preserve">  </w:t>
      </w:r>
    </w:p>
    <w:p w14:paraId="260D0257" w14:textId="77777777" w:rsidR="007E7C13" w:rsidRPr="006A0A3F" w:rsidRDefault="007E7C13" w:rsidP="001F09C8">
      <w:pPr>
        <w:pStyle w:val="ListParagraph"/>
        <w:ind w:left="0"/>
        <w:jc w:val="both"/>
        <w:rPr>
          <w:rFonts w:ascii="Calibri" w:hAnsi="Calibri"/>
          <w:lang w:val="es-CR"/>
        </w:rPr>
      </w:pPr>
    </w:p>
    <w:p w14:paraId="277A3990" w14:textId="25CE136D" w:rsidR="00E041F9" w:rsidRPr="006A0A3F" w:rsidRDefault="004E6136" w:rsidP="00901EB3">
      <w:pPr>
        <w:pStyle w:val="ListParagraph"/>
        <w:numPr>
          <w:ilvl w:val="0"/>
          <w:numId w:val="4"/>
        </w:numPr>
        <w:ind w:left="0" w:firstLine="0"/>
        <w:jc w:val="both"/>
        <w:rPr>
          <w:rFonts w:ascii="Verdana" w:eastAsia="Calibri" w:hAnsi="Verdana"/>
          <w:sz w:val="20"/>
          <w:lang w:val="es-CR"/>
        </w:rPr>
      </w:pPr>
      <w:r w:rsidRPr="006A0A3F">
        <w:rPr>
          <w:rFonts w:ascii="Verdana" w:hAnsi="Verdana"/>
          <w:sz w:val="20"/>
          <w:lang w:val="es-CR"/>
        </w:rPr>
        <w:t>E</w:t>
      </w:r>
      <w:r w:rsidR="00D13933" w:rsidRPr="006A0A3F">
        <w:rPr>
          <w:rFonts w:ascii="Verdana" w:hAnsi="Verdana"/>
          <w:sz w:val="20"/>
          <w:lang w:val="es-CR"/>
        </w:rPr>
        <w:t xml:space="preserve">l Estado objetó la admisibilidad y eventual valoración de audios y transcripciones de </w:t>
      </w:r>
      <w:r w:rsidR="0013423A" w:rsidRPr="006A0A3F">
        <w:rPr>
          <w:rFonts w:ascii="Verdana" w:hAnsi="Verdana"/>
          <w:sz w:val="20"/>
          <w:lang w:val="es-CR"/>
        </w:rPr>
        <w:t xml:space="preserve">grabaciones de </w:t>
      </w:r>
      <w:r w:rsidR="00D13933" w:rsidRPr="006A0A3F">
        <w:rPr>
          <w:rFonts w:ascii="Verdana" w:hAnsi="Verdana"/>
          <w:sz w:val="20"/>
          <w:lang w:val="es-CR"/>
        </w:rPr>
        <w:t>conversaciones telefónicas</w:t>
      </w:r>
      <w:r w:rsidR="00D13933" w:rsidRPr="006A0A3F">
        <w:rPr>
          <w:rFonts w:ascii="Verdana" w:eastAsia="Calibri" w:hAnsi="Verdana"/>
          <w:sz w:val="20"/>
          <w:lang w:val="es-CR"/>
        </w:rPr>
        <w:t xml:space="preserve"> supuestamente sostenidas los días 24 y 31 de marzo de 2004 entre la presunta víctima Rocío San Miguel Sosa y dos funcionarios estatales, a saber, Feijoo </w:t>
      </w:r>
      <w:proofErr w:type="spellStart"/>
      <w:r w:rsidR="00D13933" w:rsidRPr="006A0A3F">
        <w:rPr>
          <w:rFonts w:ascii="Verdana" w:eastAsia="Calibri" w:hAnsi="Verdana"/>
          <w:sz w:val="20"/>
          <w:lang w:val="es-CR"/>
        </w:rPr>
        <w:t>Colomine</w:t>
      </w:r>
      <w:proofErr w:type="spellEnd"/>
      <w:r w:rsidR="00D13933" w:rsidRPr="006A0A3F">
        <w:rPr>
          <w:rFonts w:ascii="Verdana" w:eastAsia="Calibri" w:hAnsi="Verdana"/>
          <w:sz w:val="20"/>
          <w:lang w:val="es-CR"/>
        </w:rPr>
        <w:t xml:space="preserve"> (entonces Secretario Ejecutivo del Consejo Nacional del Fronteras) e Ilia </w:t>
      </w:r>
      <w:proofErr w:type="spellStart"/>
      <w:r w:rsidR="00D13933" w:rsidRPr="006A0A3F">
        <w:rPr>
          <w:rFonts w:ascii="Verdana" w:eastAsia="Calibri" w:hAnsi="Verdana"/>
          <w:sz w:val="20"/>
          <w:lang w:val="es-CR"/>
        </w:rPr>
        <w:t>Azpurua</w:t>
      </w:r>
      <w:proofErr w:type="spellEnd"/>
      <w:r w:rsidR="00D13933" w:rsidRPr="006A0A3F">
        <w:rPr>
          <w:rFonts w:ascii="Verdana" w:eastAsia="Calibri" w:hAnsi="Verdana"/>
          <w:sz w:val="20"/>
          <w:lang w:val="es-CR"/>
        </w:rPr>
        <w:t xml:space="preserve"> (entonces consultora jurídica de la Vicepresidencia). </w:t>
      </w:r>
      <w:r w:rsidR="00901EB3" w:rsidRPr="006A0A3F">
        <w:rPr>
          <w:rFonts w:ascii="Verdana" w:eastAsia="Calibri" w:hAnsi="Verdana"/>
          <w:sz w:val="20"/>
          <w:lang w:val="es-CR"/>
        </w:rPr>
        <w:t>E</w:t>
      </w:r>
      <w:r w:rsidR="00D13933" w:rsidRPr="006A0A3F">
        <w:rPr>
          <w:rFonts w:ascii="Verdana" w:eastAsia="Calibri" w:hAnsi="Verdana"/>
          <w:sz w:val="20"/>
          <w:lang w:val="es-CR"/>
        </w:rPr>
        <w:t xml:space="preserve">l Estado </w:t>
      </w:r>
      <w:r w:rsidR="00901EB3" w:rsidRPr="006A0A3F">
        <w:rPr>
          <w:rFonts w:ascii="Verdana" w:eastAsia="Calibri" w:hAnsi="Verdana"/>
          <w:sz w:val="20"/>
          <w:lang w:val="es-CR"/>
        </w:rPr>
        <w:t xml:space="preserve">manifestó que </w:t>
      </w:r>
      <w:r w:rsidR="00D13933" w:rsidRPr="006A0A3F">
        <w:rPr>
          <w:rFonts w:ascii="Verdana" w:eastAsia="Calibri" w:hAnsi="Verdana"/>
          <w:sz w:val="20"/>
          <w:lang w:val="es-CR"/>
        </w:rPr>
        <w:t>desconoce y niega el contenido de las grabaciones</w:t>
      </w:r>
      <w:r w:rsidR="007236DB" w:rsidRPr="006A0A3F">
        <w:rPr>
          <w:rFonts w:ascii="Verdana" w:eastAsia="Calibri" w:hAnsi="Verdana"/>
          <w:sz w:val="20"/>
          <w:lang w:val="es-CR"/>
        </w:rPr>
        <w:t>; que su incorporación al acervo probatorio por parte de la Comisión, así como una eventual valoración de las mismas por parte de este Tribunal, implica una violación del artículo 11 de la Convención;</w:t>
      </w:r>
      <w:r w:rsidR="00D13933" w:rsidRPr="006A0A3F">
        <w:rPr>
          <w:rFonts w:ascii="Verdana" w:eastAsia="Calibri" w:hAnsi="Verdana"/>
          <w:sz w:val="20"/>
          <w:lang w:val="es-CR"/>
        </w:rPr>
        <w:t xml:space="preserve"> y </w:t>
      </w:r>
      <w:r w:rsidR="008C5448" w:rsidRPr="006A0A3F">
        <w:rPr>
          <w:rFonts w:ascii="Verdana" w:eastAsia="Calibri" w:hAnsi="Verdana"/>
          <w:sz w:val="20"/>
          <w:lang w:val="es-CR"/>
        </w:rPr>
        <w:t xml:space="preserve">alegó que </w:t>
      </w:r>
      <w:r w:rsidR="00D13933" w:rsidRPr="006A0A3F">
        <w:rPr>
          <w:rFonts w:ascii="Verdana" w:eastAsia="Calibri" w:hAnsi="Verdana"/>
          <w:sz w:val="20"/>
          <w:lang w:val="es-CR"/>
        </w:rPr>
        <w:t>la Corte debe sentar un sólido precedente que evite que este tipo de prácticas puedan ser consideradas lícitas y legítimas</w:t>
      </w:r>
      <w:r w:rsidR="007236DB" w:rsidRPr="006A0A3F">
        <w:rPr>
          <w:rStyle w:val="FootnoteReference"/>
          <w:rFonts w:ascii="Verdana" w:eastAsia="Calibri" w:hAnsi="Verdana"/>
          <w:sz w:val="20"/>
          <w:lang w:val="es-CR"/>
        </w:rPr>
        <w:footnoteReference w:id="40"/>
      </w:r>
      <w:r w:rsidR="00D13933" w:rsidRPr="006A0A3F">
        <w:rPr>
          <w:rFonts w:ascii="Verdana" w:eastAsia="Calibri" w:hAnsi="Verdana"/>
          <w:sz w:val="20"/>
          <w:lang w:val="es-CR"/>
        </w:rPr>
        <w:t xml:space="preserve">. </w:t>
      </w:r>
    </w:p>
    <w:p w14:paraId="25A8AD7F" w14:textId="77777777" w:rsidR="005005A1" w:rsidRPr="006A0A3F" w:rsidRDefault="005005A1" w:rsidP="008C5448">
      <w:pPr>
        <w:pStyle w:val="ListParagraph"/>
        <w:ind w:left="0"/>
        <w:jc w:val="both"/>
        <w:rPr>
          <w:rFonts w:ascii="Verdana" w:eastAsia="Calibri" w:hAnsi="Verdana"/>
          <w:sz w:val="20"/>
          <w:lang w:val="es-CR"/>
        </w:rPr>
      </w:pPr>
    </w:p>
    <w:p w14:paraId="2A051325" w14:textId="381BA4AA" w:rsidR="009E5163" w:rsidRPr="006A0A3F" w:rsidRDefault="0038127D" w:rsidP="008C5448">
      <w:pPr>
        <w:pStyle w:val="ListParagraph"/>
        <w:numPr>
          <w:ilvl w:val="0"/>
          <w:numId w:val="4"/>
        </w:numPr>
        <w:ind w:left="0" w:firstLine="0"/>
        <w:jc w:val="both"/>
        <w:rPr>
          <w:rFonts w:ascii="Verdana" w:eastAsia="Calibri" w:hAnsi="Verdana"/>
          <w:sz w:val="20"/>
          <w:lang w:val="es-CR"/>
        </w:rPr>
      </w:pPr>
      <w:r w:rsidRPr="006A0A3F">
        <w:rPr>
          <w:rFonts w:ascii="Verdana" w:eastAsia="Calibri" w:hAnsi="Verdana"/>
          <w:sz w:val="20"/>
          <w:lang w:val="es-CR"/>
        </w:rPr>
        <w:t>La Corte hace notar que l</w:t>
      </w:r>
      <w:r w:rsidR="009B417B" w:rsidRPr="006A0A3F">
        <w:rPr>
          <w:rFonts w:ascii="Verdana" w:eastAsia="Calibri" w:hAnsi="Verdana"/>
          <w:sz w:val="20"/>
          <w:lang w:val="es-CR"/>
        </w:rPr>
        <w:t xml:space="preserve">o alegado por el Estado es sustancialmente </w:t>
      </w:r>
      <w:r w:rsidR="006622CF" w:rsidRPr="006A0A3F">
        <w:rPr>
          <w:rFonts w:ascii="Verdana" w:eastAsia="Calibri" w:hAnsi="Verdana"/>
          <w:sz w:val="20"/>
          <w:lang w:val="es-CR"/>
        </w:rPr>
        <w:t xml:space="preserve">similar </w:t>
      </w:r>
      <w:r w:rsidR="009B417B" w:rsidRPr="006A0A3F">
        <w:rPr>
          <w:rFonts w:ascii="Verdana" w:eastAsia="Calibri" w:hAnsi="Verdana"/>
          <w:sz w:val="20"/>
          <w:lang w:val="es-CR"/>
        </w:rPr>
        <w:t xml:space="preserve">a lo </w:t>
      </w:r>
      <w:r w:rsidR="00DE435A" w:rsidRPr="006A0A3F">
        <w:rPr>
          <w:rFonts w:ascii="Verdana" w:eastAsia="Calibri" w:hAnsi="Verdana"/>
          <w:sz w:val="20"/>
          <w:lang w:val="es-CR"/>
        </w:rPr>
        <w:t>alegado</w:t>
      </w:r>
      <w:r w:rsidR="009B417B" w:rsidRPr="006A0A3F">
        <w:rPr>
          <w:rFonts w:ascii="Verdana" w:eastAsia="Calibri" w:hAnsi="Verdana"/>
          <w:sz w:val="20"/>
          <w:lang w:val="es-CR"/>
        </w:rPr>
        <w:t xml:space="preserve"> al respecto ante l</w:t>
      </w:r>
      <w:r w:rsidR="007236DB" w:rsidRPr="006A0A3F">
        <w:rPr>
          <w:rFonts w:ascii="Verdana" w:eastAsia="Calibri" w:hAnsi="Verdana"/>
          <w:sz w:val="20"/>
          <w:lang w:val="es-CR"/>
        </w:rPr>
        <w:t>a Comisión. T</w:t>
      </w:r>
      <w:r w:rsidR="00ED4F97" w:rsidRPr="006A0A3F">
        <w:rPr>
          <w:rFonts w:ascii="Verdana" w:eastAsia="Calibri" w:hAnsi="Verdana"/>
          <w:sz w:val="20"/>
          <w:lang w:val="es-CR"/>
        </w:rPr>
        <w:t xml:space="preserve">ales grabaciones </w:t>
      </w:r>
      <w:r w:rsidR="007236DB" w:rsidRPr="006A0A3F">
        <w:rPr>
          <w:rFonts w:ascii="Verdana" w:eastAsia="Calibri" w:hAnsi="Verdana"/>
          <w:sz w:val="20"/>
          <w:lang w:val="es-CR"/>
        </w:rPr>
        <w:t>habían sido</w:t>
      </w:r>
      <w:r w:rsidR="00ED4F97" w:rsidRPr="006A0A3F">
        <w:rPr>
          <w:rFonts w:ascii="Verdana" w:eastAsia="Calibri" w:hAnsi="Verdana"/>
          <w:sz w:val="20"/>
          <w:lang w:val="es-CR"/>
        </w:rPr>
        <w:t xml:space="preserve"> aportadas por el representante durante el trámite del caso ante </w:t>
      </w:r>
      <w:r w:rsidR="00DE435A" w:rsidRPr="006A0A3F">
        <w:rPr>
          <w:rFonts w:ascii="Verdana" w:eastAsia="Calibri" w:hAnsi="Verdana"/>
          <w:sz w:val="20"/>
          <w:lang w:val="es-CR"/>
        </w:rPr>
        <w:t>ésta</w:t>
      </w:r>
      <w:r w:rsidR="00ED4F97" w:rsidRPr="006A0A3F">
        <w:rPr>
          <w:rFonts w:ascii="Verdana" w:eastAsia="Calibri" w:hAnsi="Verdana"/>
          <w:sz w:val="20"/>
          <w:lang w:val="es-CR"/>
        </w:rPr>
        <w:t xml:space="preserve">, la cual las admitió y valoró </w:t>
      </w:r>
      <w:r w:rsidR="007236DB" w:rsidRPr="006A0A3F">
        <w:rPr>
          <w:rFonts w:ascii="Verdana" w:eastAsia="Calibri" w:hAnsi="Verdana"/>
          <w:sz w:val="20"/>
          <w:lang w:val="es-CR"/>
        </w:rPr>
        <w:t xml:space="preserve">como una “cuestión previa sobre el uso de cierta prueba” en el capítulo de “hechos probados” de su Informe de </w:t>
      </w:r>
      <w:r w:rsidR="00530E83" w:rsidRPr="006A0A3F">
        <w:rPr>
          <w:rFonts w:ascii="Verdana" w:eastAsia="Calibri" w:hAnsi="Verdana"/>
          <w:sz w:val="20"/>
          <w:lang w:val="es-CR"/>
        </w:rPr>
        <w:t>Fondo</w:t>
      </w:r>
      <w:r w:rsidR="007236DB" w:rsidRPr="006A0A3F">
        <w:rPr>
          <w:rFonts w:ascii="Verdana" w:eastAsia="Calibri" w:hAnsi="Verdana"/>
          <w:sz w:val="20"/>
          <w:lang w:val="es-CR"/>
        </w:rPr>
        <w:t xml:space="preserve">, </w:t>
      </w:r>
      <w:r w:rsidR="00ED4F97" w:rsidRPr="006A0A3F">
        <w:rPr>
          <w:rFonts w:ascii="Verdana" w:eastAsia="Calibri" w:hAnsi="Verdana"/>
          <w:sz w:val="20"/>
          <w:lang w:val="es-CR"/>
        </w:rPr>
        <w:t>como indicios contundentes de que la real motivación de la terminación del contrato de las presuntas víctimas era una represalia por haber firmado la solicitud de referendo revocatorio</w:t>
      </w:r>
      <w:r w:rsidR="007236DB" w:rsidRPr="006A0A3F">
        <w:rPr>
          <w:rStyle w:val="FootnoteReference"/>
          <w:rFonts w:ascii="Verdana" w:eastAsia="Calibri" w:hAnsi="Verdana"/>
          <w:sz w:val="20"/>
          <w:lang w:val="es-CR"/>
        </w:rPr>
        <w:footnoteReference w:id="41"/>
      </w:r>
      <w:r w:rsidR="00ED4F97" w:rsidRPr="006A0A3F">
        <w:rPr>
          <w:rFonts w:ascii="Verdana" w:eastAsia="Calibri" w:hAnsi="Verdana"/>
          <w:sz w:val="20"/>
          <w:lang w:val="es-CR"/>
        </w:rPr>
        <w:t>.</w:t>
      </w:r>
      <w:r w:rsidR="00D13933" w:rsidRPr="006A0A3F">
        <w:rPr>
          <w:rFonts w:ascii="Verdana" w:eastAsia="Calibri" w:hAnsi="Verdana"/>
          <w:sz w:val="20"/>
          <w:lang w:val="es-CR"/>
        </w:rPr>
        <w:t xml:space="preserve"> </w:t>
      </w:r>
      <w:r w:rsidR="009B417B" w:rsidRPr="006A0A3F">
        <w:rPr>
          <w:rFonts w:ascii="Verdana" w:eastAsia="Calibri" w:hAnsi="Verdana"/>
          <w:sz w:val="20"/>
          <w:lang w:val="es-CR"/>
        </w:rPr>
        <w:t xml:space="preserve"> </w:t>
      </w:r>
      <w:r w:rsidR="006622CF" w:rsidRPr="006A0A3F">
        <w:rPr>
          <w:rFonts w:ascii="Verdana" w:eastAsia="Calibri" w:hAnsi="Verdana"/>
          <w:sz w:val="20"/>
          <w:lang w:val="es-CR"/>
        </w:rPr>
        <w:t>Por su parte, e</w:t>
      </w:r>
      <w:r w:rsidR="00D13933" w:rsidRPr="006A0A3F">
        <w:rPr>
          <w:rFonts w:ascii="Verdana" w:eastAsia="Calibri" w:hAnsi="Verdana"/>
          <w:sz w:val="20"/>
          <w:lang w:val="es-CR"/>
        </w:rPr>
        <w:t xml:space="preserve">l representante </w:t>
      </w:r>
      <w:r w:rsidR="006622CF" w:rsidRPr="006A0A3F">
        <w:rPr>
          <w:rFonts w:ascii="Verdana" w:eastAsia="Calibri" w:hAnsi="Verdana"/>
          <w:sz w:val="20"/>
          <w:lang w:val="es-CR"/>
        </w:rPr>
        <w:t>alegó</w:t>
      </w:r>
      <w:r w:rsidR="007236DB" w:rsidRPr="006A0A3F">
        <w:rPr>
          <w:rFonts w:ascii="Verdana" w:eastAsia="Calibri" w:hAnsi="Verdana"/>
          <w:sz w:val="20"/>
          <w:lang w:val="es-CR"/>
        </w:rPr>
        <w:t xml:space="preserve"> que, </w:t>
      </w:r>
      <w:r w:rsidR="00D13933" w:rsidRPr="006A0A3F">
        <w:rPr>
          <w:rFonts w:ascii="Verdana" w:eastAsia="Calibri" w:hAnsi="Verdana"/>
          <w:sz w:val="20"/>
          <w:lang w:val="es-CR"/>
        </w:rPr>
        <w:t xml:space="preserve">si bien las referidas grabaciones se realizaron sin el conocimiento y sin el consentimiento de las otras personas involucradas, se trata de una grabación perfectamente lícita en el marco del </w:t>
      </w:r>
      <w:r w:rsidR="00463888" w:rsidRPr="006A0A3F">
        <w:rPr>
          <w:rFonts w:ascii="Verdana" w:eastAsia="Calibri" w:hAnsi="Verdana"/>
          <w:sz w:val="20"/>
          <w:lang w:val="es-CR"/>
        </w:rPr>
        <w:t xml:space="preserve">derecho </w:t>
      </w:r>
      <w:r w:rsidR="00D13933" w:rsidRPr="006A0A3F">
        <w:rPr>
          <w:rFonts w:ascii="Verdana" w:eastAsia="Calibri" w:hAnsi="Verdana"/>
          <w:sz w:val="20"/>
          <w:lang w:val="es-CR"/>
        </w:rPr>
        <w:t>venezolano</w:t>
      </w:r>
      <w:r w:rsidR="007236DB" w:rsidRPr="006A0A3F">
        <w:rPr>
          <w:rFonts w:ascii="Verdana" w:eastAsia="Calibri" w:hAnsi="Verdana"/>
          <w:sz w:val="20"/>
          <w:lang w:val="es-CR"/>
        </w:rPr>
        <w:t>,</w:t>
      </w:r>
      <w:r w:rsidR="00D13933" w:rsidRPr="006A0A3F">
        <w:rPr>
          <w:rFonts w:ascii="Verdana" w:eastAsia="Calibri" w:hAnsi="Verdana"/>
          <w:sz w:val="20"/>
          <w:lang w:val="es-CR"/>
        </w:rPr>
        <w:t xml:space="preserve"> pues fue hecha por una de las personas que in</w:t>
      </w:r>
      <w:r w:rsidR="007236DB" w:rsidRPr="006A0A3F">
        <w:rPr>
          <w:rFonts w:ascii="Verdana" w:eastAsia="Calibri" w:hAnsi="Verdana"/>
          <w:sz w:val="20"/>
          <w:lang w:val="es-CR"/>
        </w:rPr>
        <w:t>terviene en esas conversaciones</w:t>
      </w:r>
      <w:r w:rsidR="009B417B" w:rsidRPr="006A0A3F">
        <w:rPr>
          <w:rFonts w:ascii="Verdana" w:eastAsia="Calibri" w:hAnsi="Verdana"/>
          <w:sz w:val="20"/>
          <w:lang w:val="es-CR"/>
        </w:rPr>
        <w:t xml:space="preserve">, </w:t>
      </w:r>
      <w:r w:rsidR="00D13933" w:rsidRPr="006A0A3F">
        <w:rPr>
          <w:rFonts w:ascii="Verdana" w:eastAsia="Calibri" w:hAnsi="Verdana"/>
          <w:sz w:val="20"/>
          <w:lang w:val="es-CR"/>
        </w:rPr>
        <w:t xml:space="preserve">en momentos en que pesaba sobre </w:t>
      </w:r>
      <w:r w:rsidR="009B417B" w:rsidRPr="006A0A3F">
        <w:rPr>
          <w:rFonts w:ascii="Verdana" w:eastAsia="Calibri" w:hAnsi="Verdana"/>
          <w:sz w:val="20"/>
          <w:lang w:val="es-CR"/>
        </w:rPr>
        <w:t xml:space="preserve">ella </w:t>
      </w:r>
      <w:r w:rsidR="00D13933" w:rsidRPr="006A0A3F">
        <w:rPr>
          <w:rFonts w:ascii="Verdana" w:eastAsia="Calibri" w:hAnsi="Verdana"/>
          <w:sz w:val="20"/>
          <w:lang w:val="es-CR"/>
        </w:rPr>
        <w:t xml:space="preserve">la amenaza de una agresión </w:t>
      </w:r>
      <w:r w:rsidR="009B417B" w:rsidRPr="006A0A3F">
        <w:rPr>
          <w:rFonts w:ascii="Verdana" w:eastAsia="Calibri" w:hAnsi="Verdana"/>
          <w:sz w:val="20"/>
          <w:lang w:val="es-CR"/>
        </w:rPr>
        <w:t xml:space="preserve">a </w:t>
      </w:r>
      <w:r w:rsidR="00D13933" w:rsidRPr="006A0A3F">
        <w:rPr>
          <w:rFonts w:ascii="Verdana" w:eastAsia="Calibri" w:hAnsi="Verdana"/>
          <w:sz w:val="20"/>
          <w:lang w:val="es-CR"/>
        </w:rPr>
        <w:t xml:space="preserve">sus derechos, por lo cual constituían el único medio disponible para </w:t>
      </w:r>
      <w:r w:rsidR="008C5448" w:rsidRPr="006A0A3F">
        <w:rPr>
          <w:rFonts w:ascii="Verdana" w:eastAsia="Calibri" w:hAnsi="Verdana"/>
          <w:sz w:val="20"/>
          <w:lang w:val="es-CR"/>
        </w:rPr>
        <w:t>su</w:t>
      </w:r>
      <w:r w:rsidR="007236DB" w:rsidRPr="006A0A3F">
        <w:rPr>
          <w:rFonts w:ascii="Verdana" w:eastAsia="Calibri" w:hAnsi="Verdana"/>
          <w:sz w:val="20"/>
          <w:lang w:val="es-CR"/>
        </w:rPr>
        <w:t xml:space="preserve"> defensa y </w:t>
      </w:r>
      <w:r w:rsidR="00D13933" w:rsidRPr="006A0A3F">
        <w:rPr>
          <w:rFonts w:ascii="Verdana" w:eastAsia="Calibri" w:hAnsi="Verdana"/>
          <w:sz w:val="20"/>
          <w:lang w:val="es-CR"/>
        </w:rPr>
        <w:t>no hay, en esas grabaciones, la intención de perjudicar a terceros, ni nada que se refiera a la vida privada</w:t>
      </w:r>
      <w:r w:rsidR="009B417B" w:rsidRPr="006A0A3F">
        <w:rPr>
          <w:rFonts w:ascii="Verdana" w:eastAsia="Calibri" w:hAnsi="Verdana"/>
          <w:sz w:val="20"/>
          <w:lang w:val="es-CR"/>
        </w:rPr>
        <w:t xml:space="preserve">, por lo cual </w:t>
      </w:r>
      <w:r w:rsidR="00D13933" w:rsidRPr="006A0A3F">
        <w:rPr>
          <w:rFonts w:ascii="Verdana" w:eastAsia="Calibri" w:hAnsi="Verdana"/>
          <w:sz w:val="20"/>
          <w:lang w:val="es-CR"/>
        </w:rPr>
        <w:t>solicitó a la Corte que las admita</w:t>
      </w:r>
      <w:r w:rsidR="009B417B" w:rsidRPr="006A0A3F">
        <w:rPr>
          <w:rFonts w:ascii="Verdana" w:eastAsia="Calibri" w:hAnsi="Verdana"/>
          <w:sz w:val="20"/>
          <w:lang w:val="es-CR"/>
        </w:rPr>
        <w:t xml:space="preserve"> como </w:t>
      </w:r>
      <w:r w:rsidR="00D13933" w:rsidRPr="006A0A3F">
        <w:rPr>
          <w:rFonts w:ascii="Verdana" w:eastAsia="Calibri" w:hAnsi="Verdana"/>
          <w:sz w:val="20"/>
          <w:lang w:val="es-CR"/>
        </w:rPr>
        <w:t xml:space="preserve">prueba directa de que las presuntas víctimas fueron objeto de ejercicio arbitrario del poder público. </w:t>
      </w:r>
    </w:p>
    <w:p w14:paraId="2B426D07" w14:textId="77777777" w:rsidR="009B417B" w:rsidRPr="006A0A3F" w:rsidRDefault="009B417B" w:rsidP="009B417B">
      <w:pPr>
        <w:pStyle w:val="ListParagraph"/>
        <w:ind w:left="0"/>
        <w:jc w:val="both"/>
        <w:rPr>
          <w:rFonts w:ascii="Verdana" w:eastAsia="Calibri" w:hAnsi="Verdana"/>
          <w:sz w:val="20"/>
          <w:lang w:val="es-CR"/>
        </w:rPr>
      </w:pPr>
    </w:p>
    <w:p w14:paraId="5BB2E7F3" w14:textId="6EBA842D" w:rsidR="009E5163" w:rsidRPr="006A0A3F" w:rsidRDefault="008C5448" w:rsidP="008C5448">
      <w:pPr>
        <w:pStyle w:val="ListParagraph"/>
        <w:numPr>
          <w:ilvl w:val="0"/>
          <w:numId w:val="4"/>
        </w:numPr>
        <w:ind w:left="0" w:firstLine="0"/>
        <w:jc w:val="both"/>
        <w:rPr>
          <w:rFonts w:ascii="Verdana" w:eastAsia="Calibri" w:hAnsi="Verdana"/>
          <w:sz w:val="20"/>
          <w:lang w:val="es-CR"/>
        </w:rPr>
      </w:pPr>
      <w:r w:rsidRPr="006A0A3F">
        <w:rPr>
          <w:rFonts w:ascii="Verdana" w:eastAsia="Calibri" w:hAnsi="Verdana"/>
          <w:sz w:val="20"/>
          <w:lang w:val="es-CR"/>
        </w:rPr>
        <w:t xml:space="preserve">La Corte </w:t>
      </w:r>
      <w:r w:rsidR="00ED4F97" w:rsidRPr="006A0A3F">
        <w:rPr>
          <w:rFonts w:ascii="Verdana" w:eastAsia="Calibri" w:hAnsi="Verdana"/>
          <w:sz w:val="20"/>
          <w:lang w:val="es-CR"/>
        </w:rPr>
        <w:t>estima</w:t>
      </w:r>
      <w:r w:rsidR="009B417B" w:rsidRPr="006A0A3F">
        <w:rPr>
          <w:rFonts w:ascii="Verdana" w:eastAsia="Calibri" w:hAnsi="Verdana"/>
          <w:sz w:val="20"/>
          <w:lang w:val="es-CR"/>
        </w:rPr>
        <w:t xml:space="preserve"> pertinente determinar </w:t>
      </w:r>
      <w:r w:rsidR="00B06FDD" w:rsidRPr="006A0A3F">
        <w:rPr>
          <w:rFonts w:ascii="Verdana" w:eastAsia="Calibri" w:hAnsi="Verdana"/>
          <w:sz w:val="20"/>
          <w:lang w:val="es-CR"/>
        </w:rPr>
        <w:t xml:space="preserve">la admisibilidad de </w:t>
      </w:r>
      <w:r w:rsidR="009B417B" w:rsidRPr="006A0A3F">
        <w:rPr>
          <w:rFonts w:ascii="Verdana" w:eastAsia="Calibri" w:hAnsi="Verdana"/>
          <w:sz w:val="20"/>
          <w:lang w:val="es-CR"/>
        </w:rPr>
        <w:t>tales documentos</w:t>
      </w:r>
      <w:r w:rsidR="00B472ED" w:rsidRPr="006A0A3F">
        <w:rPr>
          <w:rFonts w:ascii="Verdana" w:eastAsia="Calibri" w:hAnsi="Verdana"/>
          <w:sz w:val="20"/>
          <w:lang w:val="es-CR"/>
        </w:rPr>
        <w:t>,</w:t>
      </w:r>
      <w:r w:rsidR="009B417B" w:rsidRPr="006A0A3F">
        <w:rPr>
          <w:rFonts w:ascii="Verdana" w:eastAsia="Calibri" w:hAnsi="Verdana"/>
          <w:sz w:val="20"/>
          <w:lang w:val="es-CR"/>
        </w:rPr>
        <w:t xml:space="preserve"> </w:t>
      </w:r>
      <w:r w:rsidR="00B06FDD" w:rsidRPr="006A0A3F">
        <w:rPr>
          <w:rFonts w:ascii="Verdana" w:eastAsia="Calibri" w:hAnsi="Verdana"/>
          <w:sz w:val="20"/>
          <w:lang w:val="es-CR"/>
        </w:rPr>
        <w:t>previo a los capítulos de hechos probados y de fondo.</w:t>
      </w:r>
    </w:p>
    <w:p w14:paraId="68C4A9CC" w14:textId="77777777" w:rsidR="009E5163" w:rsidRPr="006A0A3F" w:rsidRDefault="009E5163" w:rsidP="00E041F9">
      <w:pPr>
        <w:pStyle w:val="ListParagraph"/>
        <w:ind w:left="0"/>
        <w:jc w:val="both"/>
        <w:rPr>
          <w:rFonts w:ascii="Calibri" w:eastAsia="Calibri" w:hAnsi="Calibri"/>
          <w:lang w:val="es-CR"/>
        </w:rPr>
      </w:pPr>
    </w:p>
    <w:p w14:paraId="3ABC0873" w14:textId="09426B6B" w:rsidR="00D13933" w:rsidRPr="006A0A3F" w:rsidRDefault="00D13933" w:rsidP="00F1286D">
      <w:pPr>
        <w:pStyle w:val="ListParagraph"/>
        <w:numPr>
          <w:ilvl w:val="0"/>
          <w:numId w:val="4"/>
        </w:numPr>
        <w:ind w:left="0" w:firstLine="0"/>
        <w:jc w:val="both"/>
        <w:rPr>
          <w:rFonts w:ascii="Verdana" w:eastAsia="Calibri" w:hAnsi="Verdana"/>
          <w:sz w:val="20"/>
          <w:lang w:val="es-CR"/>
        </w:rPr>
      </w:pPr>
      <w:r w:rsidRPr="006A0A3F">
        <w:rPr>
          <w:rFonts w:ascii="Verdana" w:eastAsia="Calibri" w:hAnsi="Verdana"/>
          <w:sz w:val="20"/>
          <w:lang w:val="es-CR"/>
        </w:rPr>
        <w:t xml:space="preserve">En primer lugar, </w:t>
      </w:r>
      <w:r w:rsidR="00F1286D" w:rsidRPr="006A0A3F">
        <w:rPr>
          <w:rFonts w:ascii="Verdana" w:eastAsia="Calibri" w:hAnsi="Verdana"/>
          <w:sz w:val="20"/>
          <w:lang w:val="es-CR"/>
        </w:rPr>
        <w:t>en cuanto a los alegat</w:t>
      </w:r>
      <w:r w:rsidR="00B06FDD" w:rsidRPr="006A0A3F">
        <w:rPr>
          <w:rFonts w:ascii="Verdana" w:eastAsia="Calibri" w:hAnsi="Verdana"/>
          <w:sz w:val="20"/>
          <w:lang w:val="es-CR"/>
        </w:rPr>
        <w:t>os sobre</w:t>
      </w:r>
      <w:r w:rsidRPr="006A0A3F">
        <w:rPr>
          <w:rFonts w:ascii="Verdana" w:eastAsia="Calibri" w:hAnsi="Verdana"/>
          <w:sz w:val="20"/>
          <w:lang w:val="es-CR"/>
        </w:rPr>
        <w:t xml:space="preserve"> inexistencia de una experticia que determine la autenticidad y contenido de tales grabaciones, así como </w:t>
      </w:r>
      <w:r w:rsidR="00ED4F97" w:rsidRPr="006A0A3F">
        <w:rPr>
          <w:rFonts w:ascii="Verdana" w:eastAsia="Calibri" w:hAnsi="Verdana"/>
          <w:sz w:val="20"/>
          <w:lang w:val="es-CR"/>
        </w:rPr>
        <w:t xml:space="preserve">sobre </w:t>
      </w:r>
      <w:r w:rsidRPr="006A0A3F">
        <w:rPr>
          <w:rFonts w:ascii="Verdana" w:eastAsia="Calibri" w:hAnsi="Verdana"/>
          <w:sz w:val="20"/>
          <w:lang w:val="es-CR"/>
        </w:rPr>
        <w:t>la identidad de los supuestos dialogantes</w:t>
      </w:r>
      <w:r w:rsidR="00ED4F97" w:rsidRPr="006A0A3F">
        <w:rPr>
          <w:rFonts w:ascii="Verdana" w:eastAsia="Calibri" w:hAnsi="Verdana"/>
          <w:sz w:val="20"/>
          <w:lang w:val="es-CR"/>
        </w:rPr>
        <w:t xml:space="preserve"> o sobre la hipótesis de una interceptación telefónica ilegal</w:t>
      </w:r>
      <w:r w:rsidR="00B06FDD" w:rsidRPr="006A0A3F">
        <w:rPr>
          <w:rFonts w:ascii="Verdana" w:eastAsia="Calibri" w:hAnsi="Verdana"/>
          <w:sz w:val="20"/>
          <w:lang w:val="es-CR"/>
        </w:rPr>
        <w:t xml:space="preserve">, </w:t>
      </w:r>
      <w:r w:rsidR="00F1286D" w:rsidRPr="006A0A3F">
        <w:rPr>
          <w:rFonts w:ascii="Verdana" w:eastAsia="Calibri" w:hAnsi="Verdana"/>
          <w:sz w:val="20"/>
          <w:lang w:val="es-CR"/>
        </w:rPr>
        <w:t>el Tribunal hace notar</w:t>
      </w:r>
      <w:r w:rsidR="00B06FDD" w:rsidRPr="006A0A3F">
        <w:rPr>
          <w:rFonts w:ascii="Verdana" w:eastAsia="Calibri" w:hAnsi="Verdana"/>
          <w:sz w:val="20"/>
          <w:lang w:val="es-CR"/>
        </w:rPr>
        <w:t xml:space="preserve"> que, </w:t>
      </w:r>
      <w:r w:rsidRPr="006A0A3F">
        <w:rPr>
          <w:rFonts w:ascii="Verdana" w:eastAsia="Calibri" w:hAnsi="Verdana"/>
          <w:sz w:val="20"/>
          <w:lang w:val="es-CR"/>
        </w:rPr>
        <w:t xml:space="preserve">si consideraba que tales </w:t>
      </w:r>
      <w:r w:rsidR="00ED4F97" w:rsidRPr="006A0A3F">
        <w:rPr>
          <w:rFonts w:ascii="Verdana" w:eastAsia="Calibri" w:hAnsi="Verdana"/>
          <w:sz w:val="20"/>
          <w:lang w:val="es-CR"/>
        </w:rPr>
        <w:t xml:space="preserve">grabaciones </w:t>
      </w:r>
      <w:r w:rsidRPr="006A0A3F">
        <w:rPr>
          <w:rFonts w:ascii="Verdana" w:eastAsia="Calibri" w:hAnsi="Verdana"/>
          <w:sz w:val="20"/>
          <w:lang w:val="es-CR"/>
        </w:rPr>
        <w:t xml:space="preserve">presentaban vicios que los hacían inadmisibles como prueba, </w:t>
      </w:r>
      <w:r w:rsidR="00ED4F97" w:rsidRPr="006A0A3F">
        <w:rPr>
          <w:rFonts w:ascii="Verdana" w:eastAsia="Calibri" w:hAnsi="Verdana"/>
          <w:sz w:val="20"/>
          <w:lang w:val="es-CR"/>
        </w:rPr>
        <w:t>el Estado tuvo la oportunidad de ofrecer</w:t>
      </w:r>
      <w:r w:rsidRPr="006A0A3F">
        <w:rPr>
          <w:rFonts w:ascii="Verdana" w:eastAsia="Calibri" w:hAnsi="Verdana"/>
          <w:sz w:val="20"/>
          <w:lang w:val="es-CR"/>
        </w:rPr>
        <w:t xml:space="preserve"> pruebas o peritajes</w:t>
      </w:r>
      <w:r w:rsidR="00ED4F97" w:rsidRPr="006A0A3F">
        <w:rPr>
          <w:rFonts w:ascii="Verdana" w:eastAsia="Calibri" w:hAnsi="Verdana"/>
          <w:sz w:val="20"/>
          <w:lang w:val="es-CR"/>
        </w:rPr>
        <w:t xml:space="preserve"> para sustentar su posición</w:t>
      </w:r>
      <w:r w:rsidR="004E6136" w:rsidRPr="006A0A3F">
        <w:rPr>
          <w:rFonts w:ascii="Verdana" w:eastAsia="Calibri" w:hAnsi="Verdana"/>
          <w:sz w:val="20"/>
          <w:lang w:val="es-CR"/>
        </w:rPr>
        <w:t xml:space="preserve"> durante el procedimiento del caso ante este Tribunal</w:t>
      </w:r>
      <w:r w:rsidRPr="006A0A3F">
        <w:rPr>
          <w:rFonts w:ascii="Verdana" w:eastAsia="Calibri" w:hAnsi="Verdana"/>
          <w:sz w:val="20"/>
          <w:lang w:val="es-CR"/>
        </w:rPr>
        <w:t xml:space="preserve">. Sin embargo, al no haberlo hecho, tales alegatos resultan </w:t>
      </w:r>
      <w:r w:rsidR="00B06FDD" w:rsidRPr="006A0A3F">
        <w:rPr>
          <w:rFonts w:ascii="Verdana" w:eastAsia="Calibri" w:hAnsi="Verdana"/>
          <w:sz w:val="20"/>
          <w:lang w:val="es-CR"/>
        </w:rPr>
        <w:t>extemporáneos</w:t>
      </w:r>
      <w:r w:rsidRPr="006A0A3F">
        <w:rPr>
          <w:rFonts w:ascii="Verdana" w:eastAsia="Calibri" w:hAnsi="Verdana"/>
          <w:sz w:val="20"/>
          <w:lang w:val="es-CR"/>
        </w:rPr>
        <w:t xml:space="preserve"> y especulativos. </w:t>
      </w:r>
    </w:p>
    <w:p w14:paraId="7748CA8B" w14:textId="77777777" w:rsidR="00E041F9" w:rsidRPr="006A0A3F" w:rsidRDefault="00E041F9" w:rsidP="00F1286D">
      <w:pPr>
        <w:pStyle w:val="ListParagraph"/>
        <w:ind w:left="0"/>
        <w:jc w:val="both"/>
        <w:rPr>
          <w:rFonts w:ascii="Verdana" w:eastAsia="Calibri" w:hAnsi="Verdana"/>
          <w:sz w:val="20"/>
          <w:lang w:val="es-CR"/>
        </w:rPr>
      </w:pPr>
    </w:p>
    <w:p w14:paraId="54AEF0C9" w14:textId="467E89E8" w:rsidR="00596332" w:rsidRPr="006A0A3F" w:rsidRDefault="00D13933" w:rsidP="00596332">
      <w:pPr>
        <w:pStyle w:val="ListParagraph"/>
        <w:numPr>
          <w:ilvl w:val="0"/>
          <w:numId w:val="4"/>
        </w:numPr>
        <w:ind w:left="0" w:firstLine="0"/>
        <w:jc w:val="both"/>
        <w:rPr>
          <w:rFonts w:ascii="Verdana" w:eastAsia="Calibri" w:hAnsi="Verdana"/>
          <w:sz w:val="20"/>
          <w:lang w:val="es-CR"/>
        </w:rPr>
      </w:pPr>
      <w:r w:rsidRPr="006A0A3F">
        <w:rPr>
          <w:rFonts w:ascii="Verdana" w:eastAsia="Calibri" w:hAnsi="Verdana"/>
          <w:sz w:val="20"/>
          <w:lang w:val="es-CR"/>
        </w:rPr>
        <w:t>En</w:t>
      </w:r>
      <w:r w:rsidR="00B06FDD" w:rsidRPr="006A0A3F">
        <w:rPr>
          <w:rFonts w:ascii="Verdana" w:eastAsia="Calibri" w:hAnsi="Verdana"/>
          <w:sz w:val="20"/>
          <w:lang w:val="es-CR"/>
        </w:rPr>
        <w:t xml:space="preserve"> segundo lugar</w:t>
      </w:r>
      <w:r w:rsidRPr="006A0A3F">
        <w:rPr>
          <w:rFonts w:ascii="Verdana" w:eastAsia="Calibri" w:hAnsi="Verdana"/>
          <w:sz w:val="20"/>
          <w:lang w:val="es-CR"/>
        </w:rPr>
        <w:t xml:space="preserve">, </w:t>
      </w:r>
      <w:r w:rsidR="006622CF" w:rsidRPr="006A0A3F">
        <w:rPr>
          <w:rFonts w:ascii="Verdana" w:eastAsia="Calibri" w:hAnsi="Verdana"/>
          <w:sz w:val="20"/>
          <w:lang w:val="es-CR"/>
        </w:rPr>
        <w:t>el Estado alega sustancialmente, haciendo énfasis en lo decidido por sus instancias judiciales internas</w:t>
      </w:r>
      <w:r w:rsidR="009B1745" w:rsidRPr="006A0A3F">
        <w:rPr>
          <w:rStyle w:val="FootnoteReference"/>
          <w:rFonts w:ascii="Verdana" w:eastAsia="Calibri" w:hAnsi="Verdana"/>
          <w:sz w:val="20"/>
          <w:lang w:val="es-CR"/>
        </w:rPr>
        <w:footnoteReference w:id="42"/>
      </w:r>
      <w:r w:rsidR="006622CF" w:rsidRPr="006A0A3F">
        <w:rPr>
          <w:rFonts w:ascii="Verdana" w:eastAsia="Calibri" w:hAnsi="Verdana"/>
          <w:sz w:val="20"/>
          <w:lang w:val="es-CR"/>
        </w:rPr>
        <w:t xml:space="preserve">, que las grabaciones telefónicas son ilegales. </w:t>
      </w:r>
      <w:r w:rsidR="00692E57" w:rsidRPr="006A0A3F">
        <w:rPr>
          <w:rFonts w:ascii="Verdana" w:eastAsia="Calibri" w:hAnsi="Verdana"/>
          <w:sz w:val="20"/>
          <w:lang w:val="es-CR"/>
        </w:rPr>
        <w:t>En este sentido, lo relevante es, en definitiva, que el Estado no presentó oportunamente tales controversias sobre dichos documentos (</w:t>
      </w:r>
      <w:r w:rsidR="00692E57" w:rsidRPr="006A0A3F">
        <w:rPr>
          <w:rFonts w:ascii="Verdana" w:eastAsia="Calibri" w:hAnsi="Verdana"/>
          <w:i/>
          <w:sz w:val="20"/>
          <w:lang w:val="es-CR"/>
        </w:rPr>
        <w:t xml:space="preserve">supra </w:t>
      </w:r>
      <w:r w:rsidR="00EA0794" w:rsidRPr="006A0A3F">
        <w:rPr>
          <w:rFonts w:ascii="Verdana" w:eastAsia="Calibri" w:hAnsi="Verdana"/>
          <w:sz w:val="20"/>
          <w:lang w:val="es-CR"/>
        </w:rPr>
        <w:t>párr. 19</w:t>
      </w:r>
      <w:r w:rsidR="00692E57" w:rsidRPr="006A0A3F">
        <w:rPr>
          <w:rFonts w:ascii="Verdana" w:eastAsia="Calibri" w:hAnsi="Verdana"/>
          <w:sz w:val="20"/>
          <w:lang w:val="es-CR"/>
        </w:rPr>
        <w:t xml:space="preserve">). </w:t>
      </w:r>
      <w:r w:rsidR="00EF2A5E" w:rsidRPr="006A0A3F">
        <w:rPr>
          <w:rFonts w:ascii="Verdana" w:eastAsia="Calibri" w:hAnsi="Verdana"/>
          <w:sz w:val="20"/>
          <w:lang w:val="es-CR"/>
        </w:rPr>
        <w:t xml:space="preserve">A la vez, es claro que las consideraciones de los órganos judiciales internos no determinan una decisión sobre la admisibilidad y eventual valoración de documentos por parte de este Tribunal internacional, cuyos criterios de valoración de la prueba </w:t>
      </w:r>
      <w:r w:rsidR="00E9067F" w:rsidRPr="006A0A3F">
        <w:rPr>
          <w:rFonts w:ascii="Verdana" w:eastAsia="Calibri" w:hAnsi="Verdana"/>
          <w:sz w:val="20"/>
          <w:lang w:val="es-CR"/>
        </w:rPr>
        <w:t xml:space="preserve">requieren formalidades </w:t>
      </w:r>
      <w:r w:rsidR="00B472ED" w:rsidRPr="006A0A3F">
        <w:rPr>
          <w:rFonts w:ascii="Verdana" w:eastAsia="Calibri" w:hAnsi="Verdana"/>
          <w:sz w:val="20"/>
          <w:lang w:val="es-CR"/>
        </w:rPr>
        <w:t xml:space="preserve">distintas a las requeridas en </w:t>
      </w:r>
      <w:r w:rsidR="00EF2A5E" w:rsidRPr="006A0A3F">
        <w:rPr>
          <w:rFonts w:ascii="Verdana" w:eastAsia="Calibri" w:hAnsi="Verdana"/>
          <w:sz w:val="20"/>
          <w:lang w:val="es-CR"/>
        </w:rPr>
        <w:t>los sistemas legales internos</w:t>
      </w:r>
      <w:r w:rsidR="00825943" w:rsidRPr="006A0A3F">
        <w:rPr>
          <w:rStyle w:val="FootnoteReference"/>
          <w:rFonts w:ascii="Verdana" w:eastAsia="Calibri" w:hAnsi="Verdana"/>
          <w:sz w:val="20"/>
          <w:lang w:val="es-CR"/>
        </w:rPr>
        <w:footnoteReference w:id="43"/>
      </w:r>
      <w:r w:rsidR="00B472ED" w:rsidRPr="006A0A3F">
        <w:rPr>
          <w:rFonts w:ascii="Verdana" w:eastAsia="Calibri" w:hAnsi="Verdana"/>
          <w:sz w:val="20"/>
          <w:lang w:val="es-CR"/>
        </w:rPr>
        <w:t>, pues el obligado bajo la Convención es el Estado y no el individuo</w:t>
      </w:r>
      <w:r w:rsidR="00EF2A5E" w:rsidRPr="006A0A3F">
        <w:rPr>
          <w:rFonts w:ascii="Verdana" w:eastAsia="Calibri" w:hAnsi="Verdana"/>
          <w:sz w:val="20"/>
          <w:lang w:val="es-CR"/>
        </w:rPr>
        <w:t xml:space="preserve">. </w:t>
      </w:r>
      <w:r w:rsidR="00692E57" w:rsidRPr="006A0A3F">
        <w:rPr>
          <w:rFonts w:ascii="Verdana" w:eastAsia="Calibri" w:hAnsi="Verdana"/>
          <w:sz w:val="20"/>
          <w:lang w:val="es-CR"/>
        </w:rPr>
        <w:t>Las cuestiones sobre la ausencia de conocimiento o consentimiento de uno de los interlocutores de una conversación telefónica para ser grabado, y si ello afectaría la posibilidad de que el r</w:t>
      </w:r>
      <w:r w:rsidR="001308C2">
        <w:rPr>
          <w:rFonts w:ascii="Verdana" w:eastAsia="Calibri" w:hAnsi="Verdana"/>
          <w:sz w:val="20"/>
          <w:lang w:val="es-CR"/>
        </w:rPr>
        <w:t>egistro de la misma sea ofrecido</w:t>
      </w:r>
      <w:r w:rsidR="00692E57" w:rsidRPr="006A0A3F">
        <w:rPr>
          <w:rFonts w:ascii="Verdana" w:eastAsia="Calibri" w:hAnsi="Verdana"/>
          <w:sz w:val="20"/>
          <w:lang w:val="es-CR"/>
        </w:rPr>
        <w:t xml:space="preserve"> como prueba en un proceso penal o de otra</w:t>
      </w:r>
      <w:r w:rsidR="001308C2">
        <w:rPr>
          <w:rFonts w:ascii="Verdana" w:eastAsia="Calibri" w:hAnsi="Verdana"/>
          <w:sz w:val="20"/>
          <w:lang w:val="es-CR"/>
        </w:rPr>
        <w:t xml:space="preserve"> índole y eventualmente valorado</w:t>
      </w:r>
      <w:r w:rsidR="00692E57" w:rsidRPr="006A0A3F">
        <w:rPr>
          <w:rFonts w:ascii="Verdana" w:eastAsia="Calibri" w:hAnsi="Verdana"/>
          <w:sz w:val="20"/>
          <w:lang w:val="es-CR"/>
        </w:rPr>
        <w:t xml:space="preserve"> judicialmente, podrían ser atinentes al fondo del caso. </w:t>
      </w:r>
      <w:r w:rsidR="005E23D0" w:rsidRPr="006A0A3F">
        <w:rPr>
          <w:rFonts w:ascii="Verdana" w:eastAsia="HiddenHorzOCR" w:hAnsi="Verdana" w:cs="HiddenHorzOCR"/>
          <w:sz w:val="20"/>
          <w:lang w:val="es-CR"/>
        </w:rPr>
        <w:t>Por ende</w:t>
      </w:r>
      <w:r w:rsidRPr="006A0A3F">
        <w:rPr>
          <w:rFonts w:ascii="Verdana" w:eastAsia="HiddenHorzOCR" w:hAnsi="Verdana" w:cs="HiddenHorzOCR"/>
          <w:sz w:val="20"/>
          <w:lang w:val="es-CR"/>
        </w:rPr>
        <w:t>,</w:t>
      </w:r>
      <w:r w:rsidR="008E5DBB" w:rsidRPr="006A0A3F">
        <w:rPr>
          <w:rFonts w:ascii="Verdana" w:eastAsia="HiddenHorzOCR" w:hAnsi="Verdana" w:cs="HiddenHorzOCR"/>
          <w:sz w:val="20"/>
          <w:lang w:val="es-CR"/>
        </w:rPr>
        <w:t xml:space="preserve"> la Corte</w:t>
      </w:r>
      <w:r w:rsidR="005E23D0" w:rsidRPr="006A0A3F">
        <w:rPr>
          <w:rFonts w:ascii="Verdana" w:eastAsia="HiddenHorzOCR" w:hAnsi="Verdana" w:cs="HiddenHorzOCR"/>
          <w:sz w:val="20"/>
          <w:lang w:val="es-CR"/>
        </w:rPr>
        <w:t xml:space="preserve"> admite tales grabaciones y transcripciones como </w:t>
      </w:r>
      <w:r w:rsidR="00C81751" w:rsidRPr="006A0A3F">
        <w:rPr>
          <w:rFonts w:ascii="Verdana" w:eastAsia="HiddenHorzOCR" w:hAnsi="Verdana" w:cs="HiddenHorzOCR"/>
          <w:sz w:val="20"/>
          <w:lang w:val="es-CR"/>
        </w:rPr>
        <w:t xml:space="preserve">pruebas documentales, </w:t>
      </w:r>
      <w:r w:rsidR="005E23D0" w:rsidRPr="006A0A3F">
        <w:rPr>
          <w:rFonts w:ascii="Verdana" w:eastAsia="HiddenHorzOCR" w:hAnsi="Verdana" w:cs="HiddenHorzOCR"/>
          <w:sz w:val="20"/>
          <w:lang w:val="es-CR"/>
        </w:rPr>
        <w:t xml:space="preserve">las cuales </w:t>
      </w:r>
      <w:r w:rsidRPr="006A0A3F">
        <w:rPr>
          <w:rFonts w:ascii="Verdana" w:eastAsia="HiddenHorzOCR" w:hAnsi="Verdana" w:cs="HiddenHorzOCR"/>
          <w:sz w:val="20"/>
          <w:lang w:val="es-CR"/>
        </w:rPr>
        <w:t xml:space="preserve">serán valoradas oportunamente, de conformidad </w:t>
      </w:r>
      <w:r w:rsidRPr="006A0A3F">
        <w:rPr>
          <w:rFonts w:ascii="Verdana" w:hAnsi="Verdana"/>
          <w:sz w:val="20"/>
          <w:lang w:val="es-CR"/>
        </w:rPr>
        <w:t xml:space="preserve">con los principios de la sana crítica, </w:t>
      </w:r>
      <w:r w:rsidR="00C81751" w:rsidRPr="006A0A3F">
        <w:rPr>
          <w:rFonts w:ascii="Verdana" w:hAnsi="Verdana"/>
          <w:sz w:val="20"/>
          <w:lang w:val="es-CR"/>
        </w:rPr>
        <w:t xml:space="preserve">y </w:t>
      </w:r>
      <w:r w:rsidRPr="006A0A3F">
        <w:rPr>
          <w:rFonts w:ascii="Verdana" w:hAnsi="Verdana"/>
          <w:sz w:val="20"/>
          <w:lang w:val="es-CR"/>
        </w:rPr>
        <w:t>dentro del marco normativo correspondiente</w:t>
      </w:r>
      <w:r w:rsidR="005E23D0" w:rsidRPr="006A0A3F">
        <w:rPr>
          <w:rFonts w:ascii="Verdana" w:hAnsi="Verdana"/>
          <w:sz w:val="20"/>
          <w:lang w:val="es-CR"/>
        </w:rPr>
        <w:t>,</w:t>
      </w:r>
      <w:r w:rsidRPr="006A0A3F">
        <w:rPr>
          <w:rFonts w:ascii="Verdana" w:hAnsi="Verdana"/>
          <w:sz w:val="20"/>
          <w:lang w:val="es-CR"/>
        </w:rPr>
        <w:t xml:space="preserve"> teniendo en cuenta el conjunto del acervo probatorio y lo alegado en la causa</w:t>
      </w:r>
      <w:r w:rsidRPr="006A0A3F">
        <w:rPr>
          <w:rStyle w:val="FootnoteReference"/>
          <w:rFonts w:ascii="Verdana" w:hAnsi="Verdana"/>
          <w:sz w:val="20"/>
          <w:lang w:val="es-CR"/>
        </w:rPr>
        <w:footnoteReference w:id="44"/>
      </w:r>
      <w:r w:rsidR="00596332" w:rsidRPr="006A0A3F">
        <w:rPr>
          <w:rFonts w:ascii="Verdana" w:hAnsi="Verdana"/>
          <w:sz w:val="20"/>
          <w:lang w:val="es-CR"/>
        </w:rPr>
        <w:t>.</w:t>
      </w:r>
    </w:p>
    <w:p w14:paraId="79E7E456" w14:textId="77777777" w:rsidR="00596332" w:rsidRPr="006A0A3F" w:rsidRDefault="00596332" w:rsidP="00596332">
      <w:pPr>
        <w:pStyle w:val="ListParagraph"/>
        <w:ind w:left="0"/>
        <w:jc w:val="both"/>
        <w:rPr>
          <w:rFonts w:ascii="Verdana" w:eastAsia="Calibri" w:hAnsi="Verdana"/>
          <w:sz w:val="20"/>
          <w:lang w:val="es-CR"/>
        </w:rPr>
      </w:pPr>
    </w:p>
    <w:p w14:paraId="4810B6CC" w14:textId="1075AF5A" w:rsidR="00596332" w:rsidRPr="006A0A3F" w:rsidRDefault="00A0187C" w:rsidP="00596332">
      <w:pPr>
        <w:pStyle w:val="ListParagraph"/>
        <w:numPr>
          <w:ilvl w:val="0"/>
          <w:numId w:val="4"/>
        </w:numPr>
        <w:ind w:left="0" w:firstLine="0"/>
        <w:jc w:val="both"/>
        <w:rPr>
          <w:rFonts w:ascii="Verdana" w:eastAsia="Calibri" w:hAnsi="Verdana"/>
          <w:sz w:val="20"/>
          <w:lang w:val="es-CR"/>
        </w:rPr>
      </w:pPr>
      <w:r w:rsidRPr="006A0A3F">
        <w:rPr>
          <w:rFonts w:ascii="Verdana" w:hAnsi="Verdana"/>
          <w:sz w:val="20"/>
          <w:lang w:val="es-CR"/>
        </w:rPr>
        <w:t>Con respecto a algunos documentos señalados por las partes por medio de enlaces electrónicos, el Tribunal ha establecido que si una parte proporciona al menos el enlace electrónico directo del documento que cita como prueba y es posible acceder a éste, no se ve afectada la seguridad jurídica ni el equilibrio procesal, porque es inmediatamente localizable por el Tribunal y por las otras partes</w:t>
      </w:r>
      <w:bookmarkStart w:id="15" w:name="_Ref318127123"/>
      <w:r w:rsidRPr="006A0A3F">
        <w:rPr>
          <w:rFonts w:ascii="Verdana" w:hAnsi="Verdana"/>
          <w:w w:val="95"/>
          <w:sz w:val="20"/>
          <w:vertAlign w:val="superscript"/>
          <w:lang w:val="es-CR"/>
        </w:rPr>
        <w:footnoteReference w:id="45"/>
      </w:r>
      <w:bookmarkEnd w:id="15"/>
      <w:r w:rsidRPr="006A0A3F">
        <w:rPr>
          <w:rFonts w:ascii="Verdana" w:hAnsi="Verdana"/>
          <w:w w:val="95"/>
          <w:sz w:val="20"/>
          <w:lang w:val="es-CR"/>
        </w:rPr>
        <w:t>.</w:t>
      </w:r>
      <w:r w:rsidR="00EA5ACF" w:rsidRPr="006A0A3F">
        <w:rPr>
          <w:rFonts w:ascii="Verdana" w:hAnsi="Verdana"/>
          <w:w w:val="95"/>
          <w:sz w:val="20"/>
          <w:lang w:val="es-CR"/>
        </w:rPr>
        <w:t xml:space="preserve"> </w:t>
      </w:r>
      <w:r w:rsidRPr="006A0A3F">
        <w:rPr>
          <w:rFonts w:ascii="Verdana" w:hAnsi="Verdana"/>
          <w:sz w:val="20"/>
          <w:lang w:val="es-CR"/>
        </w:rPr>
        <w:t>A</w:t>
      </w:r>
      <w:r w:rsidR="00596332" w:rsidRPr="006A0A3F">
        <w:rPr>
          <w:rFonts w:ascii="Verdana" w:hAnsi="Verdana"/>
          <w:sz w:val="20"/>
          <w:lang w:val="es-CR"/>
        </w:rPr>
        <w:t>lgunos</w:t>
      </w:r>
      <w:r w:rsidR="00EA5ACF" w:rsidRPr="006A0A3F">
        <w:rPr>
          <w:rFonts w:ascii="Verdana" w:hAnsi="Verdana"/>
          <w:sz w:val="20"/>
          <w:lang w:val="es-CR"/>
        </w:rPr>
        <w:t xml:space="preserve"> documentos referidos por la Comisión en su Infor</w:t>
      </w:r>
      <w:r w:rsidR="006B7AD9" w:rsidRPr="006A0A3F">
        <w:rPr>
          <w:rFonts w:ascii="Verdana" w:hAnsi="Verdana"/>
          <w:sz w:val="20"/>
          <w:lang w:val="es-CR"/>
        </w:rPr>
        <w:t>me</w:t>
      </w:r>
      <w:r w:rsidR="00EA5ACF" w:rsidRPr="006A0A3F">
        <w:rPr>
          <w:rFonts w:ascii="Verdana" w:hAnsi="Verdana"/>
          <w:sz w:val="20"/>
          <w:lang w:val="es-CR"/>
        </w:rPr>
        <w:t xml:space="preserve"> no son accesibles al momento de dictar esta Sentencia</w:t>
      </w:r>
      <w:r w:rsidR="00596332" w:rsidRPr="006A0A3F">
        <w:rPr>
          <w:rStyle w:val="FootnoteReference"/>
          <w:rFonts w:ascii="Verdana" w:hAnsi="Verdana"/>
          <w:sz w:val="20"/>
          <w:lang w:val="es-CR"/>
        </w:rPr>
        <w:footnoteReference w:id="46"/>
      </w:r>
      <w:r w:rsidR="00EA5ACF" w:rsidRPr="006A0A3F">
        <w:rPr>
          <w:rFonts w:ascii="Verdana" w:hAnsi="Verdana"/>
          <w:sz w:val="20"/>
          <w:lang w:val="es-CR"/>
        </w:rPr>
        <w:t xml:space="preserve">. No obstante, dado que se trata de textos </w:t>
      </w:r>
      <w:r w:rsidR="00596332" w:rsidRPr="006A0A3F">
        <w:rPr>
          <w:rFonts w:ascii="Verdana" w:hAnsi="Verdana"/>
          <w:sz w:val="20"/>
          <w:lang w:val="es-CR"/>
        </w:rPr>
        <w:t>de público conocimiento o que refieren a declaraciones públicas de funcionarios</w:t>
      </w:r>
      <w:r w:rsidR="00EA5ACF" w:rsidRPr="006A0A3F">
        <w:rPr>
          <w:rFonts w:ascii="Verdana" w:hAnsi="Verdana"/>
          <w:sz w:val="20"/>
          <w:lang w:val="es-CR"/>
        </w:rPr>
        <w:t xml:space="preserve">, la Corte constató </w:t>
      </w:r>
      <w:r w:rsidR="00596332" w:rsidRPr="006A0A3F">
        <w:rPr>
          <w:rFonts w:ascii="Verdana" w:hAnsi="Verdana"/>
          <w:sz w:val="20"/>
          <w:lang w:val="es-CR"/>
        </w:rPr>
        <w:t>su contenido mediante el uso de internet, por lo cual, en aplicación del</w:t>
      </w:r>
      <w:r w:rsidR="00EA5ACF" w:rsidRPr="006A0A3F">
        <w:rPr>
          <w:rFonts w:ascii="Verdana" w:hAnsi="Verdana"/>
          <w:sz w:val="20"/>
          <w:lang w:val="es-CR"/>
        </w:rPr>
        <w:t xml:space="preserve"> artículo 58.a) de su Reglamento</w:t>
      </w:r>
      <w:r w:rsidR="00137BF8" w:rsidRPr="006A0A3F">
        <w:rPr>
          <w:rStyle w:val="FootnoteReference"/>
          <w:rFonts w:ascii="Verdana" w:hAnsi="Verdana"/>
          <w:w w:val="95"/>
          <w:sz w:val="20"/>
          <w:lang w:val="es-CR"/>
        </w:rPr>
        <w:footnoteReference w:id="47"/>
      </w:r>
      <w:r w:rsidR="00EA5ACF" w:rsidRPr="006A0A3F">
        <w:rPr>
          <w:rFonts w:ascii="Verdana" w:hAnsi="Verdana"/>
          <w:w w:val="95"/>
          <w:sz w:val="20"/>
          <w:lang w:val="es-CR"/>
        </w:rPr>
        <w:t>,</w:t>
      </w:r>
      <w:r w:rsidR="00EA5ACF" w:rsidRPr="006A0A3F">
        <w:rPr>
          <w:rFonts w:ascii="Verdana" w:hAnsi="Verdana"/>
          <w:sz w:val="20"/>
          <w:lang w:val="es-CR"/>
        </w:rPr>
        <w:t xml:space="preserve"> </w:t>
      </w:r>
      <w:r w:rsidR="00596332" w:rsidRPr="006A0A3F">
        <w:rPr>
          <w:rFonts w:ascii="Verdana" w:hAnsi="Verdana"/>
          <w:sz w:val="20"/>
          <w:lang w:val="es-CR"/>
        </w:rPr>
        <w:t xml:space="preserve">los incorpora de oficio al acervo probatorio de este caso por </w:t>
      </w:r>
      <w:r w:rsidR="00EA5ACF" w:rsidRPr="006A0A3F">
        <w:rPr>
          <w:rFonts w:ascii="Verdana" w:hAnsi="Verdana"/>
          <w:sz w:val="20"/>
          <w:lang w:val="es-CR"/>
        </w:rPr>
        <w:t>estima</w:t>
      </w:r>
      <w:r w:rsidR="00596332" w:rsidRPr="006A0A3F">
        <w:rPr>
          <w:rFonts w:ascii="Verdana" w:hAnsi="Verdana"/>
          <w:sz w:val="20"/>
          <w:lang w:val="es-CR"/>
        </w:rPr>
        <w:t>rlos</w:t>
      </w:r>
      <w:r w:rsidR="00EA5ACF" w:rsidRPr="006A0A3F">
        <w:rPr>
          <w:rFonts w:ascii="Verdana" w:hAnsi="Verdana"/>
          <w:sz w:val="20"/>
          <w:lang w:val="es-CR"/>
        </w:rPr>
        <w:t xml:space="preserve"> </w:t>
      </w:r>
      <w:r w:rsidR="00EA5ACF" w:rsidRPr="006A0A3F">
        <w:rPr>
          <w:rFonts w:ascii="Verdana" w:hAnsi="Verdana"/>
          <w:sz w:val="20"/>
          <w:lang w:val="es-CR"/>
        </w:rPr>
        <w:lastRenderedPageBreak/>
        <w:t xml:space="preserve">útiles o necesarios para el análisis del </w:t>
      </w:r>
      <w:r w:rsidR="00596332" w:rsidRPr="006A0A3F">
        <w:rPr>
          <w:rFonts w:ascii="Verdana" w:hAnsi="Verdana"/>
          <w:sz w:val="20"/>
          <w:lang w:val="es-CR"/>
        </w:rPr>
        <w:t>mismo</w:t>
      </w:r>
      <w:r w:rsidR="00137BF8" w:rsidRPr="006A0A3F">
        <w:rPr>
          <w:rStyle w:val="FootnoteReference"/>
          <w:rFonts w:ascii="Verdana" w:hAnsi="Verdana"/>
          <w:sz w:val="20"/>
          <w:lang w:val="es-CR"/>
        </w:rPr>
        <w:footnoteReference w:id="48"/>
      </w:r>
      <w:r w:rsidR="00137BF8" w:rsidRPr="006A0A3F">
        <w:rPr>
          <w:rFonts w:ascii="Verdana" w:hAnsi="Verdana"/>
          <w:w w:val="95"/>
          <w:sz w:val="20"/>
          <w:lang w:val="es-CR"/>
        </w:rPr>
        <w:t>.</w:t>
      </w:r>
      <w:r w:rsidR="00B472ED" w:rsidRPr="006A0A3F">
        <w:rPr>
          <w:rFonts w:ascii="Verdana" w:hAnsi="Verdana"/>
          <w:w w:val="95"/>
          <w:sz w:val="20"/>
          <w:lang w:val="es-CR"/>
        </w:rPr>
        <w:t xml:space="preserve"> </w:t>
      </w:r>
      <w:r w:rsidR="00B472ED" w:rsidRPr="006A0A3F">
        <w:rPr>
          <w:rFonts w:ascii="Verdana" w:hAnsi="Verdana"/>
          <w:sz w:val="20"/>
          <w:lang w:val="es-CR"/>
        </w:rPr>
        <w:t xml:space="preserve">En este sentido, el Tribunal aclara </w:t>
      </w:r>
      <w:r w:rsidR="008A41FF" w:rsidRPr="006A0A3F">
        <w:rPr>
          <w:rFonts w:ascii="Verdana" w:hAnsi="Verdana"/>
          <w:sz w:val="20"/>
          <w:lang w:val="es-CR"/>
        </w:rPr>
        <w:t xml:space="preserve">que no adopta como hechos probados o como ciertos todos los contenidos que se encuentren en tales enlaces electrónicos, sino </w:t>
      </w:r>
      <w:r w:rsidR="009B29A9" w:rsidRPr="006A0A3F">
        <w:rPr>
          <w:rFonts w:ascii="Verdana" w:hAnsi="Verdana"/>
          <w:sz w:val="20"/>
          <w:lang w:val="es-CR"/>
        </w:rPr>
        <w:t xml:space="preserve">únicamente en cuanto hagan referencia </w:t>
      </w:r>
      <w:r w:rsidR="00825943" w:rsidRPr="006A0A3F">
        <w:rPr>
          <w:rFonts w:ascii="Verdana" w:hAnsi="Verdana"/>
          <w:sz w:val="20"/>
          <w:lang w:val="es-CR"/>
        </w:rPr>
        <w:t xml:space="preserve">o contengan </w:t>
      </w:r>
      <w:r w:rsidR="009B29A9" w:rsidRPr="006A0A3F">
        <w:rPr>
          <w:rFonts w:ascii="Verdana" w:hAnsi="Verdana"/>
          <w:sz w:val="20"/>
          <w:lang w:val="es-CR"/>
        </w:rPr>
        <w:t xml:space="preserve">la fuente específica o información </w:t>
      </w:r>
      <w:r w:rsidR="00825943" w:rsidRPr="006A0A3F">
        <w:rPr>
          <w:rFonts w:ascii="Verdana" w:hAnsi="Verdana"/>
          <w:sz w:val="20"/>
          <w:lang w:val="es-CR"/>
        </w:rPr>
        <w:t>que se cita como</w:t>
      </w:r>
      <w:r w:rsidR="009B29A9" w:rsidRPr="006A0A3F">
        <w:rPr>
          <w:rFonts w:ascii="Verdana" w:hAnsi="Verdana"/>
          <w:sz w:val="20"/>
          <w:lang w:val="es-CR"/>
        </w:rPr>
        <w:t xml:space="preserve"> relevante para efectos del presente caso.</w:t>
      </w:r>
    </w:p>
    <w:p w14:paraId="2E20AE7E" w14:textId="77777777" w:rsidR="005F7287" w:rsidRPr="006A0A3F" w:rsidRDefault="005F7287" w:rsidP="00596332">
      <w:pPr>
        <w:pStyle w:val="ListParagraph"/>
        <w:ind w:left="0"/>
        <w:jc w:val="both"/>
        <w:rPr>
          <w:rFonts w:ascii="Verdana" w:hAnsi="Verdana"/>
          <w:sz w:val="20"/>
          <w:lang w:val="es-CR"/>
        </w:rPr>
      </w:pPr>
    </w:p>
    <w:p w14:paraId="2F41DAF6" w14:textId="77777777" w:rsidR="001F09C8" w:rsidRPr="006A0A3F" w:rsidRDefault="001F09C8" w:rsidP="001F09C8">
      <w:pPr>
        <w:ind w:firstLine="708"/>
        <w:rPr>
          <w:rFonts w:ascii="Verdana" w:hAnsi="Verdana"/>
          <w:b/>
          <w:i/>
          <w:sz w:val="20"/>
          <w:szCs w:val="20"/>
        </w:rPr>
      </w:pPr>
      <w:r w:rsidRPr="006A0A3F">
        <w:rPr>
          <w:rFonts w:ascii="Verdana" w:hAnsi="Verdana"/>
          <w:b/>
          <w:i/>
          <w:sz w:val="20"/>
          <w:szCs w:val="20"/>
        </w:rPr>
        <w:t>B.2)</w:t>
      </w:r>
      <w:r w:rsidRPr="006A0A3F">
        <w:rPr>
          <w:rFonts w:ascii="Verdana" w:hAnsi="Verdana"/>
          <w:b/>
          <w:i/>
          <w:sz w:val="20"/>
          <w:szCs w:val="20"/>
        </w:rPr>
        <w:tab/>
        <w:t xml:space="preserve"> Admisibilidad de la prueba testimonial y pericial</w:t>
      </w:r>
    </w:p>
    <w:p w14:paraId="4ABD5495" w14:textId="77777777" w:rsidR="00D803A6" w:rsidRPr="006A0A3F" w:rsidRDefault="001F09C8"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En cuanto a las declaraciones rendidas ante fedatario público y evacuadas durante la audiencia pública, la Corte las admite en cuanto se ajusten al objeto definido por el Presidente del Tribunal en la Resolución que ordenó recibirlas y al objeto del presente caso.</w:t>
      </w:r>
    </w:p>
    <w:p w14:paraId="37963A3C" w14:textId="77777777" w:rsidR="001F09C8" w:rsidRPr="006A0A3F" w:rsidRDefault="001F09C8" w:rsidP="00C42F15">
      <w:pPr>
        <w:pStyle w:val="ListParagraph"/>
        <w:ind w:left="0"/>
        <w:jc w:val="both"/>
        <w:rPr>
          <w:rFonts w:ascii="Verdana" w:hAnsi="Verdana"/>
          <w:sz w:val="20"/>
          <w:lang w:val="es-CR"/>
        </w:rPr>
      </w:pPr>
    </w:p>
    <w:p w14:paraId="59B22AB1" w14:textId="3E040279" w:rsidR="00C20965" w:rsidRPr="006A0A3F" w:rsidRDefault="00465324" w:rsidP="00C42F15">
      <w:pPr>
        <w:pStyle w:val="ListParagraph"/>
        <w:numPr>
          <w:ilvl w:val="0"/>
          <w:numId w:val="4"/>
        </w:numPr>
        <w:ind w:left="0" w:firstLine="0"/>
        <w:jc w:val="both"/>
        <w:rPr>
          <w:rFonts w:ascii="Verdana" w:hAnsi="Verdana"/>
          <w:sz w:val="20"/>
          <w:lang w:val="es-CR"/>
        </w:rPr>
      </w:pPr>
      <w:r w:rsidRPr="006A0A3F">
        <w:rPr>
          <w:rFonts w:ascii="Verdana" w:hAnsi="Verdana"/>
          <w:sz w:val="20"/>
          <w:lang w:val="es-CR"/>
        </w:rPr>
        <w:t>A</w:t>
      </w:r>
      <w:r w:rsidR="00C20965" w:rsidRPr="006A0A3F">
        <w:rPr>
          <w:rFonts w:ascii="Verdana" w:hAnsi="Verdana"/>
          <w:sz w:val="20"/>
          <w:lang w:val="es-CR"/>
        </w:rPr>
        <w:t>l remitir las declaraciones escritas</w:t>
      </w:r>
      <w:r w:rsidR="001308C2" w:rsidRPr="001308C2">
        <w:rPr>
          <w:rFonts w:ascii="Verdana" w:hAnsi="Verdana"/>
          <w:sz w:val="20"/>
          <w:lang w:val="es-CR"/>
        </w:rPr>
        <w:t xml:space="preserve"> </w:t>
      </w:r>
      <w:r w:rsidR="001308C2" w:rsidRPr="006A0A3F">
        <w:rPr>
          <w:rFonts w:ascii="Verdana" w:hAnsi="Verdana"/>
          <w:sz w:val="20"/>
          <w:lang w:val="es-CR"/>
        </w:rPr>
        <w:t>de quienes residían en Venezuela</w:t>
      </w:r>
      <w:r w:rsidR="00C20965" w:rsidRPr="006A0A3F">
        <w:rPr>
          <w:rFonts w:ascii="Verdana" w:hAnsi="Verdana"/>
          <w:sz w:val="20"/>
          <w:lang w:val="es-CR"/>
        </w:rPr>
        <w:t>, el representante manifestó que no había podido autenticarlas debido a obstáculos opuestos por las notarías públicas para certificar las firmas de los declarantes, por lo cual remitieron las declaraciones acompañadas de copia de documento de identidad, solicitando a la Corte que las aceptara de ese modo. E</w:t>
      </w:r>
      <w:r w:rsidR="00224867" w:rsidRPr="006A0A3F">
        <w:rPr>
          <w:rFonts w:ascii="Verdana" w:hAnsi="Verdana"/>
          <w:sz w:val="20"/>
          <w:lang w:val="es-CR"/>
        </w:rPr>
        <w:t>n alegatos finales</w:t>
      </w:r>
      <w:r w:rsidRPr="006A0A3F">
        <w:rPr>
          <w:rFonts w:ascii="Verdana" w:hAnsi="Verdana"/>
          <w:sz w:val="20"/>
          <w:lang w:val="es-CR"/>
        </w:rPr>
        <w:t>,</w:t>
      </w:r>
      <w:r w:rsidR="00224867" w:rsidRPr="006A0A3F">
        <w:rPr>
          <w:rFonts w:ascii="Verdana" w:hAnsi="Verdana"/>
          <w:sz w:val="20"/>
          <w:lang w:val="es-CR"/>
        </w:rPr>
        <w:t xml:space="preserve"> el representante </w:t>
      </w:r>
      <w:r w:rsidR="00C20965" w:rsidRPr="006A0A3F">
        <w:rPr>
          <w:rFonts w:ascii="Verdana" w:hAnsi="Verdana"/>
          <w:sz w:val="20"/>
          <w:lang w:val="es-CR"/>
        </w:rPr>
        <w:t xml:space="preserve">alegó </w:t>
      </w:r>
      <w:r w:rsidRPr="006A0A3F">
        <w:rPr>
          <w:rFonts w:ascii="Verdana" w:hAnsi="Verdana"/>
          <w:sz w:val="20"/>
          <w:lang w:val="es-CR"/>
        </w:rPr>
        <w:t xml:space="preserve">además </w:t>
      </w:r>
      <w:r w:rsidR="00C20965" w:rsidRPr="006A0A3F">
        <w:rPr>
          <w:rFonts w:ascii="Verdana" w:hAnsi="Verdana"/>
          <w:sz w:val="20"/>
          <w:lang w:val="es-CR"/>
        </w:rPr>
        <w:t xml:space="preserve">que </w:t>
      </w:r>
      <w:r w:rsidR="001308C2">
        <w:rPr>
          <w:rFonts w:ascii="Verdana" w:hAnsi="Verdana"/>
          <w:sz w:val="20"/>
          <w:lang w:val="es-CR"/>
        </w:rPr>
        <w:t xml:space="preserve">ello </w:t>
      </w:r>
      <w:r w:rsidR="00C20965" w:rsidRPr="006A0A3F">
        <w:rPr>
          <w:rFonts w:ascii="Verdana" w:hAnsi="Verdana"/>
          <w:sz w:val="20"/>
          <w:lang w:val="es-CR"/>
        </w:rPr>
        <w:t xml:space="preserve">es </w:t>
      </w:r>
      <w:r w:rsidR="003A741E" w:rsidRPr="006A0A3F">
        <w:rPr>
          <w:rFonts w:ascii="Verdana" w:hAnsi="Verdana"/>
          <w:sz w:val="20"/>
          <w:lang w:val="es-CR"/>
        </w:rPr>
        <w:t>un acto arbitrario que compromete la responsabilidad internacional del Estado</w:t>
      </w:r>
      <w:r w:rsidR="00207F00" w:rsidRPr="006A0A3F">
        <w:rPr>
          <w:rFonts w:ascii="Verdana" w:hAnsi="Verdana"/>
          <w:sz w:val="20"/>
          <w:lang w:val="es-CR"/>
        </w:rPr>
        <w:t xml:space="preserve"> y una violación adicional a la Convención</w:t>
      </w:r>
      <w:r w:rsidR="003A741E" w:rsidRPr="006A0A3F">
        <w:rPr>
          <w:rFonts w:ascii="Verdana" w:hAnsi="Verdana"/>
          <w:sz w:val="20"/>
          <w:lang w:val="es-CR"/>
        </w:rPr>
        <w:t xml:space="preserve">. </w:t>
      </w:r>
      <w:r w:rsidR="00C20965" w:rsidRPr="006A0A3F">
        <w:rPr>
          <w:rFonts w:ascii="Verdana" w:hAnsi="Verdana"/>
          <w:sz w:val="20"/>
          <w:lang w:val="es-CR"/>
        </w:rPr>
        <w:t xml:space="preserve">El Estado no se refirió a ello. </w:t>
      </w:r>
    </w:p>
    <w:p w14:paraId="12BB887F" w14:textId="77777777" w:rsidR="004317F7" w:rsidRPr="006A0A3F" w:rsidRDefault="004317F7" w:rsidP="00C42F15">
      <w:pPr>
        <w:pStyle w:val="ListParagraph"/>
        <w:ind w:left="0"/>
        <w:jc w:val="both"/>
        <w:rPr>
          <w:rFonts w:ascii="Verdana" w:hAnsi="Verdana"/>
          <w:sz w:val="20"/>
          <w:lang w:val="es-CR"/>
        </w:rPr>
      </w:pPr>
    </w:p>
    <w:p w14:paraId="3A4E74ED" w14:textId="0A22376E" w:rsidR="009E5163" w:rsidRPr="006A0A3F" w:rsidRDefault="00DB5F3C" w:rsidP="00C42F15">
      <w:pPr>
        <w:pStyle w:val="ListParagraph"/>
        <w:numPr>
          <w:ilvl w:val="0"/>
          <w:numId w:val="4"/>
        </w:numPr>
        <w:ind w:left="0" w:firstLine="0"/>
        <w:jc w:val="both"/>
        <w:rPr>
          <w:rFonts w:ascii="Verdana" w:hAnsi="Verdana"/>
          <w:i/>
          <w:sz w:val="20"/>
          <w:lang w:val="es-CR"/>
        </w:rPr>
      </w:pPr>
      <w:r w:rsidRPr="006A0A3F">
        <w:rPr>
          <w:rFonts w:ascii="Verdana" w:hAnsi="Verdana"/>
          <w:sz w:val="20"/>
          <w:lang w:val="es-CR"/>
        </w:rPr>
        <w:t>E</w:t>
      </w:r>
      <w:r w:rsidR="009E5163" w:rsidRPr="006A0A3F">
        <w:rPr>
          <w:rFonts w:ascii="Verdana" w:hAnsi="Verdana"/>
          <w:sz w:val="20"/>
          <w:lang w:val="es-CR"/>
        </w:rPr>
        <w:t xml:space="preserve">l Tribunal </w:t>
      </w:r>
      <w:r w:rsidR="00373D13" w:rsidRPr="006A0A3F">
        <w:rPr>
          <w:rFonts w:ascii="Verdana" w:hAnsi="Verdana"/>
          <w:sz w:val="20"/>
          <w:lang w:val="es-CR"/>
        </w:rPr>
        <w:t>hace notar</w:t>
      </w:r>
      <w:r w:rsidR="009E5163" w:rsidRPr="006A0A3F">
        <w:rPr>
          <w:rFonts w:ascii="Verdana" w:hAnsi="Verdana"/>
          <w:sz w:val="20"/>
          <w:lang w:val="es-CR"/>
        </w:rPr>
        <w:t xml:space="preserve"> que varias notarías venezolanas se </w:t>
      </w:r>
      <w:r w:rsidR="00C42F15" w:rsidRPr="006A0A3F">
        <w:rPr>
          <w:rFonts w:ascii="Verdana" w:hAnsi="Verdana"/>
          <w:sz w:val="20"/>
          <w:lang w:val="es-CR"/>
        </w:rPr>
        <w:t>negaron</w:t>
      </w:r>
      <w:r w:rsidR="009E5163" w:rsidRPr="006A0A3F">
        <w:rPr>
          <w:rFonts w:ascii="Verdana" w:hAnsi="Verdana"/>
          <w:sz w:val="20"/>
          <w:lang w:val="es-CR"/>
        </w:rPr>
        <w:t xml:space="preserve"> en reiteradas ocasiones a tomar legalmente las declaraciones de testigos y peritos </w:t>
      </w:r>
      <w:r w:rsidR="00373D13" w:rsidRPr="006A0A3F">
        <w:rPr>
          <w:rFonts w:ascii="Verdana" w:hAnsi="Verdana"/>
          <w:sz w:val="20"/>
          <w:lang w:val="es-CR"/>
        </w:rPr>
        <w:t xml:space="preserve">que </w:t>
      </w:r>
      <w:r w:rsidR="009E5163" w:rsidRPr="006A0A3F">
        <w:rPr>
          <w:rFonts w:ascii="Verdana" w:hAnsi="Verdana"/>
          <w:sz w:val="20"/>
          <w:lang w:val="es-CR"/>
        </w:rPr>
        <w:t>ha</w:t>
      </w:r>
      <w:r w:rsidR="00C42F15" w:rsidRPr="006A0A3F">
        <w:rPr>
          <w:rFonts w:ascii="Verdana" w:hAnsi="Verdana"/>
          <w:sz w:val="20"/>
          <w:lang w:val="es-CR"/>
        </w:rPr>
        <w:t>bía</w:t>
      </w:r>
      <w:r w:rsidR="00373D13" w:rsidRPr="006A0A3F">
        <w:rPr>
          <w:rFonts w:ascii="Verdana" w:hAnsi="Verdana"/>
          <w:sz w:val="20"/>
          <w:lang w:val="es-CR"/>
        </w:rPr>
        <w:t>n</w:t>
      </w:r>
      <w:r w:rsidR="009E5163" w:rsidRPr="006A0A3F">
        <w:rPr>
          <w:rFonts w:ascii="Verdana" w:hAnsi="Verdana"/>
          <w:sz w:val="20"/>
          <w:lang w:val="es-CR"/>
        </w:rPr>
        <w:t xml:space="preserve"> sido </w:t>
      </w:r>
      <w:r w:rsidR="00C42F15" w:rsidRPr="006A0A3F">
        <w:rPr>
          <w:rFonts w:ascii="Verdana" w:hAnsi="Verdana"/>
          <w:sz w:val="20"/>
          <w:lang w:val="es-CR"/>
        </w:rPr>
        <w:t>requerida</w:t>
      </w:r>
      <w:r w:rsidR="00373D13" w:rsidRPr="006A0A3F">
        <w:rPr>
          <w:rFonts w:ascii="Verdana" w:hAnsi="Verdana"/>
          <w:sz w:val="20"/>
          <w:lang w:val="es-CR"/>
        </w:rPr>
        <w:t>s</w:t>
      </w:r>
      <w:r w:rsidR="00C42F15" w:rsidRPr="006A0A3F">
        <w:rPr>
          <w:rFonts w:ascii="Verdana" w:hAnsi="Verdana"/>
          <w:sz w:val="20"/>
          <w:lang w:val="es-CR"/>
        </w:rPr>
        <w:t xml:space="preserve"> </w:t>
      </w:r>
      <w:r w:rsidR="00373D13" w:rsidRPr="006A0A3F">
        <w:rPr>
          <w:rFonts w:ascii="Verdana" w:hAnsi="Verdana"/>
          <w:sz w:val="20"/>
          <w:lang w:val="es-CR"/>
        </w:rPr>
        <w:t>por Resolución del Presidente</w:t>
      </w:r>
      <w:r w:rsidR="00465324" w:rsidRPr="006A0A3F">
        <w:rPr>
          <w:rFonts w:ascii="Verdana" w:hAnsi="Verdana"/>
          <w:sz w:val="20"/>
          <w:lang w:val="es-CR"/>
        </w:rPr>
        <w:t>, por</w:t>
      </w:r>
      <w:r w:rsidR="00373D13" w:rsidRPr="006A0A3F">
        <w:rPr>
          <w:rFonts w:ascii="Verdana" w:hAnsi="Verdana"/>
          <w:sz w:val="20"/>
          <w:lang w:val="es-CR"/>
        </w:rPr>
        <w:t xml:space="preserve"> lo cual considera </w:t>
      </w:r>
      <w:r w:rsidR="009E5163" w:rsidRPr="006A0A3F">
        <w:rPr>
          <w:rFonts w:ascii="Verdana" w:hAnsi="Verdana"/>
          <w:sz w:val="20"/>
          <w:lang w:val="es-CR"/>
        </w:rPr>
        <w:t xml:space="preserve">que </w:t>
      </w:r>
      <w:r w:rsidR="00373D13" w:rsidRPr="006A0A3F">
        <w:rPr>
          <w:rFonts w:ascii="Verdana" w:hAnsi="Verdana"/>
          <w:sz w:val="20"/>
          <w:lang w:val="es-CR"/>
        </w:rPr>
        <w:t>la conducta del Estado, al incumplir</w:t>
      </w:r>
      <w:r w:rsidR="009E5163" w:rsidRPr="006A0A3F">
        <w:rPr>
          <w:rFonts w:ascii="Verdana" w:hAnsi="Verdana"/>
          <w:sz w:val="20"/>
          <w:lang w:val="es-CR"/>
        </w:rPr>
        <w:t xml:space="preserve"> su </w:t>
      </w:r>
      <w:r w:rsidR="00465324" w:rsidRPr="006A0A3F">
        <w:rPr>
          <w:rFonts w:ascii="Verdana" w:hAnsi="Verdana"/>
          <w:sz w:val="20"/>
          <w:lang w:val="es-CR"/>
        </w:rPr>
        <w:t>deber</w:t>
      </w:r>
      <w:r w:rsidR="009E5163" w:rsidRPr="006A0A3F">
        <w:rPr>
          <w:rFonts w:ascii="Verdana" w:hAnsi="Verdana"/>
          <w:sz w:val="20"/>
          <w:lang w:val="es-CR"/>
        </w:rPr>
        <w:t xml:space="preserve"> de realizar las diligencias necesarias para </w:t>
      </w:r>
      <w:r w:rsidR="00373D13" w:rsidRPr="006A0A3F">
        <w:rPr>
          <w:rFonts w:ascii="Verdana" w:hAnsi="Verdana"/>
          <w:sz w:val="20"/>
          <w:lang w:val="es-CR"/>
        </w:rPr>
        <w:t xml:space="preserve">acatar </w:t>
      </w:r>
      <w:r w:rsidR="009E5163" w:rsidRPr="006A0A3F">
        <w:rPr>
          <w:rFonts w:ascii="Verdana" w:hAnsi="Verdana" w:cs="Verdana"/>
          <w:sz w:val="20"/>
          <w:lang w:val="es-CR" w:eastAsia="es-MX"/>
        </w:rPr>
        <w:t xml:space="preserve">lo </w:t>
      </w:r>
      <w:r w:rsidR="00373D13" w:rsidRPr="006A0A3F">
        <w:rPr>
          <w:rFonts w:ascii="Verdana" w:hAnsi="Verdana" w:cs="Verdana"/>
          <w:sz w:val="20"/>
          <w:lang w:val="es-CR" w:eastAsia="es-MX"/>
        </w:rPr>
        <w:t xml:space="preserve">dispuesto </w:t>
      </w:r>
      <w:r w:rsidR="009E5163" w:rsidRPr="006A0A3F">
        <w:rPr>
          <w:rFonts w:ascii="Verdana" w:hAnsi="Verdana" w:cs="Verdana"/>
          <w:sz w:val="20"/>
          <w:lang w:val="es-CR" w:eastAsia="es-MX"/>
        </w:rPr>
        <w:t xml:space="preserve">por la Corte, </w:t>
      </w:r>
      <w:r w:rsidR="00373D13" w:rsidRPr="006A0A3F">
        <w:rPr>
          <w:rFonts w:ascii="Verdana" w:hAnsi="Verdana" w:cs="Verdana"/>
          <w:sz w:val="20"/>
          <w:lang w:val="es-CR" w:eastAsia="es-MX"/>
        </w:rPr>
        <w:t xml:space="preserve">es </w:t>
      </w:r>
      <w:r w:rsidR="009E5163" w:rsidRPr="006A0A3F">
        <w:rPr>
          <w:rFonts w:ascii="Verdana" w:hAnsi="Verdana" w:cs="Verdana"/>
          <w:sz w:val="20"/>
          <w:lang w:val="es-CR" w:eastAsia="es-MX"/>
        </w:rPr>
        <w:t>incompatible con el deber de cooperación procesal y con el principio de buena fe que rige en el procedimiento internacional</w:t>
      </w:r>
      <w:r w:rsidR="009E5163" w:rsidRPr="006A0A3F">
        <w:rPr>
          <w:rFonts w:ascii="Verdana" w:hAnsi="Verdana" w:cs="Verdana"/>
          <w:sz w:val="20"/>
          <w:vertAlign w:val="superscript"/>
          <w:lang w:val="es-CR" w:eastAsia="es-MX"/>
        </w:rPr>
        <w:footnoteReference w:id="49"/>
      </w:r>
      <w:r w:rsidR="009E5163" w:rsidRPr="006A0A3F">
        <w:rPr>
          <w:rFonts w:ascii="Verdana" w:hAnsi="Verdana" w:cs="Verdana"/>
          <w:sz w:val="20"/>
          <w:lang w:val="es-CR" w:eastAsia="es-MX"/>
        </w:rPr>
        <w:t xml:space="preserve">. </w:t>
      </w:r>
      <w:r w:rsidR="004317F7" w:rsidRPr="006A0A3F">
        <w:rPr>
          <w:rFonts w:ascii="Verdana" w:hAnsi="Verdana"/>
          <w:sz w:val="20"/>
          <w:lang w:val="es-CR"/>
        </w:rPr>
        <w:t>La Corte considera, como lo ha hecho en otros casos, que las declaraciones referidas fueron presentadas dentro del plazo estipulado y que la falta de legalización de las mismas por notario público</w:t>
      </w:r>
      <w:r w:rsidR="00CE5D8A" w:rsidRPr="006A0A3F">
        <w:rPr>
          <w:rFonts w:ascii="Verdana" w:hAnsi="Verdana"/>
          <w:sz w:val="20"/>
          <w:lang w:val="es-CR"/>
        </w:rPr>
        <w:t xml:space="preserve"> no es atribuible al representante ni a los declarantes</w:t>
      </w:r>
      <w:r w:rsidR="008E6D71" w:rsidRPr="006A0A3F">
        <w:rPr>
          <w:rFonts w:ascii="Verdana" w:hAnsi="Verdana"/>
          <w:sz w:val="20"/>
          <w:lang w:val="es-CR"/>
        </w:rPr>
        <w:t>. Por ende,</w:t>
      </w:r>
      <w:r w:rsidR="00465324" w:rsidRPr="006A0A3F">
        <w:rPr>
          <w:rFonts w:ascii="Verdana" w:hAnsi="Verdana"/>
          <w:sz w:val="20"/>
          <w:lang w:val="es-CR"/>
        </w:rPr>
        <w:t xml:space="preserve"> </w:t>
      </w:r>
      <w:r w:rsidR="009E5163" w:rsidRPr="006A0A3F">
        <w:rPr>
          <w:rFonts w:ascii="Verdana" w:hAnsi="Verdana" w:cs="Verdana"/>
          <w:sz w:val="20"/>
          <w:lang w:val="es-CR" w:eastAsia="es-MX"/>
        </w:rPr>
        <w:t>la</w:t>
      </w:r>
      <w:r w:rsidR="00465324" w:rsidRPr="006A0A3F">
        <w:rPr>
          <w:rFonts w:ascii="Verdana" w:hAnsi="Verdana" w:cs="Verdana"/>
          <w:sz w:val="20"/>
          <w:lang w:val="es-CR" w:eastAsia="es-MX"/>
        </w:rPr>
        <w:t>s</w:t>
      </w:r>
      <w:r w:rsidR="009E5163" w:rsidRPr="006A0A3F">
        <w:rPr>
          <w:rFonts w:ascii="Verdana" w:hAnsi="Verdana" w:cs="Verdana"/>
          <w:sz w:val="20"/>
          <w:lang w:val="es-CR" w:eastAsia="es-MX"/>
        </w:rPr>
        <w:t xml:space="preserve"> admite</w:t>
      </w:r>
      <w:r w:rsidR="008E6D71" w:rsidRPr="006A0A3F">
        <w:rPr>
          <w:rFonts w:ascii="Verdana" w:hAnsi="Verdana" w:cs="Verdana"/>
          <w:sz w:val="20"/>
          <w:lang w:val="es-CR" w:eastAsia="es-MX"/>
        </w:rPr>
        <w:t>,</w:t>
      </w:r>
      <w:r w:rsidR="009E5163" w:rsidRPr="006A0A3F">
        <w:rPr>
          <w:rFonts w:ascii="Verdana" w:hAnsi="Verdana" w:cs="Verdana"/>
          <w:sz w:val="20"/>
          <w:lang w:val="es-CR" w:eastAsia="es-MX"/>
        </w:rPr>
        <w:t xml:space="preserve"> </w:t>
      </w:r>
      <w:r w:rsidR="008E6D71" w:rsidRPr="006A0A3F">
        <w:rPr>
          <w:rFonts w:ascii="Verdana" w:hAnsi="Verdana" w:cs="Verdana"/>
          <w:sz w:val="20"/>
          <w:lang w:val="es-CR" w:eastAsia="es-MX"/>
        </w:rPr>
        <w:t>al haber sido presentada</w:t>
      </w:r>
      <w:r w:rsidR="009E5163" w:rsidRPr="006A0A3F">
        <w:rPr>
          <w:rFonts w:ascii="Verdana" w:hAnsi="Verdana" w:cs="Verdana"/>
          <w:sz w:val="20"/>
          <w:lang w:val="es-CR" w:eastAsia="es-MX"/>
        </w:rPr>
        <w:t>s en el momento procesal oportuno</w:t>
      </w:r>
      <w:r w:rsidR="008E6D71" w:rsidRPr="006A0A3F">
        <w:rPr>
          <w:rFonts w:ascii="Verdana" w:hAnsi="Verdana" w:cs="Verdana"/>
          <w:sz w:val="20"/>
          <w:lang w:val="es-CR" w:eastAsia="es-MX"/>
        </w:rPr>
        <w:t>,</w:t>
      </w:r>
      <w:r w:rsidR="009E5163" w:rsidRPr="006A0A3F">
        <w:rPr>
          <w:rFonts w:ascii="Verdana" w:hAnsi="Verdana" w:cs="Verdana"/>
          <w:sz w:val="20"/>
          <w:lang w:val="es-CR" w:eastAsia="es-MX"/>
        </w:rPr>
        <w:t xml:space="preserve"> y </w:t>
      </w:r>
      <w:r w:rsidR="00222B2A" w:rsidRPr="006A0A3F">
        <w:rPr>
          <w:rFonts w:ascii="Verdana" w:hAnsi="Verdana" w:cs="Verdana"/>
          <w:sz w:val="20"/>
          <w:lang w:val="es-CR" w:eastAsia="es-MX"/>
        </w:rPr>
        <w:t xml:space="preserve">las </w:t>
      </w:r>
      <w:r w:rsidR="009E5163" w:rsidRPr="006A0A3F">
        <w:rPr>
          <w:rFonts w:ascii="Verdana" w:hAnsi="Verdana" w:cs="Verdana"/>
          <w:sz w:val="20"/>
          <w:lang w:val="es-CR" w:eastAsia="es-MX"/>
        </w:rPr>
        <w:t>tomará como una declaración simple</w:t>
      </w:r>
      <w:r w:rsidR="00222B2A" w:rsidRPr="006A0A3F">
        <w:rPr>
          <w:rStyle w:val="FootnoteReference"/>
          <w:rFonts w:ascii="Verdana" w:hAnsi="Verdana" w:cs="Verdana"/>
          <w:sz w:val="20"/>
          <w:lang w:val="es-CR" w:eastAsia="es-MX"/>
        </w:rPr>
        <w:footnoteReference w:id="50"/>
      </w:r>
      <w:r w:rsidR="009E5163" w:rsidRPr="006A0A3F">
        <w:rPr>
          <w:rFonts w:ascii="Verdana" w:hAnsi="Verdana" w:cs="Verdana"/>
          <w:sz w:val="20"/>
          <w:lang w:val="es-CR" w:eastAsia="es-MX"/>
        </w:rPr>
        <w:t>.</w:t>
      </w:r>
    </w:p>
    <w:p w14:paraId="5522E97A" w14:textId="77777777" w:rsidR="00224867" w:rsidRPr="006A0A3F" w:rsidRDefault="00224867" w:rsidP="001F09C8">
      <w:pPr>
        <w:pStyle w:val="ListParagraph"/>
        <w:ind w:left="0"/>
        <w:jc w:val="both"/>
        <w:rPr>
          <w:rFonts w:ascii="Verdana" w:hAnsi="Verdana"/>
          <w:sz w:val="20"/>
          <w:lang w:val="es-CR"/>
        </w:rPr>
      </w:pPr>
    </w:p>
    <w:p w14:paraId="0368C36F" w14:textId="58CB00FB" w:rsidR="001F09C8" w:rsidRPr="006A0A3F" w:rsidRDefault="001F09C8"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En </w:t>
      </w:r>
      <w:r w:rsidR="00413C3B" w:rsidRPr="006A0A3F">
        <w:rPr>
          <w:rFonts w:ascii="Verdana" w:hAnsi="Verdana"/>
          <w:sz w:val="20"/>
          <w:lang w:val="es-CR"/>
        </w:rPr>
        <w:t>sus</w:t>
      </w:r>
      <w:r w:rsidR="00A67809" w:rsidRPr="006A0A3F">
        <w:rPr>
          <w:rFonts w:ascii="Verdana" w:hAnsi="Verdana"/>
          <w:sz w:val="20"/>
          <w:lang w:val="es-CR"/>
        </w:rPr>
        <w:t xml:space="preserve"> alegatos finales escritos,</w:t>
      </w:r>
      <w:r w:rsidR="00A67809" w:rsidRPr="006A0A3F">
        <w:rPr>
          <w:rFonts w:ascii="Verdana" w:hAnsi="Verdana"/>
          <w:sz w:val="20"/>
          <w:lang w:val="es-CR" w:eastAsia="es-ES_tradnl"/>
        </w:rPr>
        <w:t xml:space="preserve"> </w:t>
      </w:r>
      <w:r w:rsidRPr="006A0A3F">
        <w:rPr>
          <w:rFonts w:ascii="Verdana" w:hAnsi="Verdana"/>
          <w:sz w:val="20"/>
          <w:lang w:val="es-CR"/>
        </w:rPr>
        <w:t xml:space="preserve">el representante </w:t>
      </w:r>
      <w:r w:rsidR="005C246E" w:rsidRPr="006A0A3F">
        <w:rPr>
          <w:rFonts w:ascii="Verdana" w:hAnsi="Verdana"/>
          <w:sz w:val="20"/>
          <w:lang w:val="es-CR"/>
        </w:rPr>
        <w:t xml:space="preserve">solicitó </w:t>
      </w:r>
      <w:r w:rsidR="00413C3B" w:rsidRPr="006A0A3F">
        <w:rPr>
          <w:rFonts w:ascii="Verdana" w:hAnsi="Verdana"/>
          <w:sz w:val="20"/>
          <w:lang w:val="es-CR"/>
        </w:rPr>
        <w:t xml:space="preserve">que </w:t>
      </w:r>
      <w:r w:rsidR="005C246E" w:rsidRPr="006A0A3F">
        <w:rPr>
          <w:rFonts w:ascii="Verdana" w:hAnsi="Verdana"/>
          <w:sz w:val="20"/>
          <w:lang w:val="es-CR"/>
        </w:rPr>
        <w:t xml:space="preserve">la declaración </w:t>
      </w:r>
      <w:r w:rsidRPr="006A0A3F">
        <w:rPr>
          <w:rFonts w:ascii="Verdana" w:hAnsi="Verdana"/>
          <w:sz w:val="20"/>
          <w:lang w:val="es-CR" w:eastAsia="es-ES_tradnl"/>
        </w:rPr>
        <w:t>de</w:t>
      </w:r>
      <w:r w:rsidRPr="006A0A3F">
        <w:rPr>
          <w:rFonts w:ascii="Verdana" w:hAnsi="Verdana"/>
          <w:sz w:val="20"/>
          <w:lang w:val="es-CR"/>
        </w:rPr>
        <w:t xml:space="preserve">l </w:t>
      </w:r>
      <w:r w:rsidR="00413C3B" w:rsidRPr="006A0A3F">
        <w:rPr>
          <w:rFonts w:ascii="Verdana" w:hAnsi="Verdana"/>
          <w:sz w:val="20"/>
          <w:lang w:val="es-CR"/>
        </w:rPr>
        <w:t xml:space="preserve">señor </w:t>
      </w:r>
      <w:r w:rsidRPr="006A0A3F">
        <w:rPr>
          <w:rFonts w:ascii="Verdana" w:hAnsi="Verdana"/>
          <w:sz w:val="20"/>
          <w:lang w:val="es-CR" w:eastAsia="es-ES_tradnl"/>
        </w:rPr>
        <w:t xml:space="preserve">César </w:t>
      </w:r>
      <w:proofErr w:type="spellStart"/>
      <w:r w:rsidRPr="006A0A3F">
        <w:rPr>
          <w:rFonts w:ascii="Verdana" w:hAnsi="Verdana"/>
          <w:sz w:val="20"/>
          <w:lang w:val="es-CR" w:eastAsia="es-ES_tradnl"/>
        </w:rPr>
        <w:t>Tillero</w:t>
      </w:r>
      <w:proofErr w:type="spellEnd"/>
      <w:r w:rsidR="00413C3B" w:rsidRPr="006A0A3F">
        <w:rPr>
          <w:rFonts w:ascii="Verdana" w:hAnsi="Verdana"/>
          <w:sz w:val="20"/>
          <w:lang w:val="es-CR" w:eastAsia="es-ES_tradnl"/>
        </w:rPr>
        <w:t xml:space="preserve">, </w:t>
      </w:r>
      <w:r w:rsidR="005C246E" w:rsidRPr="006A0A3F">
        <w:rPr>
          <w:rFonts w:ascii="Verdana" w:hAnsi="Verdana"/>
          <w:sz w:val="20"/>
          <w:lang w:val="es-CR" w:eastAsia="es-ES_tradnl"/>
        </w:rPr>
        <w:t xml:space="preserve">ofrecido </w:t>
      </w:r>
      <w:r w:rsidR="00413C3B" w:rsidRPr="006A0A3F">
        <w:rPr>
          <w:rFonts w:ascii="Verdana" w:hAnsi="Verdana"/>
          <w:sz w:val="20"/>
          <w:lang w:val="es-CR" w:eastAsia="es-ES_tradnl"/>
        </w:rPr>
        <w:t xml:space="preserve">como perito por el Estado, </w:t>
      </w:r>
      <w:r w:rsidR="00CE3E10" w:rsidRPr="006A0A3F">
        <w:rPr>
          <w:rFonts w:ascii="Verdana" w:hAnsi="Verdana"/>
          <w:sz w:val="20"/>
          <w:lang w:val="es-CR" w:eastAsia="es-ES_tradnl"/>
        </w:rPr>
        <w:t>sea desestimada como medio probatorio</w:t>
      </w:r>
      <w:r w:rsidR="005C246E" w:rsidRPr="006A0A3F">
        <w:rPr>
          <w:rStyle w:val="FootnoteReference"/>
          <w:rFonts w:ascii="Verdana" w:hAnsi="Verdana"/>
          <w:sz w:val="20"/>
          <w:lang w:val="es-CR" w:eastAsia="es-ES_tradnl"/>
        </w:rPr>
        <w:footnoteReference w:id="51"/>
      </w:r>
      <w:r w:rsidRPr="006A0A3F">
        <w:rPr>
          <w:rFonts w:ascii="Verdana" w:hAnsi="Verdana"/>
          <w:sz w:val="20"/>
          <w:lang w:val="es-CR"/>
        </w:rPr>
        <w:t>.</w:t>
      </w:r>
      <w:r w:rsidRPr="006A0A3F">
        <w:rPr>
          <w:rFonts w:ascii="Verdana" w:hAnsi="Verdana"/>
          <w:sz w:val="20"/>
          <w:lang w:val="es-CR" w:eastAsia="es-ES_tradnl"/>
        </w:rPr>
        <w:t xml:space="preserve"> </w:t>
      </w:r>
      <w:r w:rsidR="00CE3E10" w:rsidRPr="006A0A3F">
        <w:rPr>
          <w:rFonts w:ascii="Verdana" w:hAnsi="Verdana"/>
          <w:sz w:val="20"/>
          <w:lang w:val="es-CR"/>
        </w:rPr>
        <w:t>La Corte</w:t>
      </w:r>
      <w:r w:rsidRPr="006A0A3F">
        <w:rPr>
          <w:rFonts w:ascii="Verdana" w:hAnsi="Verdana"/>
          <w:sz w:val="20"/>
          <w:lang w:val="es-CR"/>
        </w:rPr>
        <w:t xml:space="preserve"> nota que </w:t>
      </w:r>
      <w:r w:rsidRPr="006A0A3F">
        <w:rPr>
          <w:rFonts w:ascii="Verdana" w:hAnsi="Verdana"/>
          <w:sz w:val="20"/>
          <w:lang w:val="es-CR" w:eastAsia="es-ES_tradnl"/>
        </w:rPr>
        <w:t>las alegaciones de</w:t>
      </w:r>
      <w:r w:rsidR="003105FC" w:rsidRPr="006A0A3F">
        <w:rPr>
          <w:rFonts w:ascii="Verdana" w:hAnsi="Verdana"/>
          <w:sz w:val="20"/>
          <w:lang w:val="es-CR" w:eastAsia="es-ES_tradnl"/>
        </w:rPr>
        <w:t>l</w:t>
      </w:r>
      <w:r w:rsidRPr="006A0A3F">
        <w:rPr>
          <w:rFonts w:ascii="Verdana" w:hAnsi="Verdana"/>
          <w:sz w:val="20"/>
          <w:lang w:val="es-CR" w:eastAsia="es-ES_tradnl"/>
        </w:rPr>
        <w:t xml:space="preserve"> representante </w:t>
      </w:r>
      <w:r w:rsidRPr="006A0A3F">
        <w:rPr>
          <w:rFonts w:ascii="Verdana" w:hAnsi="Verdana"/>
          <w:sz w:val="20"/>
          <w:lang w:val="es-CR"/>
        </w:rPr>
        <w:t>versan sobre aspectos subjetivos, propios de</w:t>
      </w:r>
      <w:r w:rsidRPr="006A0A3F">
        <w:rPr>
          <w:rFonts w:ascii="Verdana" w:hAnsi="Verdana"/>
          <w:sz w:val="20"/>
          <w:lang w:val="es-CR" w:eastAsia="es-ES_tradnl"/>
        </w:rPr>
        <w:t>l análisis de su defensa</w:t>
      </w:r>
      <w:r w:rsidR="005C246E" w:rsidRPr="006A0A3F">
        <w:rPr>
          <w:rFonts w:ascii="Verdana" w:hAnsi="Verdana"/>
          <w:sz w:val="20"/>
          <w:lang w:val="es-CR" w:eastAsia="es-ES_tradnl"/>
        </w:rPr>
        <w:t>,</w:t>
      </w:r>
      <w:r w:rsidRPr="006A0A3F">
        <w:rPr>
          <w:rFonts w:ascii="Verdana" w:hAnsi="Verdana"/>
          <w:sz w:val="20"/>
          <w:lang w:val="es-CR" w:eastAsia="es-ES_tradnl"/>
        </w:rPr>
        <w:t xml:space="preserve"> que</w:t>
      </w:r>
      <w:r w:rsidRPr="006A0A3F">
        <w:rPr>
          <w:rFonts w:ascii="Verdana" w:hAnsi="Verdana"/>
          <w:sz w:val="20"/>
          <w:lang w:val="es-CR"/>
        </w:rPr>
        <w:t xml:space="preserve"> pueden impactar en la valoración de su peso probatorio, pero no afectan su admisibilidad</w:t>
      </w:r>
      <w:r w:rsidRPr="006A0A3F">
        <w:rPr>
          <w:rStyle w:val="FootnoteReference"/>
          <w:rFonts w:ascii="Verdana" w:hAnsi="Verdana"/>
          <w:sz w:val="20"/>
          <w:lang w:val="es-CR"/>
        </w:rPr>
        <w:footnoteReference w:id="52"/>
      </w:r>
      <w:r w:rsidRPr="006A0A3F">
        <w:rPr>
          <w:rFonts w:ascii="Verdana" w:hAnsi="Verdana"/>
          <w:sz w:val="20"/>
          <w:lang w:val="es-CR"/>
        </w:rPr>
        <w:t>.</w:t>
      </w:r>
    </w:p>
    <w:p w14:paraId="40C0C3D5" w14:textId="77777777" w:rsidR="008D353D" w:rsidRPr="006A0A3F" w:rsidRDefault="008D353D" w:rsidP="008D353D">
      <w:pPr>
        <w:pStyle w:val="ListParagraph"/>
        <w:ind w:left="0"/>
        <w:jc w:val="both"/>
        <w:rPr>
          <w:rFonts w:ascii="Verdana" w:hAnsi="Verdana"/>
          <w:sz w:val="20"/>
          <w:lang w:val="es-CR"/>
        </w:rPr>
      </w:pPr>
    </w:p>
    <w:p w14:paraId="663127D4" w14:textId="35566D60" w:rsidR="008D353D" w:rsidRPr="006A0A3F" w:rsidRDefault="008D353D"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Asimismo, es oportuno recordar, respecto de </w:t>
      </w:r>
      <w:r w:rsidR="00222B2A" w:rsidRPr="006A0A3F">
        <w:rPr>
          <w:rFonts w:ascii="Verdana" w:hAnsi="Verdana"/>
          <w:sz w:val="20"/>
          <w:lang w:val="es-CR"/>
        </w:rPr>
        <w:t xml:space="preserve">todos </w:t>
      </w:r>
      <w:r w:rsidRPr="006A0A3F">
        <w:rPr>
          <w:rFonts w:ascii="Verdana" w:hAnsi="Verdana"/>
          <w:sz w:val="20"/>
          <w:lang w:val="es-CR"/>
        </w:rPr>
        <w:t xml:space="preserve">los </w:t>
      </w:r>
      <w:r w:rsidR="006B7AD9" w:rsidRPr="006A0A3F">
        <w:rPr>
          <w:rFonts w:ascii="Verdana" w:hAnsi="Verdana"/>
          <w:sz w:val="20"/>
          <w:lang w:val="es-CR"/>
        </w:rPr>
        <w:t>dictámenes</w:t>
      </w:r>
      <w:r w:rsidRPr="006A0A3F">
        <w:rPr>
          <w:rFonts w:ascii="Verdana" w:hAnsi="Verdana"/>
          <w:sz w:val="20"/>
          <w:lang w:val="es-CR"/>
        </w:rPr>
        <w:t xml:space="preserve"> evacuados, que la objetividad de los peritos puede ser evaluada por el Tribunal al analizar qué tan precisos, claros y suficientes son los argumentos técnicos desarrollados en el dictamen que haya rendido, ya sea durante la audiencia pública o por afidávit, toda vez que al valorar cualquier prueba de carácter </w:t>
      </w:r>
      <w:r w:rsidRPr="006A0A3F">
        <w:rPr>
          <w:rFonts w:ascii="Verdana" w:hAnsi="Verdana"/>
          <w:sz w:val="20"/>
          <w:lang w:val="es-CR"/>
        </w:rPr>
        <w:lastRenderedPageBreak/>
        <w:t>pericial la Corte puede determinar si eventuales imprecisiones e insuficiencias permiten rechazar algunas conclusiones por su falta de objetividad o de fundamento</w:t>
      </w:r>
      <w:r w:rsidRPr="006A0A3F">
        <w:rPr>
          <w:rStyle w:val="FootnoteReference"/>
          <w:rFonts w:ascii="Verdana" w:hAnsi="Verdana"/>
          <w:sz w:val="20"/>
          <w:lang w:val="es-CR" w:bidi="en-US"/>
        </w:rPr>
        <w:footnoteReference w:id="53"/>
      </w:r>
      <w:r w:rsidRPr="006A0A3F">
        <w:rPr>
          <w:rFonts w:ascii="Verdana" w:hAnsi="Verdana" w:cs="Verdana"/>
          <w:sz w:val="20"/>
          <w:lang w:val="es-CR" w:bidi="en-US"/>
        </w:rPr>
        <w:t xml:space="preserve">. Así, </w:t>
      </w:r>
      <w:r w:rsidRPr="006A0A3F">
        <w:rPr>
          <w:rFonts w:ascii="Verdana" w:hAnsi="Verdana"/>
          <w:color w:val="000000"/>
          <w:sz w:val="20"/>
          <w:lang w:val="es-CR"/>
        </w:rPr>
        <w:t xml:space="preserve">la recepción de </w:t>
      </w:r>
      <w:r w:rsidRPr="006A0A3F">
        <w:rPr>
          <w:rFonts w:ascii="Verdana" w:hAnsi="Verdana"/>
          <w:sz w:val="20"/>
          <w:lang w:val="es-CR"/>
        </w:rPr>
        <w:t>todas</w:t>
      </w:r>
      <w:r w:rsidRPr="006A0A3F">
        <w:rPr>
          <w:rFonts w:ascii="Verdana" w:hAnsi="Verdana"/>
          <w:color w:val="000000"/>
          <w:sz w:val="20"/>
          <w:lang w:val="es-CR"/>
        </w:rPr>
        <w:t xml:space="preserve"> las declaraciones ofrecidas en la modalidad de dictámenes periciales –tanto por el representante como por el Estado– no afecta</w:t>
      </w:r>
      <w:r w:rsidR="00CA6537" w:rsidRPr="006A0A3F">
        <w:rPr>
          <w:rFonts w:ascii="Verdana" w:hAnsi="Verdana"/>
          <w:color w:val="000000"/>
          <w:sz w:val="20"/>
          <w:lang w:val="es-CR"/>
        </w:rPr>
        <w:t xml:space="preserve"> o determina</w:t>
      </w:r>
      <w:r w:rsidRPr="006A0A3F">
        <w:rPr>
          <w:rFonts w:ascii="Verdana" w:hAnsi="Verdana"/>
          <w:color w:val="000000"/>
          <w:sz w:val="20"/>
          <w:lang w:val="es-CR"/>
        </w:rPr>
        <w:t xml:space="preserve">, en modo alguno, la valoración sobre su contenido, </w:t>
      </w:r>
      <w:r w:rsidR="001308C2">
        <w:rPr>
          <w:rFonts w:ascii="Verdana" w:hAnsi="Verdana"/>
          <w:color w:val="000000"/>
          <w:sz w:val="20"/>
          <w:lang w:val="es-CR"/>
        </w:rPr>
        <w:t>peso</w:t>
      </w:r>
      <w:r w:rsidRPr="006A0A3F">
        <w:rPr>
          <w:rFonts w:ascii="Verdana" w:hAnsi="Verdana"/>
          <w:color w:val="000000"/>
          <w:sz w:val="20"/>
          <w:lang w:val="es-CR"/>
        </w:rPr>
        <w:t xml:space="preserve"> probatorio o pertinencia, lo que corresponde realizar al Tribunal al dictar esta Sentencia, tomando en cuenta las observaciones válidas y pertinentes presentadas por las partes</w:t>
      </w:r>
      <w:r w:rsidRPr="006A0A3F">
        <w:rPr>
          <w:rStyle w:val="FootnoteReference"/>
          <w:rFonts w:ascii="Verdana" w:hAnsi="Verdana"/>
          <w:color w:val="000000"/>
          <w:sz w:val="20"/>
          <w:lang w:val="es-CR"/>
        </w:rPr>
        <w:footnoteReference w:id="54"/>
      </w:r>
      <w:r w:rsidRPr="006A0A3F">
        <w:rPr>
          <w:rFonts w:ascii="Verdana" w:hAnsi="Verdana"/>
          <w:color w:val="000000"/>
          <w:sz w:val="20"/>
          <w:lang w:val="es-CR"/>
        </w:rPr>
        <w:t>.</w:t>
      </w:r>
    </w:p>
    <w:p w14:paraId="4BF186E3" w14:textId="77777777" w:rsidR="005F7287" w:rsidRPr="006A0A3F" w:rsidRDefault="005F7287" w:rsidP="001F09C8">
      <w:pPr>
        <w:pStyle w:val="ListParagraph"/>
        <w:ind w:left="0"/>
        <w:jc w:val="both"/>
        <w:rPr>
          <w:rFonts w:ascii="Verdana" w:hAnsi="Verdana"/>
          <w:sz w:val="20"/>
          <w:lang w:val="es-CR"/>
        </w:rPr>
      </w:pPr>
    </w:p>
    <w:p w14:paraId="0B0802F4" w14:textId="77777777" w:rsidR="001F09C8" w:rsidRPr="006A0A3F" w:rsidRDefault="001F09C8" w:rsidP="002F0D91">
      <w:pPr>
        <w:pStyle w:val="Heading2"/>
        <w:keepLines/>
        <w:numPr>
          <w:ilvl w:val="0"/>
          <w:numId w:val="5"/>
        </w:numPr>
        <w:rPr>
          <w:rFonts w:ascii="Verdana" w:hAnsi="Verdana"/>
          <w:b w:val="0"/>
          <w:i/>
          <w:sz w:val="20"/>
          <w:lang w:val="es-CR"/>
        </w:rPr>
      </w:pPr>
      <w:r w:rsidRPr="006A0A3F">
        <w:rPr>
          <w:rFonts w:ascii="Verdana" w:hAnsi="Verdana"/>
          <w:i/>
          <w:sz w:val="20"/>
          <w:lang w:val="es-CR"/>
        </w:rPr>
        <w:t xml:space="preserve"> </w:t>
      </w:r>
      <w:bookmarkStart w:id="16" w:name="_Toc340752584"/>
      <w:bookmarkStart w:id="17" w:name="_Toc505876987"/>
      <w:r w:rsidRPr="006A0A3F">
        <w:rPr>
          <w:rFonts w:ascii="Verdana" w:hAnsi="Verdana"/>
          <w:i/>
          <w:sz w:val="20"/>
          <w:lang w:val="es-CR"/>
        </w:rPr>
        <w:t>Valoración de la prueba</w:t>
      </w:r>
      <w:bookmarkEnd w:id="16"/>
      <w:bookmarkEnd w:id="17"/>
    </w:p>
    <w:p w14:paraId="4D6612A5" w14:textId="77777777" w:rsidR="001F09C8" w:rsidRPr="006A0A3F" w:rsidRDefault="001F09C8" w:rsidP="001F09C8">
      <w:pPr>
        <w:spacing w:after="0" w:line="240" w:lineRule="auto"/>
        <w:jc w:val="both"/>
        <w:rPr>
          <w:rFonts w:ascii="Verdana" w:hAnsi="Verdana" w:cs="Times New Roman"/>
          <w:b/>
          <w:sz w:val="20"/>
          <w:szCs w:val="20"/>
        </w:rPr>
      </w:pPr>
    </w:p>
    <w:p w14:paraId="14212FBB" w14:textId="49285EC1" w:rsidR="00825EF3" w:rsidRPr="006A0A3F" w:rsidRDefault="00825EF3" w:rsidP="002F0D91">
      <w:pPr>
        <w:pStyle w:val="ListParagraph"/>
        <w:numPr>
          <w:ilvl w:val="0"/>
          <w:numId w:val="4"/>
        </w:numPr>
        <w:ind w:left="0" w:firstLine="0"/>
        <w:jc w:val="both"/>
        <w:rPr>
          <w:rFonts w:ascii="Verdana" w:hAnsi="Verdana"/>
          <w:sz w:val="20"/>
          <w:lang w:val="es-CR"/>
        </w:rPr>
      </w:pPr>
      <w:r w:rsidRPr="006A0A3F">
        <w:rPr>
          <w:rFonts w:ascii="Verdana" w:hAnsi="Verdana"/>
          <w:sz w:val="20"/>
          <w:lang w:val="es-CR"/>
        </w:rPr>
        <w:t>De acuerdo con lo establecido en los artículos 46, 47, 48, 50, 51, 57 y 58 del Reglamento, así como en la jurisprudencia constante en materia de prueba y su apreciación, al establecer los hechos del caso y pronunciarse sobre el fondo la Corte examinará y valorará los elementos probatorios documentales remitidos por las partes y la Comisión en los momentos procesales oportunos, así como las declaraciones, dictámenes y testimonios rendidos mediante afidávit y en la audiencia pública. Para ello se sujeta a los principios de la sana crítica, dentro del marco normativo correspondiente, teniendo en cuenta el conjunto del acervo probatorio y lo alegado en la causa</w:t>
      </w:r>
      <w:r w:rsidRPr="006A0A3F">
        <w:rPr>
          <w:rStyle w:val="FootnoteReference"/>
          <w:rFonts w:ascii="Verdana" w:hAnsi="Verdana"/>
          <w:sz w:val="20"/>
          <w:lang w:val="es-CR"/>
        </w:rPr>
        <w:footnoteReference w:id="55"/>
      </w:r>
      <w:r w:rsidRPr="006A0A3F">
        <w:rPr>
          <w:rFonts w:ascii="Verdana" w:hAnsi="Verdana"/>
          <w:sz w:val="20"/>
          <w:lang w:val="es-CR"/>
        </w:rPr>
        <w:t>. En cuanto a las declaraciones rendidas por las presuntas víctimas, el Tribunal reitera</w:t>
      </w:r>
      <w:r w:rsidR="005C246E" w:rsidRPr="006A0A3F">
        <w:rPr>
          <w:rFonts w:ascii="Verdana" w:hAnsi="Verdana"/>
          <w:sz w:val="20"/>
          <w:lang w:val="es-CR"/>
        </w:rPr>
        <w:t>,</w:t>
      </w:r>
      <w:r w:rsidRPr="006A0A3F">
        <w:rPr>
          <w:rFonts w:ascii="Verdana" w:hAnsi="Verdana"/>
          <w:sz w:val="20"/>
          <w:lang w:val="es-CR"/>
        </w:rPr>
        <w:t xml:space="preserve"> </w:t>
      </w:r>
      <w:r w:rsidR="005C246E" w:rsidRPr="006A0A3F">
        <w:rPr>
          <w:rFonts w:ascii="Verdana" w:hAnsi="Verdana"/>
          <w:sz w:val="20"/>
          <w:lang w:val="es-CR"/>
        </w:rPr>
        <w:t xml:space="preserve">conforme a su jurisprudencia, </w:t>
      </w:r>
      <w:r w:rsidRPr="006A0A3F">
        <w:rPr>
          <w:rFonts w:ascii="Verdana" w:hAnsi="Verdana"/>
          <w:sz w:val="20"/>
          <w:lang w:val="es-CR"/>
        </w:rPr>
        <w:t>que pueden ser valoradas en la medida en que pueden proporcionar mayor información sobre las alegadas violaciones y sus consecuencias, pero no aisladamente sino dentro del conjunto de las pruebas del proceso</w:t>
      </w:r>
      <w:r w:rsidRPr="006A0A3F">
        <w:rPr>
          <w:rStyle w:val="FootnoteReference"/>
          <w:rFonts w:ascii="Verdana" w:hAnsi="Verdana"/>
          <w:sz w:val="20"/>
          <w:lang w:val="es-CR"/>
        </w:rPr>
        <w:footnoteReference w:id="56"/>
      </w:r>
      <w:r w:rsidRPr="006A0A3F">
        <w:rPr>
          <w:rFonts w:ascii="Verdana" w:hAnsi="Verdana"/>
          <w:sz w:val="20"/>
          <w:lang w:val="es-CR"/>
        </w:rPr>
        <w:t>.</w:t>
      </w:r>
    </w:p>
    <w:p w14:paraId="5AF475E8" w14:textId="77777777" w:rsidR="005005A1" w:rsidRDefault="005005A1" w:rsidP="00275951">
      <w:pPr>
        <w:suppressAutoHyphens/>
        <w:spacing w:after="0" w:line="240" w:lineRule="auto"/>
        <w:jc w:val="both"/>
        <w:rPr>
          <w:rFonts w:ascii="Verdana" w:eastAsia="Times New Roman" w:hAnsi="Verdana" w:cs="Tahoma"/>
          <w:sz w:val="20"/>
          <w:szCs w:val="20"/>
        </w:rPr>
      </w:pPr>
    </w:p>
    <w:p w14:paraId="6F5C3C57" w14:textId="77777777" w:rsidR="005005A1" w:rsidRPr="006A0A3F" w:rsidRDefault="005005A1" w:rsidP="00275951">
      <w:pPr>
        <w:suppressAutoHyphens/>
        <w:spacing w:after="0" w:line="240" w:lineRule="auto"/>
        <w:jc w:val="both"/>
        <w:rPr>
          <w:rFonts w:ascii="Verdana" w:eastAsia="Times New Roman" w:hAnsi="Verdana" w:cs="Tahoma"/>
          <w:sz w:val="20"/>
          <w:szCs w:val="20"/>
        </w:rPr>
      </w:pPr>
    </w:p>
    <w:p w14:paraId="7ACD9596" w14:textId="18864DEE" w:rsidR="00275951" w:rsidRPr="006A0A3F" w:rsidRDefault="00275951" w:rsidP="00275951">
      <w:pPr>
        <w:pStyle w:val="Heading1"/>
        <w:spacing w:before="0" w:after="0" w:line="240" w:lineRule="auto"/>
        <w:jc w:val="center"/>
        <w:rPr>
          <w:rFonts w:ascii="Verdana" w:hAnsi="Verdana" w:cs="Verdana"/>
          <w:b w:val="0"/>
          <w:bCs w:val="0"/>
          <w:caps/>
          <w:snapToGrid w:val="0"/>
          <w:sz w:val="20"/>
          <w:szCs w:val="20"/>
          <w:lang w:val="es-CR"/>
        </w:rPr>
      </w:pPr>
      <w:bookmarkStart w:id="18" w:name="_Toc476251455"/>
      <w:bookmarkStart w:id="19" w:name="_Toc505876988"/>
      <w:r w:rsidRPr="006A0A3F">
        <w:rPr>
          <w:rFonts w:ascii="Verdana" w:hAnsi="Verdana" w:cs="Verdana"/>
          <w:caps/>
          <w:snapToGrid w:val="0"/>
          <w:sz w:val="20"/>
          <w:szCs w:val="20"/>
          <w:lang w:val="es-CR" w:eastAsia="es-ES"/>
        </w:rPr>
        <w:t>VI</w:t>
      </w:r>
      <w:r w:rsidRPr="006A0A3F">
        <w:rPr>
          <w:rFonts w:ascii="Verdana" w:hAnsi="Verdana" w:cs="Verdana"/>
          <w:caps/>
          <w:snapToGrid w:val="0"/>
          <w:sz w:val="20"/>
          <w:szCs w:val="20"/>
          <w:lang w:val="es-CR" w:eastAsia="es-ES"/>
        </w:rPr>
        <w:br/>
        <w:t>hechos</w:t>
      </w:r>
      <w:bookmarkEnd w:id="18"/>
      <w:bookmarkEnd w:id="19"/>
      <w:r w:rsidRPr="006A0A3F">
        <w:rPr>
          <w:rFonts w:ascii="Verdana" w:hAnsi="Verdana" w:cs="Verdana"/>
          <w:caps/>
          <w:snapToGrid w:val="0"/>
          <w:sz w:val="20"/>
          <w:szCs w:val="20"/>
          <w:lang w:val="es-CR" w:eastAsia="es-ES"/>
        </w:rPr>
        <w:t xml:space="preserve"> </w:t>
      </w:r>
    </w:p>
    <w:p w14:paraId="02917003" w14:textId="77777777" w:rsidR="00E41D9C" w:rsidRPr="006A0A3F" w:rsidRDefault="00E41D9C" w:rsidP="00E41D9C">
      <w:pPr>
        <w:pBdr>
          <w:top w:val="nil"/>
        </w:pBdr>
        <w:spacing w:after="0" w:line="240" w:lineRule="auto"/>
        <w:jc w:val="both"/>
        <w:rPr>
          <w:rFonts w:ascii="Verdana" w:hAnsi="Verdana"/>
          <w:sz w:val="20"/>
          <w:szCs w:val="20"/>
        </w:rPr>
      </w:pPr>
    </w:p>
    <w:p w14:paraId="012C4586" w14:textId="684AA861" w:rsidR="00E41D9C" w:rsidRPr="006A0A3F" w:rsidRDefault="00E41D9C" w:rsidP="00E41D9C">
      <w:pPr>
        <w:pStyle w:val="ListParagraph"/>
        <w:numPr>
          <w:ilvl w:val="0"/>
          <w:numId w:val="4"/>
        </w:numPr>
        <w:ind w:left="0" w:firstLine="0"/>
        <w:jc w:val="both"/>
        <w:rPr>
          <w:rFonts w:ascii="Verdana" w:hAnsi="Verdana"/>
          <w:sz w:val="20"/>
          <w:lang w:val="es-CR"/>
        </w:rPr>
      </w:pPr>
      <w:r w:rsidRPr="006A0A3F">
        <w:rPr>
          <w:rFonts w:ascii="Verdana" w:hAnsi="Verdana"/>
          <w:sz w:val="20"/>
          <w:lang w:val="es-CR"/>
        </w:rPr>
        <w:t>En este capítulo la Corte establecerá los hechos que tendrá por probados en el presente caso, con base en el acervo probatorio que ha sido admitido y según el marco fáctico</w:t>
      </w:r>
      <w:r w:rsidR="008043B9" w:rsidRPr="006A0A3F">
        <w:rPr>
          <w:rFonts w:ascii="Verdana" w:hAnsi="Verdana"/>
          <w:sz w:val="20"/>
          <w:lang w:val="es-CR"/>
        </w:rPr>
        <w:t xml:space="preserve"> (</w:t>
      </w:r>
      <w:r w:rsidR="008043B9" w:rsidRPr="006A0A3F">
        <w:rPr>
          <w:rFonts w:ascii="Verdana" w:hAnsi="Verdana"/>
          <w:i/>
          <w:sz w:val="20"/>
          <w:lang w:val="es-CR"/>
        </w:rPr>
        <w:t xml:space="preserve">supra </w:t>
      </w:r>
      <w:proofErr w:type="spellStart"/>
      <w:r w:rsidR="008043B9" w:rsidRPr="006A0A3F">
        <w:rPr>
          <w:rFonts w:ascii="Verdana" w:hAnsi="Verdana"/>
          <w:sz w:val="20"/>
          <w:lang w:val="es-CR"/>
        </w:rPr>
        <w:t>párr</w:t>
      </w:r>
      <w:r w:rsidR="00DC07A2" w:rsidRPr="006A0A3F">
        <w:rPr>
          <w:rFonts w:ascii="Verdana" w:hAnsi="Verdana"/>
          <w:sz w:val="20"/>
          <w:lang w:val="es-CR"/>
        </w:rPr>
        <w:t>s</w:t>
      </w:r>
      <w:proofErr w:type="spellEnd"/>
      <w:r w:rsidR="008043B9" w:rsidRPr="006A0A3F">
        <w:rPr>
          <w:rFonts w:ascii="Verdana" w:hAnsi="Verdana"/>
          <w:sz w:val="20"/>
          <w:lang w:val="es-CR"/>
        </w:rPr>
        <w:t xml:space="preserve">. </w:t>
      </w:r>
      <w:r w:rsidR="00EA0794" w:rsidRPr="006A0A3F">
        <w:rPr>
          <w:rFonts w:ascii="Verdana" w:hAnsi="Verdana"/>
          <w:sz w:val="20"/>
          <w:lang w:val="es-CR"/>
        </w:rPr>
        <w:t>20 a 22</w:t>
      </w:r>
      <w:r w:rsidR="008043B9" w:rsidRPr="006A0A3F">
        <w:rPr>
          <w:rFonts w:ascii="Verdana" w:hAnsi="Verdana"/>
          <w:sz w:val="20"/>
          <w:lang w:val="es-CR"/>
        </w:rPr>
        <w:t>)</w:t>
      </w:r>
      <w:r w:rsidRPr="006A0A3F">
        <w:rPr>
          <w:rFonts w:ascii="Verdana" w:hAnsi="Verdana"/>
          <w:sz w:val="20"/>
          <w:lang w:val="es-CR"/>
        </w:rPr>
        <w:t xml:space="preserve">, </w:t>
      </w:r>
      <w:r w:rsidR="004A1D0F" w:rsidRPr="006A0A3F">
        <w:rPr>
          <w:rFonts w:ascii="Verdana" w:hAnsi="Verdana"/>
          <w:sz w:val="20"/>
          <w:lang w:val="es-CR"/>
        </w:rPr>
        <w:t>en el siguiente orden: a</w:t>
      </w:r>
      <w:r w:rsidRPr="006A0A3F">
        <w:rPr>
          <w:rFonts w:ascii="Verdana" w:hAnsi="Verdana"/>
          <w:sz w:val="20"/>
          <w:lang w:val="es-CR"/>
        </w:rPr>
        <w:t xml:space="preserve">) Contexto; </w:t>
      </w:r>
      <w:r w:rsidR="004A1D0F" w:rsidRPr="006A0A3F">
        <w:rPr>
          <w:rFonts w:ascii="Verdana" w:hAnsi="Verdana"/>
          <w:sz w:val="20"/>
          <w:lang w:val="es-CR"/>
        </w:rPr>
        <w:t>b</w:t>
      </w:r>
      <w:r w:rsidRPr="006A0A3F">
        <w:rPr>
          <w:rFonts w:ascii="Verdana" w:hAnsi="Verdana"/>
          <w:sz w:val="20"/>
          <w:lang w:val="es-CR"/>
        </w:rPr>
        <w:t xml:space="preserve">) La terminación de los contratos; y </w:t>
      </w:r>
      <w:r w:rsidR="004A1D0F" w:rsidRPr="006A0A3F">
        <w:rPr>
          <w:rFonts w:ascii="Verdana" w:hAnsi="Verdana"/>
          <w:sz w:val="20"/>
          <w:lang w:val="es-CR"/>
        </w:rPr>
        <w:t>c</w:t>
      </w:r>
      <w:r w:rsidRPr="006A0A3F">
        <w:rPr>
          <w:rFonts w:ascii="Verdana" w:hAnsi="Verdana"/>
          <w:sz w:val="20"/>
          <w:lang w:val="es-CR"/>
        </w:rPr>
        <w:t xml:space="preserve">) </w:t>
      </w:r>
      <w:r w:rsidR="008043B9" w:rsidRPr="006A0A3F">
        <w:rPr>
          <w:rFonts w:ascii="Verdana" w:hAnsi="Verdana"/>
          <w:sz w:val="20"/>
          <w:lang w:val="es-CR"/>
        </w:rPr>
        <w:t>Denuncias y</w:t>
      </w:r>
      <w:r w:rsidRPr="006A0A3F">
        <w:rPr>
          <w:rFonts w:ascii="Verdana" w:hAnsi="Verdana"/>
          <w:sz w:val="20"/>
          <w:lang w:val="es-CR"/>
        </w:rPr>
        <w:t xml:space="preserve"> procesos internos. </w:t>
      </w:r>
    </w:p>
    <w:p w14:paraId="07BADEAD" w14:textId="77777777" w:rsidR="005F7287" w:rsidRPr="006A0A3F" w:rsidRDefault="005F7287" w:rsidP="00E41D9C">
      <w:pPr>
        <w:jc w:val="both"/>
        <w:rPr>
          <w:rFonts w:ascii="Verdana" w:hAnsi="Verdana"/>
          <w:sz w:val="20"/>
          <w:szCs w:val="20"/>
        </w:rPr>
      </w:pPr>
    </w:p>
    <w:p w14:paraId="6B6CAD89" w14:textId="77777777" w:rsidR="00E41D9C" w:rsidRPr="006A0A3F" w:rsidRDefault="00E41D9C" w:rsidP="004A1D0F">
      <w:pPr>
        <w:pStyle w:val="Heading2"/>
        <w:rPr>
          <w:rFonts w:ascii="Verdana" w:hAnsi="Verdana"/>
          <w:smallCaps/>
          <w:lang w:val="es-CR"/>
        </w:rPr>
      </w:pPr>
      <w:bookmarkStart w:id="20" w:name="_Toc505876989"/>
      <w:r w:rsidRPr="006A0A3F">
        <w:rPr>
          <w:rFonts w:ascii="Verdana" w:hAnsi="Verdana"/>
          <w:smallCaps/>
          <w:lang w:val="es-CR"/>
        </w:rPr>
        <w:t>Contexto</w:t>
      </w:r>
      <w:bookmarkEnd w:id="20"/>
    </w:p>
    <w:p w14:paraId="434A52C6" w14:textId="77777777" w:rsidR="00E41D9C" w:rsidRPr="006A0A3F" w:rsidRDefault="00E41D9C" w:rsidP="00E41D9C">
      <w:pPr>
        <w:pStyle w:val="ListParagraph"/>
        <w:ind w:left="1068"/>
        <w:jc w:val="both"/>
        <w:rPr>
          <w:rFonts w:ascii="Verdana" w:hAnsi="Verdana"/>
          <w:i/>
          <w:sz w:val="20"/>
          <w:lang w:val="es-CR"/>
        </w:rPr>
      </w:pPr>
    </w:p>
    <w:p w14:paraId="15564AAD" w14:textId="77777777" w:rsidR="00E41D9C" w:rsidRPr="006A0A3F" w:rsidRDefault="00E41D9C" w:rsidP="00AB56AF">
      <w:pPr>
        <w:pStyle w:val="ListParagraph"/>
        <w:numPr>
          <w:ilvl w:val="0"/>
          <w:numId w:val="10"/>
        </w:numPr>
        <w:pBdr>
          <w:top w:val="nil"/>
        </w:pBdr>
        <w:tabs>
          <w:tab w:val="left" w:pos="1134"/>
          <w:tab w:val="left" w:pos="1843"/>
        </w:tabs>
        <w:ind w:left="1843" w:hanging="709"/>
        <w:jc w:val="both"/>
        <w:rPr>
          <w:rFonts w:ascii="Verdana" w:hAnsi="Verdana"/>
          <w:b/>
          <w:i/>
          <w:sz w:val="20"/>
          <w:lang w:val="es-CR"/>
        </w:rPr>
      </w:pPr>
      <w:r w:rsidRPr="006A0A3F">
        <w:rPr>
          <w:rFonts w:ascii="Verdana" w:hAnsi="Verdana"/>
          <w:b/>
          <w:i/>
          <w:sz w:val="20"/>
          <w:lang w:val="es-CR"/>
        </w:rPr>
        <w:t xml:space="preserve">La primera recolección de firmas para el referendo consultivo presidencial </w:t>
      </w:r>
    </w:p>
    <w:p w14:paraId="5FC9D167" w14:textId="77777777" w:rsidR="00E41D9C" w:rsidRPr="006A0A3F" w:rsidRDefault="00E41D9C" w:rsidP="00E41D9C">
      <w:pPr>
        <w:pBdr>
          <w:top w:val="nil"/>
        </w:pBdr>
        <w:spacing w:after="0" w:line="240" w:lineRule="auto"/>
        <w:jc w:val="both"/>
        <w:rPr>
          <w:rFonts w:ascii="Verdana" w:hAnsi="Verdana"/>
          <w:sz w:val="20"/>
          <w:szCs w:val="20"/>
        </w:rPr>
      </w:pPr>
    </w:p>
    <w:p w14:paraId="4A4864A9" w14:textId="15830696" w:rsidR="00E41D9C" w:rsidRPr="006A0A3F" w:rsidRDefault="00E41D9C" w:rsidP="0042435D">
      <w:pPr>
        <w:pStyle w:val="ListParagraph"/>
        <w:numPr>
          <w:ilvl w:val="0"/>
          <w:numId w:val="4"/>
        </w:numPr>
        <w:ind w:left="0" w:firstLine="0"/>
        <w:jc w:val="both"/>
        <w:rPr>
          <w:rFonts w:ascii="Verdana" w:hAnsi="Verdana"/>
          <w:sz w:val="20"/>
          <w:lang w:val="es-CR"/>
        </w:rPr>
      </w:pPr>
      <w:r w:rsidRPr="006A0A3F">
        <w:rPr>
          <w:rFonts w:ascii="Verdana" w:hAnsi="Verdana"/>
          <w:sz w:val="20"/>
          <w:lang w:val="es-CR"/>
        </w:rPr>
        <w:t xml:space="preserve">La Constitución Política </w:t>
      </w:r>
      <w:r w:rsidR="00266D24" w:rsidRPr="006A0A3F">
        <w:rPr>
          <w:rFonts w:ascii="Verdana" w:hAnsi="Verdana"/>
          <w:sz w:val="20"/>
          <w:lang w:val="es-CR"/>
        </w:rPr>
        <w:t>de la República Bolivariana de Venezuela</w:t>
      </w:r>
      <w:r w:rsidRPr="006A0A3F">
        <w:rPr>
          <w:rFonts w:ascii="Verdana" w:hAnsi="Verdana"/>
          <w:sz w:val="20"/>
          <w:lang w:val="es-CR"/>
        </w:rPr>
        <w:t>, promulgada en 1999, contempla en sus artículos 71, 72, 73 y 74 las modalidades constitucionales del referendo: consultivo, revocatorio, aprobatorio y abrogatorio, como las cuatro formas d</w:t>
      </w:r>
      <w:r w:rsidR="00A7000B" w:rsidRPr="006A0A3F">
        <w:rPr>
          <w:rFonts w:ascii="Verdana" w:hAnsi="Verdana"/>
          <w:sz w:val="20"/>
          <w:lang w:val="es-CR"/>
        </w:rPr>
        <w:t>el denominado referendo popular</w:t>
      </w:r>
      <w:r w:rsidRPr="006A0A3F">
        <w:rPr>
          <w:rFonts w:ascii="Verdana" w:hAnsi="Verdana"/>
          <w:sz w:val="20"/>
          <w:vertAlign w:val="superscript"/>
          <w:lang w:val="es-CR"/>
        </w:rPr>
        <w:footnoteReference w:id="57"/>
      </w:r>
      <w:r w:rsidR="00A7000B" w:rsidRPr="006A0A3F">
        <w:rPr>
          <w:rFonts w:ascii="Verdana" w:hAnsi="Verdana"/>
          <w:sz w:val="20"/>
          <w:lang w:val="es-CR"/>
        </w:rPr>
        <w:t>.</w:t>
      </w:r>
    </w:p>
    <w:p w14:paraId="7F9B5192" w14:textId="77777777" w:rsidR="00E41D9C" w:rsidRPr="006A0A3F" w:rsidRDefault="00E41D9C" w:rsidP="00E41D9C">
      <w:pPr>
        <w:pBdr>
          <w:top w:val="nil"/>
        </w:pBdr>
        <w:spacing w:after="0" w:line="240" w:lineRule="auto"/>
        <w:jc w:val="both"/>
        <w:rPr>
          <w:rFonts w:ascii="Verdana" w:hAnsi="Verdana"/>
          <w:sz w:val="20"/>
          <w:szCs w:val="20"/>
        </w:rPr>
      </w:pPr>
    </w:p>
    <w:p w14:paraId="564A7C70" w14:textId="447B96A6"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Durante los años 2001 y 2002 se vivió en Venezuela una grave crisis institucional y  política, en el marco de la cual partidos políticos de oposición y organizaciones de la sociedad civil promovieron un referendo consultivo para solicitar la renuncia del entonces Presidente Hugo Chávez Frías. Para tal efecto, dichas organizaciones recolectaron firmas y el 4 de noviembre de 2002 entregaron </w:t>
      </w:r>
      <w:r w:rsidR="00266D24" w:rsidRPr="006A0A3F">
        <w:rPr>
          <w:rFonts w:ascii="Verdana" w:hAnsi="Verdana"/>
          <w:sz w:val="20"/>
          <w:szCs w:val="20"/>
        </w:rPr>
        <w:t xml:space="preserve">más de dos millones de firmas </w:t>
      </w:r>
      <w:r w:rsidRPr="006A0A3F">
        <w:rPr>
          <w:rFonts w:ascii="Verdana" w:hAnsi="Verdana"/>
          <w:sz w:val="20"/>
          <w:szCs w:val="20"/>
        </w:rPr>
        <w:t>al Consejo Nacional Electoral</w:t>
      </w:r>
      <w:r w:rsidR="00266D24" w:rsidRPr="006A0A3F">
        <w:rPr>
          <w:rFonts w:ascii="Verdana" w:hAnsi="Verdana"/>
          <w:sz w:val="20"/>
          <w:szCs w:val="20"/>
        </w:rPr>
        <w:t xml:space="preserve"> (CNE) (en adelante también “CNE”)</w:t>
      </w:r>
      <w:r w:rsidRPr="006A0A3F">
        <w:rPr>
          <w:rFonts w:ascii="Verdana" w:hAnsi="Verdana"/>
          <w:sz w:val="20"/>
          <w:szCs w:val="20"/>
          <w:vertAlign w:val="superscript"/>
        </w:rPr>
        <w:footnoteReference w:id="58"/>
      </w:r>
      <w:r w:rsidRPr="006A0A3F">
        <w:rPr>
          <w:rFonts w:ascii="Verdana" w:hAnsi="Verdana"/>
          <w:sz w:val="20"/>
          <w:szCs w:val="20"/>
        </w:rPr>
        <w:t>.</w:t>
      </w:r>
    </w:p>
    <w:p w14:paraId="0294B4C0" w14:textId="77777777" w:rsidR="00E41D9C" w:rsidRPr="006A0A3F" w:rsidRDefault="00E41D9C" w:rsidP="0042435D">
      <w:pPr>
        <w:spacing w:after="0" w:line="240" w:lineRule="auto"/>
        <w:jc w:val="both"/>
        <w:rPr>
          <w:rFonts w:ascii="Verdana" w:hAnsi="Verdana"/>
          <w:sz w:val="20"/>
          <w:szCs w:val="20"/>
        </w:rPr>
      </w:pPr>
    </w:p>
    <w:p w14:paraId="1DE6D7FC" w14:textId="77777777"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En noviembre de 2002, durante un programa de televisión, el entonces Presidente Chávez afirmó que no renunciaría a su cargo, declarando: “Ni en el supuesto de que el Consejo Nacional Electoral decrete que la pregunta (del referéndum consultivo) es válida. Ni en el supuesto de que el Tribunal Supremo de Justicia también lo diga. Ni en el supuesto de que hagan ese referéndum y saquen 90% de los votos, ¡yo no voy a renunciar!”</w:t>
      </w:r>
      <w:r w:rsidRPr="006A0A3F">
        <w:rPr>
          <w:rFonts w:ascii="Verdana" w:hAnsi="Verdana"/>
          <w:sz w:val="20"/>
          <w:szCs w:val="20"/>
          <w:vertAlign w:val="superscript"/>
        </w:rPr>
        <w:footnoteReference w:id="59"/>
      </w:r>
      <w:r w:rsidRPr="006A0A3F">
        <w:rPr>
          <w:rFonts w:ascii="Verdana" w:hAnsi="Verdana"/>
          <w:sz w:val="20"/>
          <w:szCs w:val="20"/>
        </w:rPr>
        <w:t>.</w:t>
      </w:r>
    </w:p>
    <w:p w14:paraId="3BF894CC" w14:textId="77777777" w:rsidR="00E41D9C" w:rsidRPr="006A0A3F" w:rsidRDefault="00E41D9C" w:rsidP="0042435D">
      <w:pPr>
        <w:spacing w:after="0" w:line="240" w:lineRule="auto"/>
        <w:jc w:val="both"/>
        <w:rPr>
          <w:rFonts w:ascii="Verdana" w:hAnsi="Verdana"/>
          <w:sz w:val="20"/>
          <w:szCs w:val="20"/>
        </w:rPr>
      </w:pPr>
    </w:p>
    <w:p w14:paraId="4A713412" w14:textId="1996CA45"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3 de diciembre de 2002, mediante resolución No. 021203-457, publicada en la Gaceta Electoral Nº 168 del 5 de diciembre de 2002, el </w:t>
      </w:r>
      <w:r w:rsidR="00D0656B" w:rsidRPr="006A0A3F">
        <w:rPr>
          <w:rFonts w:ascii="Verdana" w:hAnsi="Verdana"/>
          <w:sz w:val="20"/>
          <w:szCs w:val="20"/>
        </w:rPr>
        <w:t xml:space="preserve">Consejo Nacional Electoral </w:t>
      </w:r>
      <w:r w:rsidRPr="006A0A3F">
        <w:rPr>
          <w:rFonts w:ascii="Verdana" w:hAnsi="Verdana"/>
          <w:sz w:val="20"/>
          <w:szCs w:val="20"/>
        </w:rPr>
        <w:t xml:space="preserve">convocó a los electores a participar en el referendo consultivo nacional </w:t>
      </w:r>
      <w:r w:rsidR="00030D2A">
        <w:rPr>
          <w:rFonts w:ascii="Verdana" w:hAnsi="Verdana"/>
          <w:sz w:val="20"/>
          <w:szCs w:val="20"/>
        </w:rPr>
        <w:t>sobre el</w:t>
      </w:r>
      <w:r w:rsidRPr="006A0A3F">
        <w:rPr>
          <w:rFonts w:ascii="Verdana" w:hAnsi="Verdana"/>
          <w:sz w:val="20"/>
          <w:szCs w:val="20"/>
        </w:rPr>
        <w:t xml:space="preserve"> mandato presidencial para el 2 de febrero de 2003</w:t>
      </w:r>
      <w:r w:rsidRPr="006A0A3F">
        <w:rPr>
          <w:rFonts w:ascii="Verdana" w:hAnsi="Verdana"/>
          <w:sz w:val="20"/>
          <w:szCs w:val="20"/>
          <w:vertAlign w:val="superscript"/>
        </w:rPr>
        <w:footnoteReference w:id="60"/>
      </w:r>
      <w:r w:rsidRPr="006A0A3F">
        <w:rPr>
          <w:rFonts w:ascii="Verdana" w:hAnsi="Verdana"/>
          <w:sz w:val="20"/>
          <w:szCs w:val="20"/>
        </w:rPr>
        <w:t xml:space="preserve">. </w:t>
      </w:r>
    </w:p>
    <w:p w14:paraId="73E767D5" w14:textId="77777777" w:rsidR="00E41D9C" w:rsidRPr="006A0A3F" w:rsidRDefault="00E41D9C" w:rsidP="0042435D">
      <w:pPr>
        <w:pStyle w:val="ListParagraph"/>
        <w:ind w:left="0"/>
        <w:rPr>
          <w:rFonts w:ascii="Verdana" w:hAnsi="Verdana"/>
          <w:sz w:val="20"/>
          <w:lang w:val="es-CR"/>
        </w:rPr>
      </w:pPr>
    </w:p>
    <w:p w14:paraId="0F8759A8" w14:textId="69E13D5B"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30 de diciembre de 2002 tres diputados del partido político </w:t>
      </w:r>
      <w:r w:rsidR="008220D6" w:rsidRPr="006A0A3F">
        <w:rPr>
          <w:rFonts w:ascii="Verdana" w:hAnsi="Verdana"/>
          <w:sz w:val="20"/>
          <w:szCs w:val="20"/>
        </w:rPr>
        <w:t>“</w:t>
      </w:r>
      <w:r w:rsidRPr="006A0A3F">
        <w:rPr>
          <w:rFonts w:ascii="Verdana" w:hAnsi="Verdana"/>
          <w:sz w:val="20"/>
          <w:szCs w:val="20"/>
        </w:rPr>
        <w:t>Movimiento Quinta República</w:t>
      </w:r>
      <w:r w:rsidR="008220D6" w:rsidRPr="006A0A3F">
        <w:rPr>
          <w:rFonts w:ascii="Verdana" w:hAnsi="Verdana"/>
          <w:sz w:val="20"/>
          <w:szCs w:val="20"/>
        </w:rPr>
        <w:t>”</w:t>
      </w:r>
      <w:r w:rsidRPr="006A0A3F">
        <w:rPr>
          <w:rFonts w:ascii="Verdana" w:hAnsi="Verdana"/>
          <w:sz w:val="20"/>
          <w:szCs w:val="20"/>
        </w:rPr>
        <w:t xml:space="preserve"> presentaron un recurso de “anulación con solicitud de amparo constitucional” en contra de esta resolución</w:t>
      </w:r>
      <w:r w:rsidR="00AE4824" w:rsidRPr="006A0A3F">
        <w:rPr>
          <w:rFonts w:ascii="Verdana" w:hAnsi="Verdana"/>
          <w:sz w:val="20"/>
          <w:szCs w:val="20"/>
        </w:rPr>
        <w:t>, quienes además impugnaron la incorporación de un miembro (rector) suplente</w:t>
      </w:r>
      <w:r w:rsidR="008220D6" w:rsidRPr="006A0A3F">
        <w:rPr>
          <w:rFonts w:ascii="Verdana" w:hAnsi="Verdana"/>
          <w:sz w:val="20"/>
          <w:szCs w:val="20"/>
        </w:rPr>
        <w:t xml:space="preserve"> al </w:t>
      </w:r>
      <w:r w:rsidR="00D0656B" w:rsidRPr="006A0A3F">
        <w:rPr>
          <w:rFonts w:ascii="Verdana" w:hAnsi="Verdana"/>
          <w:sz w:val="20"/>
          <w:szCs w:val="20"/>
        </w:rPr>
        <w:t>Consejo Nacional Electoral</w:t>
      </w:r>
      <w:r w:rsidRPr="006A0A3F">
        <w:rPr>
          <w:rFonts w:ascii="Verdana" w:hAnsi="Verdana"/>
          <w:sz w:val="20"/>
          <w:szCs w:val="20"/>
          <w:vertAlign w:val="superscript"/>
        </w:rPr>
        <w:footnoteReference w:id="61"/>
      </w:r>
      <w:r w:rsidRPr="006A0A3F">
        <w:rPr>
          <w:rFonts w:ascii="Verdana" w:hAnsi="Verdana"/>
          <w:sz w:val="20"/>
          <w:szCs w:val="20"/>
        </w:rPr>
        <w:t>.</w:t>
      </w:r>
    </w:p>
    <w:p w14:paraId="56873E7F" w14:textId="5845CD6A" w:rsidR="00E41D9C" w:rsidRPr="006A0A3F" w:rsidRDefault="00E41D9C" w:rsidP="00AE4824">
      <w:pPr>
        <w:pBdr>
          <w:top w:val="nil"/>
        </w:pBdr>
        <w:spacing w:after="0" w:line="240" w:lineRule="auto"/>
        <w:jc w:val="both"/>
        <w:rPr>
          <w:rFonts w:ascii="Verdana" w:hAnsi="Verdana"/>
          <w:sz w:val="20"/>
          <w:szCs w:val="20"/>
        </w:rPr>
      </w:pPr>
    </w:p>
    <w:p w14:paraId="1D757E62" w14:textId="1F68C452"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22 de enero de 2003, diez días antes de la fecha señalada para llevar a cabo el referendo consultivo, </w:t>
      </w:r>
      <w:r w:rsidR="00AE4824" w:rsidRPr="006A0A3F">
        <w:rPr>
          <w:rFonts w:ascii="Verdana" w:hAnsi="Verdana"/>
          <w:sz w:val="20"/>
          <w:szCs w:val="20"/>
        </w:rPr>
        <w:t>una</w:t>
      </w:r>
      <w:r w:rsidRPr="006A0A3F">
        <w:rPr>
          <w:rFonts w:ascii="Verdana" w:hAnsi="Verdana"/>
          <w:sz w:val="20"/>
          <w:szCs w:val="20"/>
        </w:rPr>
        <w:t xml:space="preserve"> Sala Electoral accidental del Tribunal Supremo de Justicia (TSJ) declaró con lugar </w:t>
      </w:r>
      <w:r w:rsidR="00AE4824" w:rsidRPr="006A0A3F">
        <w:rPr>
          <w:rFonts w:ascii="Verdana" w:hAnsi="Verdana"/>
          <w:sz w:val="20"/>
          <w:szCs w:val="20"/>
        </w:rPr>
        <w:t xml:space="preserve">el recurso, considerando que la incorporación del rector suplente era ilegal, </w:t>
      </w:r>
      <w:r w:rsidRPr="006A0A3F">
        <w:rPr>
          <w:rFonts w:ascii="Verdana" w:hAnsi="Verdana"/>
          <w:sz w:val="20"/>
          <w:szCs w:val="20"/>
        </w:rPr>
        <w:t xml:space="preserve">y ordenó al </w:t>
      </w:r>
      <w:r w:rsidR="00D0656B" w:rsidRPr="006A0A3F">
        <w:rPr>
          <w:rFonts w:ascii="Verdana" w:hAnsi="Verdana"/>
          <w:sz w:val="20"/>
          <w:szCs w:val="20"/>
        </w:rPr>
        <w:t>Consejo Nacional Electoral</w:t>
      </w:r>
      <w:r w:rsidR="008220D6" w:rsidRPr="006A0A3F">
        <w:rPr>
          <w:rFonts w:ascii="Verdana" w:hAnsi="Verdana"/>
          <w:sz w:val="20"/>
          <w:szCs w:val="20"/>
        </w:rPr>
        <w:t>, entre otros</w:t>
      </w:r>
      <w:r w:rsidRPr="006A0A3F">
        <w:rPr>
          <w:rFonts w:ascii="Verdana" w:hAnsi="Verdana"/>
          <w:sz w:val="20"/>
          <w:szCs w:val="20"/>
        </w:rPr>
        <w:t>: abstenerse de iniciar procesos electorales o referendarios y suspender los ya iniciados; y suspender los efectos de la Resolución No. 021203-457 en vista de que</w:t>
      </w:r>
      <w:r w:rsidR="008220D6" w:rsidRPr="006A0A3F">
        <w:rPr>
          <w:rFonts w:ascii="Verdana" w:hAnsi="Verdana"/>
          <w:sz w:val="20"/>
          <w:szCs w:val="20"/>
        </w:rPr>
        <w:t>,</w:t>
      </w:r>
      <w:r w:rsidRPr="006A0A3F">
        <w:rPr>
          <w:rFonts w:ascii="Verdana" w:hAnsi="Verdana"/>
          <w:sz w:val="20"/>
          <w:szCs w:val="20"/>
        </w:rPr>
        <w:t xml:space="preserve"> en </w:t>
      </w:r>
      <w:r w:rsidR="008220D6" w:rsidRPr="006A0A3F">
        <w:rPr>
          <w:rFonts w:ascii="Verdana" w:hAnsi="Verdana"/>
          <w:sz w:val="20"/>
          <w:szCs w:val="20"/>
        </w:rPr>
        <w:t xml:space="preserve">su aprobación, </w:t>
      </w:r>
      <w:r w:rsidRPr="006A0A3F">
        <w:rPr>
          <w:rFonts w:ascii="Verdana" w:hAnsi="Verdana"/>
          <w:sz w:val="20"/>
          <w:szCs w:val="20"/>
        </w:rPr>
        <w:t xml:space="preserve">participó dentro del Directorio una persona que ya había renunciado al cargo de suplente, por lo que resultaba atentatoria “del derecho a la participación en los asuntos públicos que tienen, tanto los recurrentes, como en general todos </w:t>
      </w:r>
      <w:r w:rsidRPr="006A0A3F">
        <w:rPr>
          <w:rFonts w:ascii="Verdana" w:hAnsi="Verdana"/>
          <w:sz w:val="20"/>
          <w:szCs w:val="20"/>
        </w:rPr>
        <w:lastRenderedPageBreak/>
        <w:t xml:space="preserve">los electores (…)”. </w:t>
      </w:r>
      <w:r w:rsidR="00BB2875" w:rsidRPr="006A0A3F">
        <w:rPr>
          <w:rFonts w:ascii="Verdana" w:hAnsi="Verdana"/>
          <w:sz w:val="20"/>
          <w:szCs w:val="20"/>
        </w:rPr>
        <w:t>E</w:t>
      </w:r>
      <w:r w:rsidRPr="006A0A3F">
        <w:rPr>
          <w:rFonts w:ascii="Verdana" w:hAnsi="Verdana"/>
          <w:sz w:val="20"/>
          <w:szCs w:val="20"/>
        </w:rPr>
        <w:t xml:space="preserve">l </w:t>
      </w:r>
      <w:r w:rsidR="00D0656B" w:rsidRPr="006A0A3F">
        <w:rPr>
          <w:rFonts w:ascii="Verdana" w:hAnsi="Verdana"/>
          <w:sz w:val="20"/>
          <w:szCs w:val="20"/>
        </w:rPr>
        <w:t xml:space="preserve">Consejo Nacional Electoral </w:t>
      </w:r>
      <w:r w:rsidRPr="006A0A3F">
        <w:rPr>
          <w:rFonts w:ascii="Verdana" w:hAnsi="Verdana"/>
          <w:sz w:val="20"/>
          <w:szCs w:val="20"/>
        </w:rPr>
        <w:t xml:space="preserve">suspendió </w:t>
      </w:r>
      <w:r w:rsidR="00BB2875" w:rsidRPr="006A0A3F">
        <w:rPr>
          <w:rFonts w:ascii="Verdana" w:hAnsi="Verdana"/>
          <w:sz w:val="20"/>
          <w:szCs w:val="20"/>
        </w:rPr>
        <w:t xml:space="preserve">entonces </w:t>
      </w:r>
      <w:r w:rsidRPr="006A0A3F">
        <w:rPr>
          <w:rFonts w:ascii="Verdana" w:hAnsi="Verdana"/>
          <w:sz w:val="20"/>
          <w:szCs w:val="20"/>
        </w:rPr>
        <w:t>la convocatoria de referendo consultivo y restringió sus actividades a aquellas de carácter administrativo</w:t>
      </w:r>
      <w:r w:rsidRPr="006A0A3F">
        <w:rPr>
          <w:rFonts w:ascii="Verdana" w:hAnsi="Verdana"/>
          <w:sz w:val="20"/>
          <w:szCs w:val="20"/>
          <w:vertAlign w:val="superscript"/>
        </w:rPr>
        <w:footnoteReference w:id="62"/>
      </w:r>
      <w:r w:rsidRPr="006A0A3F">
        <w:rPr>
          <w:rFonts w:ascii="Verdana" w:hAnsi="Verdana"/>
          <w:sz w:val="20"/>
          <w:szCs w:val="20"/>
        </w:rPr>
        <w:t>.</w:t>
      </w:r>
    </w:p>
    <w:p w14:paraId="03A474F3" w14:textId="77777777" w:rsidR="0064741F" w:rsidRPr="006A0A3F" w:rsidRDefault="0064741F" w:rsidP="00E41D9C">
      <w:pPr>
        <w:spacing w:after="0" w:line="240" w:lineRule="auto"/>
        <w:jc w:val="both"/>
        <w:rPr>
          <w:rFonts w:ascii="Verdana" w:hAnsi="Verdana"/>
          <w:sz w:val="20"/>
          <w:szCs w:val="20"/>
        </w:rPr>
      </w:pPr>
    </w:p>
    <w:p w14:paraId="67E3401C" w14:textId="77777777" w:rsidR="00E41D9C" w:rsidRPr="006A0A3F" w:rsidRDefault="00E41D9C" w:rsidP="00AB56AF">
      <w:pPr>
        <w:pStyle w:val="ListParagraph"/>
        <w:numPr>
          <w:ilvl w:val="0"/>
          <w:numId w:val="10"/>
        </w:numPr>
        <w:pBdr>
          <w:top w:val="nil"/>
        </w:pBdr>
        <w:tabs>
          <w:tab w:val="left" w:pos="1134"/>
          <w:tab w:val="left" w:pos="1843"/>
        </w:tabs>
        <w:ind w:left="1843" w:hanging="709"/>
        <w:jc w:val="both"/>
        <w:rPr>
          <w:rFonts w:ascii="Verdana" w:hAnsi="Verdana"/>
          <w:i/>
          <w:sz w:val="20"/>
          <w:lang w:val="es-CR"/>
        </w:rPr>
      </w:pPr>
      <w:r w:rsidRPr="006A0A3F">
        <w:rPr>
          <w:rFonts w:ascii="Verdana" w:hAnsi="Verdana"/>
          <w:b/>
          <w:i/>
          <w:sz w:val="20"/>
          <w:lang w:val="es-CR"/>
        </w:rPr>
        <w:t xml:space="preserve">La segunda recolección de firmas: “El </w:t>
      </w:r>
      <w:proofErr w:type="spellStart"/>
      <w:r w:rsidRPr="006A0A3F">
        <w:rPr>
          <w:rFonts w:ascii="Verdana" w:hAnsi="Verdana"/>
          <w:b/>
          <w:i/>
          <w:sz w:val="20"/>
          <w:lang w:val="es-CR"/>
        </w:rPr>
        <w:t>Firmazo</w:t>
      </w:r>
      <w:proofErr w:type="spellEnd"/>
      <w:r w:rsidRPr="006A0A3F">
        <w:rPr>
          <w:rFonts w:ascii="Verdana" w:hAnsi="Verdana"/>
          <w:b/>
          <w:i/>
          <w:sz w:val="20"/>
          <w:lang w:val="es-CR"/>
        </w:rPr>
        <w:t>”</w:t>
      </w:r>
    </w:p>
    <w:p w14:paraId="141F5322" w14:textId="77777777" w:rsidR="00E41D9C" w:rsidRPr="006A0A3F" w:rsidRDefault="00E41D9C" w:rsidP="00E41D9C">
      <w:pPr>
        <w:spacing w:after="0" w:line="240" w:lineRule="auto"/>
        <w:ind w:firstLine="708"/>
        <w:jc w:val="both"/>
        <w:rPr>
          <w:rFonts w:ascii="Verdana" w:hAnsi="Verdana"/>
          <w:sz w:val="20"/>
          <w:szCs w:val="20"/>
        </w:rPr>
      </w:pPr>
    </w:p>
    <w:p w14:paraId="10C4F47B" w14:textId="15018ACA"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En vista de la decisión de la Sala Electoral del TSJ, partidos políticos y miembros de la sociedad civil determinaron llevar a cabo el 2 de febrero de 2003 una segunda recolección de firmas</w:t>
      </w:r>
      <w:r w:rsidR="00710369" w:rsidRPr="006A0A3F">
        <w:rPr>
          <w:rFonts w:ascii="Verdana" w:hAnsi="Verdana"/>
          <w:sz w:val="20"/>
          <w:szCs w:val="20"/>
        </w:rPr>
        <w:t>,</w:t>
      </w:r>
      <w:r w:rsidRPr="006A0A3F">
        <w:rPr>
          <w:rFonts w:ascii="Verdana" w:hAnsi="Verdana"/>
          <w:sz w:val="20"/>
          <w:szCs w:val="20"/>
        </w:rPr>
        <w:t xml:space="preserve"> conocida como “El </w:t>
      </w:r>
      <w:proofErr w:type="spellStart"/>
      <w:r w:rsidRPr="006A0A3F">
        <w:rPr>
          <w:rFonts w:ascii="Verdana" w:hAnsi="Verdana"/>
          <w:sz w:val="20"/>
          <w:szCs w:val="20"/>
        </w:rPr>
        <w:t>Firmazo</w:t>
      </w:r>
      <w:proofErr w:type="spellEnd"/>
      <w:r w:rsidRPr="006A0A3F">
        <w:rPr>
          <w:rFonts w:ascii="Verdana" w:hAnsi="Verdana"/>
          <w:sz w:val="20"/>
          <w:szCs w:val="20"/>
        </w:rPr>
        <w:t>”, esta vez para promover un referendo de carácter revocatorio del mandato presidencial</w:t>
      </w:r>
      <w:r w:rsidR="00145EAC" w:rsidRPr="006A0A3F">
        <w:rPr>
          <w:rStyle w:val="FootnoteReference"/>
          <w:rFonts w:ascii="Verdana" w:hAnsi="Verdana"/>
          <w:sz w:val="20"/>
          <w:szCs w:val="20"/>
        </w:rPr>
        <w:footnoteReference w:id="63"/>
      </w:r>
      <w:r w:rsidRPr="006A0A3F">
        <w:rPr>
          <w:rFonts w:ascii="Verdana" w:hAnsi="Verdana"/>
          <w:sz w:val="20"/>
          <w:szCs w:val="20"/>
        </w:rPr>
        <w:t>. Ello fue organizado por una asociación civil denominada “SUMATE”. En dicha jornada se recolectaron más de tres millones de firmas</w:t>
      </w:r>
      <w:r w:rsidRPr="006A0A3F">
        <w:rPr>
          <w:rFonts w:ascii="Verdana" w:hAnsi="Verdana"/>
          <w:sz w:val="20"/>
          <w:szCs w:val="20"/>
          <w:vertAlign w:val="superscript"/>
        </w:rPr>
        <w:footnoteReference w:id="64"/>
      </w:r>
      <w:r w:rsidRPr="006A0A3F">
        <w:rPr>
          <w:rFonts w:ascii="Verdana" w:hAnsi="Verdana"/>
          <w:sz w:val="20"/>
          <w:szCs w:val="20"/>
        </w:rPr>
        <w:t xml:space="preserve">. </w:t>
      </w:r>
    </w:p>
    <w:p w14:paraId="6EE3BDD7" w14:textId="77777777" w:rsidR="00E41D9C" w:rsidRPr="006A0A3F" w:rsidRDefault="00E41D9C" w:rsidP="0042435D">
      <w:pPr>
        <w:spacing w:after="0" w:line="240" w:lineRule="auto"/>
        <w:jc w:val="both"/>
        <w:rPr>
          <w:rFonts w:ascii="Verdana" w:hAnsi="Verdana"/>
          <w:sz w:val="20"/>
          <w:szCs w:val="20"/>
        </w:rPr>
      </w:pPr>
    </w:p>
    <w:p w14:paraId="31F6D2EC" w14:textId="4DF1745F" w:rsidR="00E41D9C" w:rsidRPr="006A0A3F" w:rsidRDefault="00710369"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La Organización de Estados Americanos (OEA) y el </w:t>
      </w:r>
      <w:r w:rsidR="00E41D9C" w:rsidRPr="006A0A3F">
        <w:rPr>
          <w:rFonts w:ascii="Verdana" w:hAnsi="Verdana"/>
          <w:sz w:val="20"/>
          <w:szCs w:val="20"/>
        </w:rPr>
        <w:t xml:space="preserve">Centro Carter, en calidad de observadores, indicaron que “El </w:t>
      </w:r>
      <w:proofErr w:type="spellStart"/>
      <w:r w:rsidR="00E41D9C" w:rsidRPr="006A0A3F">
        <w:rPr>
          <w:rFonts w:ascii="Verdana" w:hAnsi="Verdana"/>
          <w:sz w:val="20"/>
          <w:szCs w:val="20"/>
        </w:rPr>
        <w:t>Firmazo</w:t>
      </w:r>
      <w:proofErr w:type="spellEnd"/>
      <w:r w:rsidR="00E41D9C" w:rsidRPr="006A0A3F">
        <w:rPr>
          <w:rFonts w:ascii="Verdana" w:hAnsi="Verdana"/>
          <w:sz w:val="20"/>
          <w:szCs w:val="20"/>
        </w:rPr>
        <w:t>” se desarrolló con normalidad. No obstante, representantes del gobierno tildaron de fraudulenta la jornada y negaron que se hubiesen recolectado suficientes firmas para convocar al referendo</w:t>
      </w:r>
      <w:r w:rsidR="00E41D9C" w:rsidRPr="006A0A3F">
        <w:rPr>
          <w:rFonts w:ascii="Verdana" w:hAnsi="Verdana"/>
          <w:sz w:val="20"/>
          <w:szCs w:val="20"/>
          <w:vertAlign w:val="superscript"/>
        </w:rPr>
        <w:footnoteReference w:id="65"/>
      </w:r>
      <w:r w:rsidR="00E41D9C" w:rsidRPr="006A0A3F">
        <w:rPr>
          <w:rFonts w:ascii="Verdana" w:hAnsi="Verdana"/>
          <w:sz w:val="20"/>
          <w:szCs w:val="20"/>
        </w:rPr>
        <w:t xml:space="preserve">. </w:t>
      </w:r>
    </w:p>
    <w:p w14:paraId="65067E46" w14:textId="77777777" w:rsidR="00E41D9C" w:rsidRPr="006A0A3F" w:rsidRDefault="00E41D9C" w:rsidP="0042435D">
      <w:pPr>
        <w:spacing w:after="0" w:line="240" w:lineRule="auto"/>
        <w:jc w:val="both"/>
        <w:rPr>
          <w:rFonts w:ascii="Verdana" w:hAnsi="Verdana"/>
          <w:sz w:val="20"/>
          <w:szCs w:val="20"/>
        </w:rPr>
      </w:pPr>
    </w:p>
    <w:p w14:paraId="45273BC4" w14:textId="00457D15" w:rsidR="00E41D9C" w:rsidRPr="006A0A3F" w:rsidRDefault="00404A4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U</w:t>
      </w:r>
      <w:r w:rsidR="00E41D9C" w:rsidRPr="006A0A3F">
        <w:rPr>
          <w:rFonts w:ascii="Verdana" w:hAnsi="Verdana"/>
          <w:sz w:val="20"/>
          <w:szCs w:val="20"/>
        </w:rPr>
        <w:t>na decisión de la Sala Constitucional estableció que “las firmas para el revocatorio deberán consignarse ante el CNE, una vez que el Presidente Chávez o cualquier funcionario de elección popular cumpla la mitad del mandato”</w:t>
      </w:r>
      <w:r w:rsidR="00E41D9C" w:rsidRPr="006A0A3F">
        <w:rPr>
          <w:rFonts w:ascii="Verdana" w:hAnsi="Verdana"/>
          <w:sz w:val="20"/>
          <w:szCs w:val="20"/>
          <w:vertAlign w:val="superscript"/>
        </w:rPr>
        <w:footnoteReference w:id="66"/>
      </w:r>
      <w:r w:rsidRPr="006A0A3F">
        <w:rPr>
          <w:rFonts w:ascii="Verdana" w:hAnsi="Verdana"/>
          <w:sz w:val="20"/>
          <w:szCs w:val="20"/>
        </w:rPr>
        <w:t>.</w:t>
      </w:r>
      <w:r w:rsidR="00E41D9C" w:rsidRPr="006A0A3F">
        <w:rPr>
          <w:rFonts w:ascii="Verdana" w:hAnsi="Verdana"/>
          <w:sz w:val="20"/>
          <w:szCs w:val="20"/>
        </w:rPr>
        <w:t xml:space="preserve"> </w:t>
      </w:r>
      <w:r w:rsidRPr="006A0A3F">
        <w:rPr>
          <w:rFonts w:ascii="Verdana" w:hAnsi="Verdana"/>
          <w:sz w:val="20"/>
          <w:szCs w:val="20"/>
        </w:rPr>
        <w:t>L</w:t>
      </w:r>
      <w:r w:rsidR="00E41D9C" w:rsidRPr="006A0A3F">
        <w:rPr>
          <w:rFonts w:ascii="Verdana" w:hAnsi="Verdana"/>
          <w:sz w:val="20"/>
          <w:szCs w:val="20"/>
        </w:rPr>
        <w:t>as firmas obtenidas fueron presentadas ante el CNE el 20 de agosto de 2003</w:t>
      </w:r>
      <w:r w:rsidR="00E41D9C" w:rsidRPr="006A0A3F">
        <w:rPr>
          <w:rFonts w:ascii="Verdana" w:hAnsi="Verdana"/>
          <w:sz w:val="20"/>
          <w:szCs w:val="20"/>
          <w:vertAlign w:val="superscript"/>
        </w:rPr>
        <w:footnoteReference w:id="67"/>
      </w:r>
      <w:r w:rsidR="00E41D9C" w:rsidRPr="006A0A3F">
        <w:rPr>
          <w:rFonts w:ascii="Verdana" w:hAnsi="Verdana"/>
          <w:sz w:val="20"/>
          <w:szCs w:val="20"/>
        </w:rPr>
        <w:t xml:space="preserve">. </w:t>
      </w:r>
    </w:p>
    <w:p w14:paraId="0D2C9D1B" w14:textId="77777777" w:rsidR="00E41D9C" w:rsidRPr="006A0A3F" w:rsidRDefault="00E41D9C" w:rsidP="0042435D">
      <w:pPr>
        <w:spacing w:after="0" w:line="240" w:lineRule="auto"/>
        <w:jc w:val="both"/>
        <w:rPr>
          <w:rFonts w:ascii="Verdana" w:hAnsi="Verdana"/>
          <w:sz w:val="20"/>
          <w:szCs w:val="20"/>
        </w:rPr>
      </w:pPr>
    </w:p>
    <w:p w14:paraId="0393D28E" w14:textId="48DA83EB"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12 de septiembre de 2003, mediante la resolución No. 030912-461, el </w:t>
      </w:r>
      <w:r w:rsidR="00D0656B" w:rsidRPr="006A0A3F">
        <w:rPr>
          <w:rFonts w:ascii="Verdana" w:hAnsi="Verdana"/>
          <w:sz w:val="20"/>
          <w:szCs w:val="20"/>
        </w:rPr>
        <w:t xml:space="preserve">Consejo Nacional Electoral </w:t>
      </w:r>
      <w:r w:rsidRPr="006A0A3F">
        <w:rPr>
          <w:rFonts w:ascii="Verdana" w:hAnsi="Verdana"/>
          <w:sz w:val="20"/>
          <w:szCs w:val="20"/>
        </w:rPr>
        <w:t>declaró inadmisible la solicitud de referendo revocatorio,</w:t>
      </w:r>
      <w:r w:rsidR="00C54FF8" w:rsidRPr="006A0A3F">
        <w:rPr>
          <w:rFonts w:ascii="Verdana" w:hAnsi="Verdana"/>
          <w:sz w:val="20"/>
          <w:szCs w:val="20"/>
        </w:rPr>
        <w:t xml:space="preserve"> argumentado</w:t>
      </w:r>
      <w:r w:rsidR="00DB0381" w:rsidRPr="006A0A3F">
        <w:rPr>
          <w:rFonts w:ascii="Verdana" w:hAnsi="Verdana"/>
          <w:sz w:val="20"/>
          <w:szCs w:val="20"/>
        </w:rPr>
        <w:t>,</w:t>
      </w:r>
      <w:r w:rsidR="00C54FF8" w:rsidRPr="006A0A3F">
        <w:rPr>
          <w:rFonts w:ascii="Verdana" w:hAnsi="Verdana"/>
          <w:sz w:val="20"/>
          <w:szCs w:val="20"/>
        </w:rPr>
        <w:t xml:space="preserve"> entre otras cosas, </w:t>
      </w:r>
      <w:r w:rsidRPr="006A0A3F">
        <w:rPr>
          <w:rFonts w:ascii="Verdana" w:hAnsi="Verdana"/>
          <w:sz w:val="20"/>
          <w:szCs w:val="20"/>
        </w:rPr>
        <w:t>la extemporaneidad de las firmas por haber sido recogidas 6 meses y 18 días antes de que se cumpliera la mitad de</w:t>
      </w:r>
      <w:r w:rsidR="00DB0381" w:rsidRPr="006A0A3F">
        <w:rPr>
          <w:rFonts w:ascii="Verdana" w:hAnsi="Verdana"/>
          <w:sz w:val="20"/>
          <w:szCs w:val="20"/>
        </w:rPr>
        <w:t xml:space="preserve"> su</w:t>
      </w:r>
      <w:r w:rsidRPr="006A0A3F">
        <w:rPr>
          <w:rFonts w:ascii="Verdana" w:hAnsi="Verdana"/>
          <w:sz w:val="20"/>
          <w:szCs w:val="20"/>
        </w:rPr>
        <w:t xml:space="preserve"> mandato, por lo que “no pueden recabarse las firmas para acompañar una solicitud para cuyo objeto el firman</w:t>
      </w:r>
      <w:r w:rsidR="00DB0381" w:rsidRPr="006A0A3F">
        <w:rPr>
          <w:rFonts w:ascii="Verdana" w:hAnsi="Verdana"/>
          <w:sz w:val="20"/>
          <w:szCs w:val="20"/>
        </w:rPr>
        <w:t xml:space="preserve">te no tiene derecho todavía”; </w:t>
      </w:r>
      <w:r w:rsidRPr="006A0A3F">
        <w:rPr>
          <w:rFonts w:ascii="Verdana" w:hAnsi="Verdana"/>
          <w:sz w:val="20"/>
          <w:szCs w:val="20"/>
        </w:rPr>
        <w:t>que la solicitud no estaba dirigida al CNE</w:t>
      </w:r>
      <w:r w:rsidR="00DB0381" w:rsidRPr="006A0A3F">
        <w:rPr>
          <w:rFonts w:ascii="Verdana" w:hAnsi="Verdana"/>
          <w:sz w:val="20"/>
          <w:szCs w:val="20"/>
        </w:rPr>
        <w:t>;</w:t>
      </w:r>
      <w:r w:rsidRPr="006A0A3F">
        <w:rPr>
          <w:rFonts w:ascii="Verdana" w:hAnsi="Verdana"/>
          <w:sz w:val="20"/>
          <w:szCs w:val="20"/>
        </w:rPr>
        <w:t xml:space="preserve"> y</w:t>
      </w:r>
      <w:r w:rsidR="00DB0381" w:rsidRPr="006A0A3F">
        <w:rPr>
          <w:rFonts w:ascii="Verdana" w:hAnsi="Verdana"/>
          <w:sz w:val="20"/>
          <w:szCs w:val="20"/>
        </w:rPr>
        <w:t xml:space="preserve"> que</w:t>
      </w:r>
      <w:r w:rsidRPr="006A0A3F">
        <w:rPr>
          <w:rFonts w:ascii="Verdana" w:hAnsi="Verdana"/>
          <w:sz w:val="20"/>
          <w:szCs w:val="20"/>
        </w:rPr>
        <w:t xml:space="preserve"> “el texto se refiere a una supuesta iniciativa que tienen los firmantes de convocar ellos el referendo, cuando sólo la tienen para activarlo a través del Órgano Electoral competente para convocarlo”</w:t>
      </w:r>
      <w:r w:rsidRPr="006A0A3F">
        <w:rPr>
          <w:rFonts w:ascii="Verdana" w:hAnsi="Verdana"/>
          <w:sz w:val="20"/>
          <w:szCs w:val="20"/>
          <w:vertAlign w:val="superscript"/>
        </w:rPr>
        <w:footnoteReference w:id="68"/>
      </w:r>
      <w:r w:rsidRPr="006A0A3F">
        <w:rPr>
          <w:rFonts w:ascii="Verdana" w:hAnsi="Verdana"/>
          <w:sz w:val="20"/>
          <w:szCs w:val="20"/>
        </w:rPr>
        <w:t xml:space="preserve">. </w:t>
      </w:r>
    </w:p>
    <w:p w14:paraId="0355B68E" w14:textId="77777777" w:rsidR="0064741F" w:rsidRPr="006A0A3F" w:rsidRDefault="0064741F" w:rsidP="00E41D9C">
      <w:pPr>
        <w:spacing w:after="0" w:line="240" w:lineRule="auto"/>
        <w:jc w:val="both"/>
        <w:rPr>
          <w:rFonts w:ascii="Verdana" w:hAnsi="Verdana"/>
          <w:sz w:val="20"/>
          <w:szCs w:val="20"/>
        </w:rPr>
      </w:pPr>
    </w:p>
    <w:p w14:paraId="208B18CF" w14:textId="77777777" w:rsidR="00E41D9C" w:rsidRPr="006A0A3F" w:rsidRDefault="00E41D9C" w:rsidP="00AB56AF">
      <w:pPr>
        <w:pStyle w:val="ListParagraph"/>
        <w:numPr>
          <w:ilvl w:val="0"/>
          <w:numId w:val="10"/>
        </w:numPr>
        <w:pBdr>
          <w:top w:val="nil"/>
        </w:pBdr>
        <w:tabs>
          <w:tab w:val="left" w:pos="1134"/>
        </w:tabs>
        <w:ind w:hanging="666"/>
        <w:jc w:val="both"/>
        <w:rPr>
          <w:rFonts w:ascii="Verdana" w:hAnsi="Verdana"/>
          <w:b/>
          <w:sz w:val="20"/>
          <w:lang w:val="es-CR"/>
        </w:rPr>
      </w:pPr>
      <w:r w:rsidRPr="006A0A3F">
        <w:rPr>
          <w:rFonts w:ascii="Verdana" w:hAnsi="Verdana"/>
          <w:b/>
          <w:i/>
          <w:sz w:val="20"/>
          <w:lang w:val="es-CR"/>
        </w:rPr>
        <w:t xml:space="preserve">La tercera recolección de firmas: “El </w:t>
      </w:r>
      <w:proofErr w:type="spellStart"/>
      <w:r w:rsidRPr="006A0A3F">
        <w:rPr>
          <w:rFonts w:ascii="Verdana" w:hAnsi="Verdana"/>
          <w:b/>
          <w:i/>
          <w:sz w:val="20"/>
          <w:lang w:val="es-CR"/>
        </w:rPr>
        <w:t>Reafirmazo</w:t>
      </w:r>
      <w:proofErr w:type="spellEnd"/>
      <w:r w:rsidRPr="006A0A3F">
        <w:rPr>
          <w:rFonts w:ascii="Verdana" w:hAnsi="Verdana"/>
          <w:b/>
          <w:i/>
          <w:sz w:val="20"/>
          <w:lang w:val="es-CR"/>
        </w:rPr>
        <w:t>”</w:t>
      </w:r>
    </w:p>
    <w:p w14:paraId="134372DA" w14:textId="77777777" w:rsidR="00E41D9C" w:rsidRPr="006A0A3F" w:rsidRDefault="00E41D9C" w:rsidP="00E41D9C">
      <w:pPr>
        <w:pStyle w:val="ListParagraph"/>
        <w:tabs>
          <w:tab w:val="left" w:pos="1134"/>
        </w:tabs>
        <w:ind w:left="1800"/>
        <w:jc w:val="both"/>
        <w:rPr>
          <w:rFonts w:ascii="Verdana" w:hAnsi="Verdana"/>
          <w:b/>
          <w:sz w:val="20"/>
          <w:lang w:val="es-CR"/>
        </w:rPr>
      </w:pPr>
    </w:p>
    <w:p w14:paraId="1D99CAC5" w14:textId="44448DCC"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Luego de la inadmisibilidad de la solicitud del “</w:t>
      </w:r>
      <w:proofErr w:type="spellStart"/>
      <w:r w:rsidRPr="006A0A3F">
        <w:rPr>
          <w:rFonts w:ascii="Verdana" w:hAnsi="Verdana"/>
          <w:sz w:val="20"/>
          <w:szCs w:val="20"/>
        </w:rPr>
        <w:t>Firmazo</w:t>
      </w:r>
      <w:proofErr w:type="spellEnd"/>
      <w:r w:rsidRPr="006A0A3F">
        <w:rPr>
          <w:rFonts w:ascii="Verdana" w:hAnsi="Verdana"/>
          <w:sz w:val="20"/>
          <w:szCs w:val="20"/>
        </w:rPr>
        <w:t xml:space="preserve">”, </w:t>
      </w:r>
      <w:r w:rsidR="00AD0714" w:rsidRPr="006A0A3F">
        <w:rPr>
          <w:rFonts w:ascii="Verdana" w:hAnsi="Verdana"/>
          <w:sz w:val="20"/>
          <w:szCs w:val="20"/>
        </w:rPr>
        <w:t xml:space="preserve">mediante resolución </w:t>
      </w:r>
      <w:r w:rsidR="00917BCC" w:rsidRPr="006A0A3F">
        <w:rPr>
          <w:rFonts w:ascii="Verdana" w:hAnsi="Verdana"/>
          <w:sz w:val="20"/>
          <w:szCs w:val="20"/>
        </w:rPr>
        <w:t xml:space="preserve">030925-465 </w:t>
      </w:r>
      <w:r w:rsidR="00AD0714" w:rsidRPr="006A0A3F">
        <w:rPr>
          <w:rFonts w:ascii="Verdana" w:hAnsi="Verdana"/>
          <w:sz w:val="20"/>
          <w:szCs w:val="20"/>
        </w:rPr>
        <w:t xml:space="preserve">de 25 de </w:t>
      </w:r>
      <w:r w:rsidRPr="006A0A3F">
        <w:rPr>
          <w:rFonts w:ascii="Verdana" w:hAnsi="Verdana"/>
          <w:sz w:val="20"/>
          <w:szCs w:val="20"/>
        </w:rPr>
        <w:t xml:space="preserve">septiembre de 2003 el </w:t>
      </w:r>
      <w:r w:rsidR="00D0656B" w:rsidRPr="006A0A3F">
        <w:rPr>
          <w:rFonts w:ascii="Verdana" w:hAnsi="Verdana"/>
          <w:sz w:val="20"/>
          <w:szCs w:val="20"/>
        </w:rPr>
        <w:t xml:space="preserve">Consejo Nacional Electoral </w:t>
      </w:r>
      <w:r w:rsidRPr="006A0A3F">
        <w:rPr>
          <w:rFonts w:ascii="Verdana" w:hAnsi="Verdana"/>
          <w:sz w:val="20"/>
          <w:szCs w:val="20"/>
        </w:rPr>
        <w:t>aprobó la normativa para regular procesos de referendos revocatorios</w:t>
      </w:r>
      <w:r w:rsidR="00917BCC" w:rsidRPr="006A0A3F">
        <w:rPr>
          <w:rFonts w:ascii="Verdana" w:hAnsi="Verdana"/>
          <w:sz w:val="20"/>
          <w:szCs w:val="20"/>
        </w:rPr>
        <w:t>,</w:t>
      </w:r>
      <w:r w:rsidRPr="006A0A3F">
        <w:rPr>
          <w:rFonts w:ascii="Verdana" w:hAnsi="Verdana"/>
          <w:sz w:val="20"/>
          <w:szCs w:val="20"/>
        </w:rPr>
        <w:t xml:space="preserve"> estableciendo diversas condiciones técnicas para </w:t>
      </w:r>
      <w:r w:rsidRPr="006A0A3F">
        <w:rPr>
          <w:rFonts w:ascii="Verdana" w:hAnsi="Verdana"/>
          <w:sz w:val="20"/>
          <w:szCs w:val="20"/>
        </w:rPr>
        <w:lastRenderedPageBreak/>
        <w:t>llevar</w:t>
      </w:r>
      <w:r w:rsidR="00404A4C" w:rsidRPr="006A0A3F">
        <w:rPr>
          <w:rFonts w:ascii="Verdana" w:hAnsi="Verdana"/>
          <w:sz w:val="20"/>
          <w:szCs w:val="20"/>
        </w:rPr>
        <w:t>los</w:t>
      </w:r>
      <w:r w:rsidRPr="006A0A3F">
        <w:rPr>
          <w:rFonts w:ascii="Verdana" w:hAnsi="Verdana"/>
          <w:sz w:val="20"/>
          <w:szCs w:val="20"/>
        </w:rPr>
        <w:t xml:space="preserve"> a cabo</w:t>
      </w:r>
      <w:r w:rsidRPr="006A0A3F">
        <w:rPr>
          <w:rFonts w:ascii="Verdana" w:hAnsi="Verdana"/>
          <w:sz w:val="20"/>
          <w:szCs w:val="20"/>
          <w:vertAlign w:val="superscript"/>
        </w:rPr>
        <w:footnoteReference w:id="69"/>
      </w:r>
      <w:r w:rsidR="0072367C" w:rsidRPr="006A0A3F">
        <w:rPr>
          <w:rFonts w:ascii="Verdana" w:hAnsi="Verdana"/>
          <w:sz w:val="20"/>
          <w:szCs w:val="20"/>
        </w:rPr>
        <w:t xml:space="preserve">. </w:t>
      </w:r>
      <w:r w:rsidR="00C11357" w:rsidRPr="006A0A3F">
        <w:rPr>
          <w:rFonts w:ascii="Verdana" w:hAnsi="Verdana"/>
          <w:sz w:val="20"/>
          <w:szCs w:val="20"/>
        </w:rPr>
        <w:t xml:space="preserve">En particular, el CNE </w:t>
      </w:r>
      <w:r w:rsidR="00941C2E" w:rsidRPr="006A0A3F">
        <w:rPr>
          <w:rFonts w:ascii="Verdana" w:hAnsi="Verdana"/>
          <w:sz w:val="20"/>
          <w:szCs w:val="20"/>
        </w:rPr>
        <w:t>señaló como su atribución exclusiva, entre otras,</w:t>
      </w:r>
      <w:r w:rsidR="00C11357" w:rsidRPr="006A0A3F">
        <w:rPr>
          <w:rFonts w:ascii="Verdana" w:hAnsi="Verdana"/>
          <w:sz w:val="20"/>
          <w:szCs w:val="20"/>
        </w:rPr>
        <w:t xml:space="preserve"> </w:t>
      </w:r>
      <w:r w:rsidR="00941C2E" w:rsidRPr="006A0A3F">
        <w:rPr>
          <w:rFonts w:ascii="Verdana" w:hAnsi="Verdana"/>
          <w:sz w:val="20"/>
          <w:szCs w:val="20"/>
        </w:rPr>
        <w:t xml:space="preserve">la de </w:t>
      </w:r>
      <w:r w:rsidR="00C11357" w:rsidRPr="006A0A3F">
        <w:rPr>
          <w:rFonts w:ascii="Verdana" w:hAnsi="Verdana"/>
          <w:sz w:val="20"/>
          <w:szCs w:val="20"/>
        </w:rPr>
        <w:t>comprobar el cumplimiento de los requisitos de las solicitudes de referendo, para lo cual tendría un plazo de treinta días continuos a partir de la presentación de las planillas para efectuar la verificación de los datos de los electores contenidos en la solicitud de convocatoria</w:t>
      </w:r>
      <w:r w:rsidR="00516733" w:rsidRPr="006A0A3F">
        <w:rPr>
          <w:rStyle w:val="FootnoteReference"/>
          <w:rFonts w:ascii="Verdana" w:hAnsi="Verdana"/>
          <w:sz w:val="20"/>
          <w:szCs w:val="20"/>
        </w:rPr>
        <w:footnoteReference w:id="70"/>
      </w:r>
      <w:r w:rsidR="00C11357" w:rsidRPr="006A0A3F">
        <w:rPr>
          <w:rFonts w:ascii="Verdana" w:hAnsi="Verdana"/>
          <w:sz w:val="20"/>
          <w:szCs w:val="20"/>
        </w:rPr>
        <w:t>. Terminado el proceso de verificación, el CNE debía publicar</w:t>
      </w:r>
      <w:r w:rsidR="00C51C97" w:rsidRPr="006A0A3F">
        <w:rPr>
          <w:rFonts w:ascii="Verdana" w:hAnsi="Verdana"/>
          <w:sz w:val="20"/>
          <w:szCs w:val="20"/>
        </w:rPr>
        <w:t>,</w:t>
      </w:r>
      <w:r w:rsidR="00C11357" w:rsidRPr="006A0A3F">
        <w:rPr>
          <w:rFonts w:ascii="Verdana" w:hAnsi="Verdana"/>
          <w:sz w:val="20"/>
          <w:szCs w:val="20"/>
        </w:rPr>
        <w:t xml:space="preserve"> en al menos un medio impreso de circulación nacional</w:t>
      </w:r>
      <w:r w:rsidR="00C51C97" w:rsidRPr="006A0A3F">
        <w:rPr>
          <w:rFonts w:ascii="Verdana" w:hAnsi="Verdana"/>
          <w:sz w:val="20"/>
          <w:szCs w:val="20"/>
        </w:rPr>
        <w:t>,</w:t>
      </w:r>
      <w:r w:rsidR="00C11357" w:rsidRPr="006A0A3F">
        <w:rPr>
          <w:rFonts w:ascii="Verdana" w:hAnsi="Verdana"/>
          <w:sz w:val="20"/>
          <w:szCs w:val="20"/>
        </w:rPr>
        <w:t xml:space="preserve"> los resultados del proceso de validación mediante la mención de los números de cédula de identidad de los solicitantes del referendo</w:t>
      </w:r>
      <w:r w:rsidR="00C11357" w:rsidRPr="006A0A3F">
        <w:rPr>
          <w:rFonts w:ascii="Verdana" w:hAnsi="Verdana"/>
          <w:sz w:val="20"/>
          <w:szCs w:val="20"/>
          <w:vertAlign w:val="superscript"/>
        </w:rPr>
        <w:footnoteReference w:id="71"/>
      </w:r>
      <w:r w:rsidR="00C11357" w:rsidRPr="006A0A3F">
        <w:rPr>
          <w:rFonts w:ascii="Verdana" w:hAnsi="Verdana"/>
          <w:sz w:val="20"/>
          <w:szCs w:val="20"/>
        </w:rPr>
        <w:t xml:space="preserve">. </w:t>
      </w:r>
      <w:r w:rsidR="0072367C" w:rsidRPr="006A0A3F">
        <w:rPr>
          <w:rFonts w:ascii="Verdana" w:hAnsi="Verdana"/>
          <w:sz w:val="20"/>
          <w:szCs w:val="20"/>
        </w:rPr>
        <w:t xml:space="preserve">El 15 de octubre de 2003 el CNE </w:t>
      </w:r>
      <w:r w:rsidRPr="006A0A3F">
        <w:rPr>
          <w:rFonts w:ascii="Verdana" w:hAnsi="Verdana"/>
          <w:sz w:val="20"/>
          <w:szCs w:val="20"/>
        </w:rPr>
        <w:t>decidió convocar a una nueva recolección de firmas para referendo revocatorio presidencial</w:t>
      </w:r>
      <w:r w:rsidR="00C11357" w:rsidRPr="006A0A3F">
        <w:rPr>
          <w:rFonts w:ascii="Verdana" w:hAnsi="Verdana"/>
          <w:sz w:val="20"/>
          <w:szCs w:val="20"/>
        </w:rPr>
        <w:t>,</w:t>
      </w:r>
      <w:r w:rsidRPr="006A0A3F">
        <w:rPr>
          <w:rFonts w:ascii="Verdana" w:hAnsi="Verdana"/>
          <w:sz w:val="20"/>
          <w:szCs w:val="20"/>
        </w:rPr>
        <w:t xml:space="preserve"> </w:t>
      </w:r>
      <w:r w:rsidR="00321001" w:rsidRPr="006A0A3F">
        <w:rPr>
          <w:rFonts w:ascii="Verdana" w:hAnsi="Verdana"/>
          <w:sz w:val="20"/>
          <w:szCs w:val="20"/>
        </w:rPr>
        <w:t xml:space="preserve">para </w:t>
      </w:r>
      <w:r w:rsidRPr="006A0A3F">
        <w:rPr>
          <w:rFonts w:ascii="Verdana" w:hAnsi="Verdana"/>
          <w:sz w:val="20"/>
          <w:szCs w:val="20"/>
        </w:rPr>
        <w:t>llevarse a cabo entre el 28 de noviembre y el 1 de diciembre de 2003</w:t>
      </w:r>
      <w:r w:rsidRPr="006A0A3F">
        <w:rPr>
          <w:rFonts w:ascii="Verdana" w:hAnsi="Verdana"/>
          <w:sz w:val="20"/>
          <w:szCs w:val="20"/>
          <w:vertAlign w:val="superscript"/>
        </w:rPr>
        <w:footnoteReference w:id="72"/>
      </w:r>
      <w:r w:rsidR="00653029" w:rsidRPr="006A0A3F">
        <w:rPr>
          <w:rFonts w:ascii="Verdana" w:hAnsi="Verdana"/>
          <w:sz w:val="20"/>
          <w:szCs w:val="20"/>
        </w:rPr>
        <w:t xml:space="preserve">, que sería conocida como “el </w:t>
      </w:r>
      <w:proofErr w:type="spellStart"/>
      <w:r w:rsidR="00653029" w:rsidRPr="006A0A3F">
        <w:rPr>
          <w:rFonts w:ascii="Verdana" w:hAnsi="Verdana"/>
          <w:sz w:val="20"/>
          <w:szCs w:val="20"/>
        </w:rPr>
        <w:t>Reafirmazo</w:t>
      </w:r>
      <w:proofErr w:type="spellEnd"/>
      <w:r w:rsidR="00653029" w:rsidRPr="006A0A3F">
        <w:rPr>
          <w:rFonts w:ascii="Verdana" w:hAnsi="Verdana"/>
          <w:sz w:val="20"/>
          <w:szCs w:val="20"/>
        </w:rPr>
        <w:t>”.</w:t>
      </w:r>
      <w:r w:rsidRPr="006A0A3F">
        <w:rPr>
          <w:rFonts w:ascii="Verdana" w:hAnsi="Verdana"/>
          <w:sz w:val="20"/>
          <w:szCs w:val="20"/>
        </w:rPr>
        <w:t xml:space="preserve"> </w:t>
      </w:r>
    </w:p>
    <w:p w14:paraId="3004BC89" w14:textId="77777777" w:rsidR="00E41D9C" w:rsidRPr="006A0A3F" w:rsidRDefault="00E41D9C" w:rsidP="0042435D">
      <w:pPr>
        <w:spacing w:after="0" w:line="240" w:lineRule="auto"/>
        <w:jc w:val="both"/>
        <w:rPr>
          <w:rFonts w:ascii="Verdana" w:hAnsi="Verdana"/>
          <w:sz w:val="20"/>
          <w:szCs w:val="20"/>
        </w:rPr>
      </w:pPr>
    </w:p>
    <w:p w14:paraId="40C1ACDC" w14:textId="33F38AC9"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Además, el 27 de octubre de 2003 el </w:t>
      </w:r>
      <w:r w:rsidR="00D0656B" w:rsidRPr="006A0A3F">
        <w:rPr>
          <w:rFonts w:ascii="Verdana" w:hAnsi="Verdana"/>
          <w:sz w:val="20"/>
          <w:szCs w:val="20"/>
        </w:rPr>
        <w:t xml:space="preserve">Consejo Nacional Electoral </w:t>
      </w:r>
      <w:r w:rsidRPr="006A0A3F">
        <w:rPr>
          <w:rFonts w:ascii="Verdana" w:hAnsi="Verdana"/>
          <w:sz w:val="20"/>
          <w:szCs w:val="20"/>
        </w:rPr>
        <w:t xml:space="preserve">emitió la resolución 031027-710 mediante la cual “exhorta tanto a los organismos del sector público, en cualquiera de los niveles político territoriales de gobierno (nacional, estadual y municipal) como a los organismos privados que cuenten con personal a su servicio, abstenerse de poner en práctica cualquier medida directa o indirecta que busque influir o impida el libre ejercicio y goce pacífico del derecho constitucional a la participación política involucrado en cada una de las fases procedimentales del referendo revocatorio, regulado mediante las normas para regular los </w:t>
      </w:r>
      <w:r w:rsidR="00E5786E" w:rsidRPr="006A0A3F">
        <w:rPr>
          <w:rFonts w:ascii="Verdana" w:hAnsi="Verdana"/>
          <w:sz w:val="20"/>
          <w:szCs w:val="20"/>
        </w:rPr>
        <w:t>“</w:t>
      </w:r>
      <w:r w:rsidRPr="006A0A3F">
        <w:rPr>
          <w:rFonts w:ascii="Verdana" w:hAnsi="Verdana"/>
          <w:sz w:val="20"/>
          <w:szCs w:val="20"/>
        </w:rPr>
        <w:t>Procesos de Referendos Revocatorios de Mandatos de Cargos de Elección Popular”</w:t>
      </w:r>
      <w:r w:rsidRPr="006A0A3F">
        <w:rPr>
          <w:rFonts w:ascii="Verdana" w:hAnsi="Verdana"/>
          <w:sz w:val="20"/>
          <w:szCs w:val="20"/>
          <w:vertAlign w:val="superscript"/>
        </w:rPr>
        <w:footnoteReference w:id="73"/>
      </w:r>
      <w:r w:rsidRPr="006A0A3F">
        <w:rPr>
          <w:rFonts w:ascii="Verdana" w:hAnsi="Verdana"/>
          <w:sz w:val="20"/>
          <w:szCs w:val="20"/>
        </w:rPr>
        <w:t xml:space="preserve">. El 20 de noviembre siguiente </w:t>
      </w:r>
      <w:r w:rsidR="00AD0714" w:rsidRPr="006A0A3F">
        <w:rPr>
          <w:rFonts w:ascii="Verdana" w:hAnsi="Verdana"/>
          <w:sz w:val="20"/>
          <w:szCs w:val="20"/>
        </w:rPr>
        <w:t xml:space="preserve">el </w:t>
      </w:r>
      <w:r w:rsidR="00D0656B" w:rsidRPr="006A0A3F">
        <w:rPr>
          <w:rFonts w:ascii="Verdana" w:hAnsi="Verdana"/>
          <w:sz w:val="20"/>
          <w:szCs w:val="20"/>
        </w:rPr>
        <w:t xml:space="preserve">Consejo Nacional Electoral </w:t>
      </w:r>
      <w:r w:rsidRPr="006A0A3F">
        <w:rPr>
          <w:rFonts w:ascii="Verdana" w:hAnsi="Verdana"/>
          <w:sz w:val="20"/>
          <w:szCs w:val="20"/>
        </w:rPr>
        <w:t>emitió la resolución No. 031120-794 por medio de la cual dictó las “Normas sobre los criterios de validación de las firmas y de las planillas de recolección de firmas para los procesos de referendo revocatorio de mandatos de cargos de elección popular”</w:t>
      </w:r>
      <w:r w:rsidRPr="006A0A3F">
        <w:rPr>
          <w:rFonts w:ascii="Verdana" w:hAnsi="Verdana"/>
          <w:sz w:val="20"/>
          <w:szCs w:val="20"/>
          <w:vertAlign w:val="superscript"/>
        </w:rPr>
        <w:footnoteReference w:id="74"/>
      </w:r>
      <w:r w:rsidR="00C11357" w:rsidRPr="006A0A3F">
        <w:rPr>
          <w:rFonts w:ascii="Verdana" w:hAnsi="Verdana"/>
          <w:sz w:val="20"/>
          <w:szCs w:val="20"/>
        </w:rPr>
        <w:t>, las cuales modificaban las normas establecidas en el artículo 29 de la resolución del 25 de septiembre de 2003, al añadir criterios para determinar la validez de las firmas y de las planillas</w:t>
      </w:r>
      <w:r w:rsidR="00516733" w:rsidRPr="006A0A3F">
        <w:rPr>
          <w:rStyle w:val="FootnoteReference"/>
          <w:rFonts w:ascii="Verdana" w:hAnsi="Verdana"/>
          <w:sz w:val="20"/>
          <w:szCs w:val="20"/>
        </w:rPr>
        <w:footnoteReference w:id="75"/>
      </w:r>
      <w:r w:rsidRPr="006A0A3F">
        <w:rPr>
          <w:rFonts w:ascii="Verdana" w:hAnsi="Verdana"/>
          <w:sz w:val="20"/>
          <w:szCs w:val="20"/>
        </w:rPr>
        <w:t>.</w:t>
      </w:r>
    </w:p>
    <w:p w14:paraId="4A904B02" w14:textId="77777777" w:rsidR="00C11357" w:rsidRPr="006A0A3F" w:rsidRDefault="00C11357" w:rsidP="00C11357">
      <w:pPr>
        <w:pBdr>
          <w:top w:val="nil"/>
        </w:pBdr>
        <w:spacing w:after="0" w:line="240" w:lineRule="auto"/>
        <w:jc w:val="both"/>
        <w:rPr>
          <w:rFonts w:ascii="Verdana" w:hAnsi="Verdana"/>
          <w:sz w:val="20"/>
          <w:szCs w:val="20"/>
        </w:rPr>
      </w:pPr>
    </w:p>
    <w:p w14:paraId="6FB5E573" w14:textId="66A3F737"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los meses y días previos a las fechas estipuladas por el CNE para la recolección de firmas, algunos funcionarios públicos sugirieron que </w:t>
      </w:r>
      <w:r w:rsidR="00917BCC" w:rsidRPr="006A0A3F">
        <w:rPr>
          <w:rFonts w:ascii="Verdana" w:hAnsi="Verdana"/>
          <w:sz w:val="20"/>
          <w:szCs w:val="20"/>
        </w:rPr>
        <w:t xml:space="preserve">ésta </w:t>
      </w:r>
      <w:r w:rsidRPr="006A0A3F">
        <w:rPr>
          <w:rFonts w:ascii="Verdana" w:hAnsi="Verdana"/>
          <w:sz w:val="20"/>
          <w:szCs w:val="20"/>
        </w:rPr>
        <w:t>podría ser fraudulenta o amenazaron a quienes participaran en el referendo</w:t>
      </w:r>
      <w:r w:rsidRPr="006A0A3F">
        <w:rPr>
          <w:rFonts w:ascii="Verdana" w:hAnsi="Verdana"/>
          <w:sz w:val="20"/>
          <w:szCs w:val="20"/>
          <w:vertAlign w:val="superscript"/>
        </w:rPr>
        <w:footnoteReference w:id="76"/>
      </w:r>
      <w:r w:rsidRPr="006A0A3F">
        <w:rPr>
          <w:rFonts w:ascii="Verdana" w:hAnsi="Verdana"/>
          <w:sz w:val="20"/>
          <w:szCs w:val="20"/>
          <w:vertAlign w:val="superscript"/>
        </w:rPr>
        <w:t>.</w:t>
      </w:r>
      <w:r w:rsidRPr="006A0A3F">
        <w:rPr>
          <w:rFonts w:ascii="Verdana" w:hAnsi="Verdana"/>
          <w:sz w:val="20"/>
          <w:szCs w:val="20"/>
        </w:rPr>
        <w:t xml:space="preserve"> En ese contexto, el 19 de octubre de 2003 el entonces Presidente Chávez había declarado que “</w:t>
      </w:r>
      <w:r w:rsidR="006075D5" w:rsidRPr="006A0A3F">
        <w:rPr>
          <w:rFonts w:ascii="Verdana" w:hAnsi="Verdana"/>
          <w:sz w:val="20"/>
          <w:szCs w:val="20"/>
        </w:rPr>
        <w:t xml:space="preserve">los que firman contra Chávez, en verdad no están firmando contra Chávez. Estarán firmando contra la patria […] </w:t>
      </w:r>
      <w:r w:rsidRPr="006A0A3F">
        <w:rPr>
          <w:rFonts w:ascii="Verdana" w:hAnsi="Verdana"/>
          <w:sz w:val="20"/>
          <w:szCs w:val="20"/>
        </w:rPr>
        <w:t>el que firme contra Chávez allí quedará su nombre registrado para la historia porque va a tener que poner su nombre y su apellido y su firma y su número de cédula y su huella digital”</w:t>
      </w:r>
      <w:r w:rsidRPr="006A0A3F">
        <w:rPr>
          <w:rFonts w:ascii="Verdana" w:hAnsi="Verdana"/>
          <w:sz w:val="20"/>
          <w:szCs w:val="20"/>
          <w:vertAlign w:val="superscript"/>
        </w:rPr>
        <w:footnoteReference w:id="77"/>
      </w:r>
      <w:r w:rsidRPr="006A0A3F">
        <w:rPr>
          <w:rFonts w:ascii="Verdana" w:hAnsi="Verdana"/>
          <w:sz w:val="20"/>
          <w:szCs w:val="20"/>
        </w:rPr>
        <w:t xml:space="preserve">. </w:t>
      </w:r>
    </w:p>
    <w:p w14:paraId="0E1D668F" w14:textId="77777777" w:rsidR="00F91A8E" w:rsidRPr="006A0A3F" w:rsidRDefault="00F91A8E" w:rsidP="00F91A8E">
      <w:pPr>
        <w:pStyle w:val="ListParagraph"/>
        <w:rPr>
          <w:rFonts w:ascii="Verdana" w:hAnsi="Verdana"/>
          <w:sz w:val="20"/>
          <w:lang w:val="es-CR"/>
        </w:rPr>
      </w:pPr>
    </w:p>
    <w:p w14:paraId="00DA5A12" w14:textId="5BAE616D" w:rsidR="00F91A8E" w:rsidRPr="006A0A3F" w:rsidRDefault="00F91A8E" w:rsidP="00F91A8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21 de octubre de 2003 el Fiscal General de la República manifestó que “los militares activos sí pueden expresar su voluntad a favor del referendo revocatorio del mandato del Jefe de Estado durante las jornadas de búsqueda de firmas”. En días previos o posteriores, el Comandante del Ejército manifestó que el único derecho político que consagra la Constitución a los militares es el derecho al voto [y que ellos no podían] asistir a firmas de ningún tipo, de ningún llamado, de ninguna de las dos partes, porque eso es caer en proselitismo político”</w:t>
      </w:r>
      <w:r w:rsidRPr="006A0A3F">
        <w:rPr>
          <w:rStyle w:val="FootnoteReference"/>
          <w:rFonts w:ascii="Verdana" w:hAnsi="Verdana"/>
          <w:sz w:val="20"/>
          <w:szCs w:val="20"/>
        </w:rPr>
        <w:footnoteReference w:id="78"/>
      </w:r>
      <w:r w:rsidR="00653029" w:rsidRPr="006A0A3F">
        <w:rPr>
          <w:rFonts w:ascii="Verdana" w:hAnsi="Verdana"/>
          <w:sz w:val="20"/>
          <w:szCs w:val="20"/>
        </w:rPr>
        <w:t>.</w:t>
      </w:r>
    </w:p>
    <w:p w14:paraId="5437611A" w14:textId="77777777" w:rsidR="00E41D9C" w:rsidRPr="006A0A3F" w:rsidRDefault="00E41D9C" w:rsidP="0042435D">
      <w:pPr>
        <w:spacing w:after="0" w:line="240" w:lineRule="auto"/>
        <w:jc w:val="both"/>
        <w:rPr>
          <w:rFonts w:ascii="Verdana" w:hAnsi="Verdana"/>
          <w:sz w:val="20"/>
          <w:szCs w:val="20"/>
        </w:rPr>
      </w:pPr>
    </w:p>
    <w:p w14:paraId="6B950EB7" w14:textId="300AC7F6" w:rsidR="00E41D9C" w:rsidRPr="006A0A3F" w:rsidRDefault="008D4759"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22 de noviembre de 2003</w:t>
      </w:r>
      <w:r w:rsidR="00E41D9C" w:rsidRPr="006A0A3F">
        <w:rPr>
          <w:rFonts w:ascii="Verdana" w:hAnsi="Verdana"/>
          <w:sz w:val="20"/>
          <w:szCs w:val="20"/>
        </w:rPr>
        <w:t xml:space="preserve"> Lina Ron, coordinadora de los llamados “Círculos Bolivarianos</w:t>
      </w:r>
      <w:r w:rsidR="00653029" w:rsidRPr="006A0A3F">
        <w:rPr>
          <w:rFonts w:ascii="Verdana" w:hAnsi="Verdana"/>
          <w:sz w:val="20"/>
          <w:szCs w:val="20"/>
        </w:rPr>
        <w:t>” y entonces p</w:t>
      </w:r>
      <w:r w:rsidR="00E41D9C" w:rsidRPr="006A0A3F">
        <w:rPr>
          <w:rFonts w:ascii="Verdana" w:hAnsi="Verdana"/>
          <w:sz w:val="20"/>
          <w:szCs w:val="20"/>
        </w:rPr>
        <w:t>residente</w:t>
      </w:r>
      <w:r w:rsidR="00653029" w:rsidRPr="006A0A3F">
        <w:rPr>
          <w:rFonts w:ascii="Verdana" w:hAnsi="Verdana"/>
          <w:sz w:val="20"/>
          <w:szCs w:val="20"/>
        </w:rPr>
        <w:t xml:space="preserve"> del Fondo Único Social</w:t>
      </w:r>
      <w:r w:rsidR="00E41D9C" w:rsidRPr="006A0A3F">
        <w:rPr>
          <w:rFonts w:ascii="Verdana" w:hAnsi="Verdana"/>
          <w:sz w:val="20"/>
          <w:szCs w:val="20"/>
        </w:rPr>
        <w:t xml:space="preserve"> </w:t>
      </w:r>
      <w:r w:rsidR="00653029" w:rsidRPr="006A0A3F">
        <w:rPr>
          <w:rFonts w:ascii="Verdana" w:hAnsi="Verdana"/>
          <w:sz w:val="20"/>
          <w:szCs w:val="20"/>
        </w:rPr>
        <w:t>(</w:t>
      </w:r>
      <w:r w:rsidR="00E41D9C" w:rsidRPr="006A0A3F">
        <w:rPr>
          <w:rFonts w:ascii="Verdana" w:hAnsi="Verdana"/>
          <w:sz w:val="20"/>
          <w:szCs w:val="20"/>
        </w:rPr>
        <w:t>institución pública encargada de administrar recursos destinados al financiamiento y regulación de programas sociales</w:t>
      </w:r>
      <w:r w:rsidR="00653029" w:rsidRPr="006A0A3F">
        <w:rPr>
          <w:rFonts w:ascii="Verdana" w:hAnsi="Verdana"/>
          <w:sz w:val="20"/>
          <w:szCs w:val="20"/>
        </w:rPr>
        <w:t>)</w:t>
      </w:r>
      <w:r w:rsidR="00E41D9C" w:rsidRPr="006A0A3F">
        <w:rPr>
          <w:rFonts w:ascii="Verdana" w:hAnsi="Verdana"/>
          <w:sz w:val="20"/>
          <w:szCs w:val="20"/>
        </w:rPr>
        <w:t>, declaró que “yo no voy a permitir que en ningún puesto de recolección firmen contra mi comandante en jefe, contra el hombre más grande de esta patria, contra el mesías de esta tierra, contra el hombre más bueno que nunca tuvo la patria, quien lo haga, o me matan a mí o yo los mato a ellos”</w:t>
      </w:r>
      <w:r w:rsidR="00E41D9C" w:rsidRPr="006A0A3F">
        <w:rPr>
          <w:rFonts w:ascii="Verdana" w:hAnsi="Verdana"/>
          <w:sz w:val="20"/>
          <w:szCs w:val="20"/>
          <w:vertAlign w:val="superscript"/>
        </w:rPr>
        <w:footnoteReference w:id="79"/>
      </w:r>
      <w:r w:rsidR="00B918D7" w:rsidRPr="006A0A3F">
        <w:rPr>
          <w:rFonts w:ascii="Verdana" w:hAnsi="Verdana"/>
          <w:sz w:val="20"/>
          <w:szCs w:val="20"/>
        </w:rPr>
        <w:t>.</w:t>
      </w:r>
    </w:p>
    <w:p w14:paraId="5D808529" w14:textId="77777777" w:rsidR="00B918D7" w:rsidRPr="006A0A3F" w:rsidRDefault="00B918D7" w:rsidP="00B918D7">
      <w:pPr>
        <w:pStyle w:val="ListParagraph"/>
        <w:rPr>
          <w:rFonts w:ascii="Verdana" w:hAnsi="Verdana"/>
          <w:sz w:val="20"/>
          <w:lang w:val="es-CR"/>
        </w:rPr>
      </w:pPr>
    </w:p>
    <w:p w14:paraId="4A0246CC" w14:textId="32D6968B" w:rsidR="00B918D7" w:rsidRPr="006A0A3F" w:rsidRDefault="00B918D7" w:rsidP="007D5EB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28 de noviembre de 2003 la entonces Ministra del Trabajo declaró públicamente que “</w:t>
      </w:r>
      <w:r w:rsidR="007D5EB7" w:rsidRPr="006A0A3F">
        <w:rPr>
          <w:rFonts w:ascii="Verdana" w:hAnsi="Verdana"/>
          <w:sz w:val="20"/>
          <w:szCs w:val="20"/>
        </w:rPr>
        <w:t xml:space="preserve">el derecho electoral es libre, nadie puede ser discriminado por razones </w:t>
      </w:r>
      <w:r w:rsidR="00194B0E" w:rsidRPr="006A0A3F">
        <w:rPr>
          <w:rFonts w:ascii="Verdana" w:hAnsi="Verdana"/>
          <w:sz w:val="20"/>
          <w:szCs w:val="20"/>
        </w:rPr>
        <w:t>políticas</w:t>
      </w:r>
      <w:r w:rsidR="007D5EB7" w:rsidRPr="006A0A3F">
        <w:rPr>
          <w:rFonts w:ascii="Verdana" w:hAnsi="Verdana"/>
          <w:sz w:val="20"/>
          <w:szCs w:val="20"/>
        </w:rPr>
        <w:t>. Todas las inspectorías del trabajo permanecerán abiertas para atender las denuncias sobre el tema”</w:t>
      </w:r>
      <w:r w:rsidR="00D6705E" w:rsidRPr="006A0A3F">
        <w:rPr>
          <w:rStyle w:val="FootnoteReference"/>
          <w:rFonts w:ascii="Verdana" w:hAnsi="Verdana"/>
          <w:sz w:val="20"/>
          <w:szCs w:val="20"/>
        </w:rPr>
        <w:footnoteReference w:id="80"/>
      </w:r>
      <w:r w:rsidR="007D5EB7" w:rsidRPr="006A0A3F">
        <w:rPr>
          <w:rFonts w:ascii="Verdana" w:hAnsi="Verdana"/>
          <w:sz w:val="20"/>
          <w:szCs w:val="20"/>
        </w:rPr>
        <w:t>.</w:t>
      </w:r>
    </w:p>
    <w:p w14:paraId="08D0B2F4" w14:textId="77777777" w:rsidR="00D6705E" w:rsidRPr="006A0A3F" w:rsidRDefault="00D6705E" w:rsidP="00D6705E">
      <w:pPr>
        <w:pStyle w:val="ListParagraph"/>
        <w:rPr>
          <w:rFonts w:ascii="Verdana" w:hAnsi="Verdana"/>
          <w:sz w:val="20"/>
          <w:lang w:val="es-CR"/>
        </w:rPr>
      </w:pPr>
    </w:p>
    <w:p w14:paraId="4AA69A38" w14:textId="77777777"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1 de diciembre de 2003 el entonces Presidente Hugo Chávez, refiriéndose al “</w:t>
      </w:r>
      <w:proofErr w:type="spellStart"/>
      <w:r w:rsidRPr="006A0A3F">
        <w:rPr>
          <w:rFonts w:ascii="Verdana" w:hAnsi="Verdana"/>
          <w:sz w:val="20"/>
          <w:szCs w:val="20"/>
        </w:rPr>
        <w:t>Reafirmazo</w:t>
      </w:r>
      <w:proofErr w:type="spellEnd"/>
      <w:r w:rsidRPr="006A0A3F">
        <w:rPr>
          <w:rFonts w:ascii="Verdana" w:hAnsi="Verdana"/>
          <w:sz w:val="20"/>
          <w:szCs w:val="20"/>
        </w:rPr>
        <w:t>”, declaró: “¿seguro que a nosotros no nos van a hacer fraude? Como dice el pueblo aquí en estas calles de Dios ‘la trampa sale’”</w:t>
      </w:r>
      <w:r w:rsidRPr="006A0A3F">
        <w:rPr>
          <w:rFonts w:ascii="Verdana" w:hAnsi="Verdana"/>
          <w:sz w:val="20"/>
          <w:szCs w:val="20"/>
          <w:vertAlign w:val="superscript"/>
        </w:rPr>
        <w:footnoteReference w:id="81"/>
      </w:r>
      <w:r w:rsidRPr="006A0A3F">
        <w:rPr>
          <w:rFonts w:ascii="Verdana" w:hAnsi="Verdana"/>
          <w:sz w:val="20"/>
          <w:szCs w:val="20"/>
        </w:rPr>
        <w:t xml:space="preserve">. </w:t>
      </w:r>
    </w:p>
    <w:p w14:paraId="5EB3F054" w14:textId="77777777" w:rsidR="00973EE5" w:rsidRPr="006A0A3F" w:rsidRDefault="00973EE5" w:rsidP="00973EE5">
      <w:pPr>
        <w:pStyle w:val="ListParagraph"/>
        <w:rPr>
          <w:rFonts w:ascii="Verdana" w:hAnsi="Verdana"/>
          <w:sz w:val="20"/>
          <w:lang w:val="es-CR"/>
        </w:rPr>
      </w:pPr>
    </w:p>
    <w:p w14:paraId="1AC57528" w14:textId="2C95D235" w:rsidR="00E41D9C" w:rsidRPr="006A0A3F" w:rsidRDefault="008727BA" w:rsidP="0042435D">
      <w:pPr>
        <w:numPr>
          <w:ilvl w:val="0"/>
          <w:numId w:val="4"/>
        </w:numPr>
        <w:pBdr>
          <w:top w:val="nil"/>
        </w:pBdr>
        <w:spacing w:after="0" w:line="240" w:lineRule="auto"/>
        <w:ind w:left="0" w:firstLine="0"/>
        <w:jc w:val="both"/>
        <w:rPr>
          <w:rFonts w:ascii="Verdana" w:hAnsi="Verdana"/>
          <w:sz w:val="20"/>
          <w:szCs w:val="20"/>
        </w:rPr>
      </w:pPr>
      <w:r>
        <w:rPr>
          <w:rFonts w:ascii="Verdana" w:hAnsi="Verdana"/>
          <w:sz w:val="20"/>
          <w:szCs w:val="20"/>
        </w:rPr>
        <w:t>E</w:t>
      </w:r>
      <w:r w:rsidRPr="006A0A3F">
        <w:rPr>
          <w:rFonts w:ascii="Verdana" w:hAnsi="Verdana"/>
          <w:sz w:val="20"/>
          <w:szCs w:val="20"/>
        </w:rPr>
        <w:t>ntre el 28 de noviembre y el 1 de diciembre de 2003</w:t>
      </w:r>
      <w:r w:rsidR="00E41D9C" w:rsidRPr="006A0A3F">
        <w:rPr>
          <w:rFonts w:ascii="Verdana" w:hAnsi="Verdana"/>
          <w:sz w:val="20"/>
          <w:szCs w:val="20"/>
        </w:rPr>
        <w:t xml:space="preserve"> se realizaron nuevamente jornadas </w:t>
      </w:r>
      <w:r>
        <w:rPr>
          <w:rFonts w:ascii="Verdana" w:hAnsi="Verdana"/>
          <w:sz w:val="20"/>
          <w:szCs w:val="20"/>
        </w:rPr>
        <w:t>de</w:t>
      </w:r>
      <w:r w:rsidR="00E41D9C" w:rsidRPr="006A0A3F">
        <w:rPr>
          <w:rFonts w:ascii="Verdana" w:hAnsi="Verdana"/>
          <w:sz w:val="20"/>
          <w:szCs w:val="20"/>
        </w:rPr>
        <w:t xml:space="preserve"> recolección de firmas. Las señoras San Miguel, Chang y Peña se presentaron a sus centros de votación a ejercer su derecho respectivo. El 19 de diciembre de 200</w:t>
      </w:r>
      <w:r w:rsidR="0086167C">
        <w:rPr>
          <w:rFonts w:ascii="Verdana" w:hAnsi="Verdana"/>
          <w:sz w:val="20"/>
          <w:szCs w:val="20"/>
        </w:rPr>
        <w:t>3 se presentaron al CNE más de tres</w:t>
      </w:r>
      <w:r w:rsidR="00E41D9C" w:rsidRPr="006A0A3F">
        <w:rPr>
          <w:rFonts w:ascii="Verdana" w:hAnsi="Verdana"/>
          <w:sz w:val="20"/>
          <w:szCs w:val="20"/>
        </w:rPr>
        <w:t xml:space="preserve"> millones de firmas solicitando el referendo revocatorio presidencial</w:t>
      </w:r>
      <w:r w:rsidR="00E41D9C" w:rsidRPr="006A0A3F">
        <w:rPr>
          <w:rFonts w:ascii="Verdana" w:hAnsi="Verdana"/>
          <w:sz w:val="20"/>
          <w:szCs w:val="20"/>
          <w:vertAlign w:val="superscript"/>
        </w:rPr>
        <w:footnoteReference w:id="82"/>
      </w:r>
      <w:r w:rsidR="00E41D9C" w:rsidRPr="006A0A3F">
        <w:rPr>
          <w:rFonts w:ascii="Verdana" w:hAnsi="Verdana"/>
          <w:sz w:val="20"/>
          <w:szCs w:val="20"/>
        </w:rPr>
        <w:t xml:space="preserve">. </w:t>
      </w:r>
    </w:p>
    <w:p w14:paraId="1A5C7EDB" w14:textId="77777777" w:rsidR="0064741F" w:rsidRPr="006A0A3F" w:rsidRDefault="0064741F" w:rsidP="00E41D9C">
      <w:pPr>
        <w:spacing w:after="0" w:line="240" w:lineRule="auto"/>
        <w:jc w:val="both"/>
        <w:rPr>
          <w:rFonts w:ascii="Verdana" w:hAnsi="Verdana"/>
          <w:sz w:val="20"/>
          <w:szCs w:val="20"/>
        </w:rPr>
      </w:pPr>
    </w:p>
    <w:p w14:paraId="4E856735" w14:textId="77777777" w:rsidR="00E41D9C" w:rsidRPr="006A0A3F" w:rsidRDefault="00E41D9C" w:rsidP="00AB56AF">
      <w:pPr>
        <w:pStyle w:val="ListParagraph"/>
        <w:numPr>
          <w:ilvl w:val="0"/>
          <w:numId w:val="10"/>
        </w:numPr>
        <w:pBdr>
          <w:top w:val="nil"/>
        </w:pBdr>
        <w:ind w:hanging="666"/>
        <w:jc w:val="both"/>
        <w:rPr>
          <w:rFonts w:ascii="Verdana" w:hAnsi="Verdana"/>
          <w:b/>
          <w:i/>
          <w:sz w:val="20"/>
          <w:lang w:val="es-CR"/>
        </w:rPr>
      </w:pPr>
      <w:r w:rsidRPr="006A0A3F">
        <w:rPr>
          <w:rFonts w:ascii="Verdana" w:hAnsi="Verdana"/>
          <w:b/>
          <w:i/>
          <w:sz w:val="20"/>
          <w:lang w:val="es-CR"/>
        </w:rPr>
        <w:t xml:space="preserve">La “Lista </w:t>
      </w:r>
      <w:proofErr w:type="spellStart"/>
      <w:r w:rsidRPr="006A0A3F">
        <w:rPr>
          <w:rFonts w:ascii="Verdana" w:hAnsi="Verdana"/>
          <w:b/>
          <w:i/>
          <w:sz w:val="20"/>
          <w:lang w:val="es-CR"/>
        </w:rPr>
        <w:t>Tascón</w:t>
      </w:r>
      <w:proofErr w:type="spellEnd"/>
      <w:r w:rsidRPr="006A0A3F">
        <w:rPr>
          <w:rFonts w:ascii="Verdana" w:hAnsi="Verdana"/>
          <w:b/>
          <w:i/>
          <w:sz w:val="20"/>
          <w:lang w:val="es-CR"/>
        </w:rPr>
        <w:t>”</w:t>
      </w:r>
    </w:p>
    <w:p w14:paraId="6ED548F9" w14:textId="77777777" w:rsidR="00E41D9C" w:rsidRPr="006A0A3F" w:rsidRDefault="00E41D9C" w:rsidP="00E41D9C">
      <w:pPr>
        <w:spacing w:after="0" w:line="240" w:lineRule="auto"/>
        <w:jc w:val="both"/>
        <w:rPr>
          <w:rFonts w:ascii="Verdana" w:hAnsi="Verdana"/>
          <w:sz w:val="20"/>
          <w:szCs w:val="20"/>
        </w:rPr>
      </w:pPr>
    </w:p>
    <w:p w14:paraId="075D67CE" w14:textId="636E6279" w:rsidR="00E41D9C" w:rsidRPr="006A0A3F" w:rsidRDefault="00E41D9C" w:rsidP="00973EE5">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30 de enero de 2004, antes de que el </w:t>
      </w:r>
      <w:r w:rsidR="00D0656B" w:rsidRPr="006A0A3F">
        <w:rPr>
          <w:rFonts w:ascii="Verdana" w:hAnsi="Verdana"/>
          <w:sz w:val="20"/>
          <w:szCs w:val="20"/>
        </w:rPr>
        <w:t xml:space="preserve">Consejo Nacional Electoral </w:t>
      </w:r>
      <w:r w:rsidRPr="006A0A3F">
        <w:rPr>
          <w:rFonts w:ascii="Verdana" w:hAnsi="Verdana"/>
          <w:sz w:val="20"/>
          <w:szCs w:val="20"/>
        </w:rPr>
        <w:t xml:space="preserve">validara las firmas consignadas para solicitar el referendo, el entonces Presidente de la República </w:t>
      </w:r>
      <w:r w:rsidR="006075D5" w:rsidRPr="006A0A3F">
        <w:rPr>
          <w:rFonts w:ascii="Verdana" w:hAnsi="Verdana"/>
          <w:sz w:val="20"/>
          <w:szCs w:val="20"/>
        </w:rPr>
        <w:t>se dirigió</w:t>
      </w:r>
      <w:r w:rsidRPr="006A0A3F">
        <w:rPr>
          <w:rFonts w:ascii="Verdana" w:hAnsi="Verdana"/>
          <w:sz w:val="20"/>
          <w:szCs w:val="20"/>
        </w:rPr>
        <w:t xml:space="preserve"> al presidente del CNE </w:t>
      </w:r>
      <w:r w:rsidR="006075D5" w:rsidRPr="006A0A3F">
        <w:rPr>
          <w:rFonts w:ascii="Verdana" w:hAnsi="Verdana"/>
          <w:sz w:val="20"/>
          <w:szCs w:val="20"/>
        </w:rPr>
        <w:t>para</w:t>
      </w:r>
      <w:r w:rsidRPr="006A0A3F">
        <w:rPr>
          <w:rFonts w:ascii="Verdana" w:hAnsi="Verdana"/>
          <w:sz w:val="20"/>
          <w:szCs w:val="20"/>
        </w:rPr>
        <w:t xml:space="preserve"> “</w:t>
      </w:r>
      <w:r w:rsidR="00653029" w:rsidRPr="006A0A3F">
        <w:rPr>
          <w:rFonts w:ascii="Verdana" w:hAnsi="Verdana"/>
          <w:sz w:val="20"/>
          <w:szCs w:val="20"/>
        </w:rPr>
        <w:t xml:space="preserve">notificarle que </w:t>
      </w:r>
      <w:proofErr w:type="spellStart"/>
      <w:r w:rsidR="00653029" w:rsidRPr="006A0A3F">
        <w:rPr>
          <w:rFonts w:ascii="Verdana" w:hAnsi="Verdana"/>
          <w:sz w:val="20"/>
          <w:szCs w:val="20"/>
        </w:rPr>
        <w:t>autoriz</w:t>
      </w:r>
      <w:proofErr w:type="spellEnd"/>
      <w:r w:rsidR="00653029" w:rsidRPr="006A0A3F">
        <w:rPr>
          <w:rFonts w:ascii="Verdana" w:hAnsi="Verdana"/>
          <w:sz w:val="20"/>
          <w:szCs w:val="20"/>
        </w:rPr>
        <w:t>[aba]</w:t>
      </w:r>
      <w:r w:rsidR="006075D5" w:rsidRPr="006A0A3F">
        <w:rPr>
          <w:rFonts w:ascii="Verdana" w:hAnsi="Verdana"/>
          <w:sz w:val="20"/>
          <w:szCs w:val="20"/>
        </w:rPr>
        <w:t xml:space="preserve"> plenamente al ciudadano </w:t>
      </w:r>
      <w:r w:rsidR="00653029" w:rsidRPr="006A0A3F">
        <w:rPr>
          <w:rFonts w:ascii="Verdana" w:hAnsi="Verdana"/>
          <w:sz w:val="20"/>
          <w:szCs w:val="20"/>
        </w:rPr>
        <w:t xml:space="preserve">[diputado] </w:t>
      </w:r>
      <w:r w:rsidR="006075D5" w:rsidRPr="006A0A3F">
        <w:rPr>
          <w:rFonts w:ascii="Verdana" w:hAnsi="Verdana"/>
          <w:sz w:val="20"/>
          <w:szCs w:val="20"/>
        </w:rPr>
        <w:t xml:space="preserve">Luis </w:t>
      </w:r>
      <w:proofErr w:type="spellStart"/>
      <w:r w:rsidR="006075D5" w:rsidRPr="006A0A3F">
        <w:rPr>
          <w:rFonts w:ascii="Verdana" w:hAnsi="Verdana"/>
          <w:sz w:val="20"/>
          <w:szCs w:val="20"/>
        </w:rPr>
        <w:t>Tascó</w:t>
      </w:r>
      <w:r w:rsidR="00653029" w:rsidRPr="006A0A3F">
        <w:rPr>
          <w:rFonts w:ascii="Verdana" w:hAnsi="Verdana"/>
          <w:sz w:val="20"/>
          <w:szCs w:val="20"/>
        </w:rPr>
        <w:t>n</w:t>
      </w:r>
      <w:proofErr w:type="spellEnd"/>
      <w:r w:rsidR="00653029" w:rsidRPr="006A0A3F">
        <w:rPr>
          <w:rFonts w:ascii="Verdana" w:hAnsi="Verdana"/>
          <w:sz w:val="20"/>
          <w:szCs w:val="20"/>
        </w:rPr>
        <w:t xml:space="preserve"> Gutiérrez, […] para que </w:t>
      </w:r>
      <w:proofErr w:type="spellStart"/>
      <w:r w:rsidR="00653029" w:rsidRPr="006A0A3F">
        <w:rPr>
          <w:rFonts w:ascii="Verdana" w:hAnsi="Verdana"/>
          <w:sz w:val="20"/>
          <w:szCs w:val="20"/>
        </w:rPr>
        <w:t>retir</w:t>
      </w:r>
      <w:proofErr w:type="spellEnd"/>
      <w:r w:rsidR="00653029" w:rsidRPr="006A0A3F">
        <w:rPr>
          <w:rFonts w:ascii="Verdana" w:hAnsi="Verdana"/>
          <w:sz w:val="20"/>
          <w:szCs w:val="20"/>
        </w:rPr>
        <w:t>[</w:t>
      </w:r>
      <w:r w:rsidR="0086167C">
        <w:rPr>
          <w:rFonts w:ascii="Verdana" w:hAnsi="Verdana"/>
          <w:sz w:val="20"/>
          <w:szCs w:val="20"/>
        </w:rPr>
        <w:t>ara</w:t>
      </w:r>
      <w:r w:rsidR="00653029" w:rsidRPr="006A0A3F">
        <w:rPr>
          <w:rFonts w:ascii="Verdana" w:hAnsi="Verdana"/>
          <w:sz w:val="20"/>
          <w:szCs w:val="20"/>
        </w:rPr>
        <w:t>]</w:t>
      </w:r>
      <w:r w:rsidR="006075D5" w:rsidRPr="006A0A3F">
        <w:rPr>
          <w:rFonts w:ascii="Verdana" w:hAnsi="Verdana"/>
          <w:sz w:val="20"/>
          <w:szCs w:val="20"/>
        </w:rPr>
        <w:t xml:space="preserve"> las copias certificadas de las planillas utilizadas durante el evento 2A, ocurrido entre el 28/11/03 al 01/12/03 en el cual un grupo de ciudadanos solicita activar el referéndum revocatorio de mi mandato</w:t>
      </w:r>
      <w:r w:rsidRPr="006A0A3F">
        <w:rPr>
          <w:rFonts w:ascii="Verdana" w:hAnsi="Verdana"/>
          <w:sz w:val="20"/>
          <w:szCs w:val="20"/>
        </w:rPr>
        <w:t>”</w:t>
      </w:r>
      <w:r w:rsidRPr="006A0A3F">
        <w:rPr>
          <w:rFonts w:ascii="Verdana" w:hAnsi="Verdana"/>
          <w:sz w:val="20"/>
          <w:szCs w:val="20"/>
          <w:vertAlign w:val="superscript"/>
        </w:rPr>
        <w:footnoteReference w:id="83"/>
      </w:r>
      <w:r w:rsidRPr="006A0A3F">
        <w:rPr>
          <w:rFonts w:ascii="Verdana" w:hAnsi="Verdana"/>
          <w:sz w:val="20"/>
          <w:szCs w:val="20"/>
        </w:rPr>
        <w:t xml:space="preserve">. </w:t>
      </w:r>
      <w:r w:rsidR="00442617" w:rsidRPr="006A0A3F">
        <w:rPr>
          <w:rFonts w:ascii="Verdana" w:hAnsi="Verdana"/>
          <w:sz w:val="20"/>
          <w:szCs w:val="20"/>
        </w:rPr>
        <w:t xml:space="preserve">Antes de </w:t>
      </w:r>
      <w:r w:rsidRPr="006A0A3F">
        <w:rPr>
          <w:rFonts w:ascii="Verdana" w:hAnsi="Verdana"/>
          <w:sz w:val="20"/>
          <w:szCs w:val="20"/>
        </w:rPr>
        <w:t xml:space="preserve">recibir las copias de las planillas, </w:t>
      </w:r>
      <w:r w:rsidR="00973EE5" w:rsidRPr="006A0A3F">
        <w:rPr>
          <w:rFonts w:ascii="Verdana" w:hAnsi="Verdana"/>
          <w:sz w:val="20"/>
          <w:szCs w:val="20"/>
        </w:rPr>
        <w:t xml:space="preserve">el 1 de febrero de 2004, durante el Programa “Aló Presidente” conducido por el Presidente Chávez, </w:t>
      </w:r>
      <w:r w:rsidRPr="006A0A3F">
        <w:rPr>
          <w:rFonts w:ascii="Verdana" w:hAnsi="Verdana"/>
          <w:sz w:val="20"/>
          <w:szCs w:val="20"/>
        </w:rPr>
        <w:t>el</w:t>
      </w:r>
      <w:r w:rsidR="00973EE5" w:rsidRPr="006A0A3F">
        <w:rPr>
          <w:rFonts w:ascii="Verdana" w:hAnsi="Verdana"/>
          <w:sz w:val="20"/>
          <w:szCs w:val="20"/>
        </w:rPr>
        <w:t xml:space="preserve"> entonces</w:t>
      </w:r>
      <w:r w:rsidRPr="006A0A3F">
        <w:rPr>
          <w:rFonts w:ascii="Verdana" w:hAnsi="Verdana"/>
          <w:sz w:val="20"/>
          <w:szCs w:val="20"/>
        </w:rPr>
        <w:t xml:space="preserve"> diputado </w:t>
      </w:r>
      <w:r w:rsidR="00973EE5" w:rsidRPr="006A0A3F">
        <w:rPr>
          <w:rFonts w:ascii="Verdana" w:hAnsi="Verdana"/>
          <w:sz w:val="20"/>
          <w:szCs w:val="20"/>
        </w:rPr>
        <w:t xml:space="preserve">Luis </w:t>
      </w:r>
      <w:proofErr w:type="spellStart"/>
      <w:r w:rsidRPr="006A0A3F">
        <w:rPr>
          <w:rFonts w:ascii="Verdana" w:hAnsi="Verdana"/>
          <w:sz w:val="20"/>
          <w:szCs w:val="20"/>
        </w:rPr>
        <w:t>Tascón</w:t>
      </w:r>
      <w:proofErr w:type="spellEnd"/>
      <w:r w:rsidR="00973EE5" w:rsidRPr="006A0A3F">
        <w:rPr>
          <w:rFonts w:ascii="Verdana" w:hAnsi="Verdana"/>
          <w:sz w:val="20"/>
          <w:szCs w:val="20"/>
        </w:rPr>
        <w:t xml:space="preserve"> dijo: "Yo no sé cuál es el miedo que tienen los escuálidos […] </w:t>
      </w:r>
      <w:r w:rsidRPr="006A0A3F">
        <w:rPr>
          <w:rFonts w:ascii="Verdana" w:hAnsi="Verdana"/>
          <w:sz w:val="20"/>
          <w:szCs w:val="20"/>
        </w:rPr>
        <w:t>ahora con las planillas</w:t>
      </w:r>
      <w:r w:rsidR="00973EE5" w:rsidRPr="006A0A3F">
        <w:rPr>
          <w:rFonts w:ascii="Verdana" w:hAnsi="Verdana"/>
          <w:sz w:val="20"/>
          <w:szCs w:val="20"/>
        </w:rPr>
        <w:t>,</w:t>
      </w:r>
      <w:r w:rsidRPr="006A0A3F">
        <w:rPr>
          <w:rFonts w:ascii="Verdana" w:hAnsi="Verdana"/>
          <w:sz w:val="20"/>
          <w:szCs w:val="20"/>
        </w:rPr>
        <w:t xml:space="preserve"> vamos a tener la oportunidad de darle rostro al fraude </w:t>
      </w:r>
      <w:r w:rsidR="00973EE5" w:rsidRPr="006A0A3F">
        <w:rPr>
          <w:rFonts w:ascii="Verdana" w:hAnsi="Verdana"/>
          <w:sz w:val="20"/>
          <w:szCs w:val="20"/>
        </w:rPr>
        <w:t>[…] ya tenemos muchachos del Frente Francisco de Miranda que van a levantar la base de datos</w:t>
      </w:r>
      <w:r w:rsidRPr="006A0A3F">
        <w:rPr>
          <w:rFonts w:ascii="Verdana" w:hAnsi="Verdana"/>
          <w:sz w:val="20"/>
          <w:szCs w:val="20"/>
        </w:rPr>
        <w:t>”</w:t>
      </w:r>
      <w:r w:rsidRPr="006A0A3F">
        <w:rPr>
          <w:rFonts w:ascii="Verdana" w:hAnsi="Verdana"/>
          <w:sz w:val="20"/>
          <w:szCs w:val="20"/>
          <w:vertAlign w:val="superscript"/>
        </w:rPr>
        <w:footnoteReference w:id="84"/>
      </w:r>
      <w:r w:rsidR="00442617" w:rsidRPr="006A0A3F">
        <w:rPr>
          <w:rFonts w:ascii="Verdana" w:hAnsi="Verdana"/>
          <w:sz w:val="20"/>
          <w:szCs w:val="20"/>
        </w:rPr>
        <w:t>.</w:t>
      </w:r>
    </w:p>
    <w:p w14:paraId="5F5F1E27" w14:textId="77777777" w:rsidR="00973EE5" w:rsidRPr="006A0A3F" w:rsidRDefault="00973EE5" w:rsidP="00973EE5">
      <w:pPr>
        <w:pBdr>
          <w:top w:val="nil"/>
        </w:pBdr>
        <w:spacing w:after="0" w:line="240" w:lineRule="auto"/>
        <w:jc w:val="both"/>
        <w:rPr>
          <w:rFonts w:ascii="Verdana" w:hAnsi="Verdana"/>
          <w:sz w:val="20"/>
          <w:szCs w:val="20"/>
        </w:rPr>
      </w:pPr>
    </w:p>
    <w:p w14:paraId="0786BCE9" w14:textId="48794B8F"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Luego de </w:t>
      </w:r>
      <w:r w:rsidR="00616227" w:rsidRPr="006A0A3F">
        <w:rPr>
          <w:rFonts w:ascii="Verdana" w:hAnsi="Verdana"/>
          <w:sz w:val="20"/>
          <w:szCs w:val="20"/>
        </w:rPr>
        <w:t xml:space="preserve">que el </w:t>
      </w:r>
      <w:r w:rsidR="00D0656B" w:rsidRPr="006A0A3F">
        <w:rPr>
          <w:rFonts w:ascii="Verdana" w:hAnsi="Verdana"/>
          <w:sz w:val="20"/>
          <w:szCs w:val="20"/>
        </w:rPr>
        <w:t xml:space="preserve">Consejo Nacional Electoral </w:t>
      </w:r>
      <w:r w:rsidRPr="006A0A3F">
        <w:rPr>
          <w:rFonts w:ascii="Verdana" w:hAnsi="Verdana"/>
          <w:sz w:val="20"/>
          <w:szCs w:val="20"/>
        </w:rPr>
        <w:t>entregar</w:t>
      </w:r>
      <w:r w:rsidR="00616227" w:rsidRPr="006A0A3F">
        <w:rPr>
          <w:rFonts w:ascii="Verdana" w:hAnsi="Verdana"/>
          <w:sz w:val="20"/>
          <w:szCs w:val="20"/>
        </w:rPr>
        <w:t>a</w:t>
      </w:r>
      <w:r w:rsidRPr="006A0A3F">
        <w:rPr>
          <w:rFonts w:ascii="Verdana" w:hAnsi="Verdana"/>
          <w:sz w:val="20"/>
          <w:szCs w:val="20"/>
        </w:rPr>
        <w:t xml:space="preserve"> copias de las planillas al diputado </w:t>
      </w:r>
      <w:proofErr w:type="spellStart"/>
      <w:r w:rsidRPr="006A0A3F">
        <w:rPr>
          <w:rFonts w:ascii="Verdana" w:hAnsi="Verdana"/>
          <w:sz w:val="20"/>
          <w:szCs w:val="20"/>
        </w:rPr>
        <w:t>Tascón</w:t>
      </w:r>
      <w:proofErr w:type="spellEnd"/>
      <w:r w:rsidRPr="006A0A3F">
        <w:rPr>
          <w:rFonts w:ascii="Verdana" w:hAnsi="Verdana"/>
          <w:sz w:val="20"/>
          <w:szCs w:val="20"/>
        </w:rPr>
        <w:t xml:space="preserve">, </w:t>
      </w:r>
      <w:r w:rsidR="00616227" w:rsidRPr="006A0A3F">
        <w:rPr>
          <w:rFonts w:ascii="Verdana" w:hAnsi="Verdana"/>
          <w:sz w:val="20"/>
          <w:szCs w:val="20"/>
        </w:rPr>
        <w:t xml:space="preserve">éste </w:t>
      </w:r>
      <w:r w:rsidRPr="006A0A3F">
        <w:rPr>
          <w:rFonts w:ascii="Verdana" w:hAnsi="Verdana"/>
          <w:sz w:val="20"/>
          <w:szCs w:val="20"/>
        </w:rPr>
        <w:t xml:space="preserve">publicó dichas listas en la página web </w:t>
      </w:r>
      <w:hyperlink r:id="rId9" w:history="1">
        <w:r w:rsidRPr="006A0A3F">
          <w:rPr>
            <w:rStyle w:val="Hyperlink"/>
            <w:rFonts w:ascii="Verdana" w:hAnsi="Verdana"/>
            <w:sz w:val="20"/>
          </w:rPr>
          <w:t>www.luistascon.com</w:t>
        </w:r>
      </w:hyperlink>
      <w:r w:rsidRPr="006A0A3F">
        <w:rPr>
          <w:rFonts w:ascii="Verdana" w:hAnsi="Verdana"/>
          <w:sz w:val="20"/>
          <w:szCs w:val="20"/>
        </w:rPr>
        <w:t xml:space="preserve">, acusando a los firmantes de participar en “un </w:t>
      </w:r>
      <w:proofErr w:type="spellStart"/>
      <w:r w:rsidRPr="006A0A3F">
        <w:rPr>
          <w:rFonts w:ascii="Verdana" w:hAnsi="Verdana"/>
          <w:sz w:val="20"/>
          <w:szCs w:val="20"/>
        </w:rPr>
        <w:t>megafraude</w:t>
      </w:r>
      <w:proofErr w:type="spellEnd"/>
      <w:r w:rsidRPr="006A0A3F">
        <w:rPr>
          <w:rFonts w:ascii="Verdana" w:hAnsi="Verdana"/>
          <w:sz w:val="20"/>
          <w:szCs w:val="20"/>
        </w:rPr>
        <w:t xml:space="preserve">”.  En la página se podía acceder a la lista de firmantes de la solicitud de referendo revocatorio presidencial, ingresando el número de cédula luego de un texto que rezaba “Ingrese aquí su Cédula (solo números) para ver si aparece en el ¡…MEGA FRAUDE…!”. Al referirse a la página web, el diputado </w:t>
      </w:r>
      <w:proofErr w:type="spellStart"/>
      <w:r w:rsidRPr="006A0A3F">
        <w:rPr>
          <w:rFonts w:ascii="Verdana" w:hAnsi="Verdana"/>
          <w:sz w:val="20"/>
          <w:szCs w:val="20"/>
        </w:rPr>
        <w:t>Tascón</w:t>
      </w:r>
      <w:proofErr w:type="spellEnd"/>
      <w:r w:rsidRPr="006A0A3F">
        <w:rPr>
          <w:rFonts w:ascii="Verdana" w:hAnsi="Verdana"/>
          <w:sz w:val="20"/>
          <w:szCs w:val="20"/>
        </w:rPr>
        <w:t xml:space="preserve"> indicó que “este es un servicio también para la gente de oposición que firmó, si ellos firmaron, ¡felicitaciones! ¿ok? Pero lamentablemente ustedes participaron, y por eso lo dice la página. Usted participó en el fraude</w:t>
      </w:r>
      <w:r w:rsidR="00442617" w:rsidRPr="006A0A3F">
        <w:rPr>
          <w:rFonts w:ascii="Verdana" w:hAnsi="Verdana"/>
          <w:sz w:val="20"/>
          <w:szCs w:val="20"/>
        </w:rPr>
        <w:t>”</w:t>
      </w:r>
      <w:r w:rsidRPr="006A0A3F">
        <w:rPr>
          <w:rFonts w:ascii="Verdana" w:hAnsi="Verdana"/>
          <w:sz w:val="20"/>
          <w:szCs w:val="20"/>
          <w:vertAlign w:val="superscript"/>
        </w:rPr>
        <w:footnoteReference w:id="85"/>
      </w:r>
      <w:r w:rsidR="00442617" w:rsidRPr="006A0A3F">
        <w:rPr>
          <w:rFonts w:ascii="Verdana" w:hAnsi="Verdana"/>
          <w:sz w:val="20"/>
          <w:szCs w:val="20"/>
        </w:rPr>
        <w:t>.</w:t>
      </w:r>
      <w:r w:rsidRPr="006A0A3F">
        <w:rPr>
          <w:rFonts w:ascii="Verdana" w:hAnsi="Verdana"/>
          <w:sz w:val="20"/>
          <w:szCs w:val="20"/>
        </w:rPr>
        <w:t xml:space="preserve"> </w:t>
      </w:r>
    </w:p>
    <w:p w14:paraId="5709F50F" w14:textId="77777777" w:rsidR="00E41D9C" w:rsidRPr="006A0A3F" w:rsidRDefault="00E41D9C" w:rsidP="0042435D">
      <w:pPr>
        <w:spacing w:after="0" w:line="240" w:lineRule="auto"/>
        <w:jc w:val="both"/>
        <w:rPr>
          <w:rFonts w:ascii="Verdana" w:hAnsi="Verdana"/>
          <w:sz w:val="20"/>
          <w:szCs w:val="20"/>
        </w:rPr>
      </w:pPr>
    </w:p>
    <w:p w14:paraId="340B260E" w14:textId="76CED918"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También refiriéndose a la página web, en un programa televisado transmitido </w:t>
      </w:r>
      <w:r w:rsidR="00AD0714" w:rsidRPr="006A0A3F">
        <w:rPr>
          <w:rFonts w:ascii="Verdana" w:hAnsi="Verdana"/>
          <w:sz w:val="20"/>
          <w:szCs w:val="20"/>
        </w:rPr>
        <w:t>el 15 de</w:t>
      </w:r>
      <w:r w:rsidRPr="006A0A3F">
        <w:rPr>
          <w:rFonts w:ascii="Verdana" w:hAnsi="Verdana"/>
          <w:sz w:val="20"/>
          <w:szCs w:val="20"/>
        </w:rPr>
        <w:t xml:space="preserve"> febrero de 2004, el entonces Presidente Chávez declaró: “Me informan que el diputado Luis </w:t>
      </w:r>
      <w:proofErr w:type="spellStart"/>
      <w:r w:rsidRPr="006A0A3F">
        <w:rPr>
          <w:rFonts w:ascii="Verdana" w:hAnsi="Verdana"/>
          <w:sz w:val="20"/>
          <w:szCs w:val="20"/>
        </w:rPr>
        <w:t>Tascón</w:t>
      </w:r>
      <w:proofErr w:type="spellEnd"/>
      <w:r w:rsidRPr="006A0A3F">
        <w:rPr>
          <w:rFonts w:ascii="Verdana" w:hAnsi="Verdana"/>
          <w:sz w:val="20"/>
          <w:szCs w:val="20"/>
        </w:rPr>
        <w:t xml:space="preserve"> tiene una página web. En su página web, </w:t>
      </w:r>
      <w:proofErr w:type="gramStart"/>
      <w:r w:rsidRPr="006A0A3F">
        <w:rPr>
          <w:rFonts w:ascii="Verdana" w:hAnsi="Verdana"/>
          <w:sz w:val="20"/>
          <w:szCs w:val="20"/>
        </w:rPr>
        <w:t>bueno</w:t>
      </w:r>
      <w:proofErr w:type="gramEnd"/>
      <w:r w:rsidRPr="006A0A3F">
        <w:rPr>
          <w:rFonts w:ascii="Verdana" w:hAnsi="Verdana"/>
          <w:sz w:val="20"/>
          <w:szCs w:val="20"/>
        </w:rPr>
        <w:t xml:space="preserve">, la lista, de todas estas cosas, sobre todo los números de cédula, de quienes supuestamente firmaron, ¡Yo llamo al pueblo venezolano a revisar, y que salgan los rostros! Allí está </w:t>
      </w:r>
      <w:hyperlink r:id="rId10" w:history="1">
        <w:r w:rsidRPr="006A0A3F">
          <w:rPr>
            <w:rFonts w:ascii="Verdana" w:hAnsi="Verdana"/>
            <w:sz w:val="20"/>
            <w:szCs w:val="20"/>
          </w:rPr>
          <w:t>www.luistascon.com</w:t>
        </w:r>
      </w:hyperlink>
      <w:r w:rsidRPr="006A0A3F">
        <w:rPr>
          <w:rFonts w:ascii="Verdana" w:hAnsi="Verdana"/>
          <w:sz w:val="20"/>
          <w:szCs w:val="20"/>
        </w:rPr>
        <w:t>. Métanse allí”</w:t>
      </w:r>
      <w:r w:rsidRPr="006A0A3F">
        <w:rPr>
          <w:rFonts w:ascii="Verdana" w:hAnsi="Verdana"/>
          <w:sz w:val="20"/>
          <w:szCs w:val="20"/>
          <w:vertAlign w:val="superscript"/>
        </w:rPr>
        <w:footnoteReference w:id="86"/>
      </w:r>
      <w:r w:rsidRPr="006A0A3F">
        <w:rPr>
          <w:rFonts w:ascii="Verdana" w:hAnsi="Verdana"/>
          <w:sz w:val="20"/>
          <w:szCs w:val="20"/>
        </w:rPr>
        <w:t xml:space="preserve">. </w:t>
      </w:r>
    </w:p>
    <w:p w14:paraId="1AC86E62" w14:textId="77777777" w:rsidR="0064741F" w:rsidRPr="006A0A3F" w:rsidRDefault="0064741F" w:rsidP="00150351">
      <w:pPr>
        <w:spacing w:after="0" w:line="240" w:lineRule="auto"/>
        <w:jc w:val="both"/>
        <w:rPr>
          <w:rFonts w:ascii="Verdana" w:hAnsi="Verdana"/>
          <w:sz w:val="20"/>
          <w:szCs w:val="20"/>
        </w:rPr>
      </w:pPr>
    </w:p>
    <w:p w14:paraId="0A0E93C2" w14:textId="67AB241F" w:rsidR="00150351" w:rsidRPr="006A0A3F" w:rsidRDefault="00150351" w:rsidP="00AB56AF">
      <w:pPr>
        <w:pStyle w:val="ListParagraph"/>
        <w:numPr>
          <w:ilvl w:val="0"/>
          <w:numId w:val="10"/>
        </w:numPr>
        <w:pBdr>
          <w:top w:val="nil"/>
        </w:pBdr>
        <w:ind w:hanging="666"/>
        <w:jc w:val="both"/>
        <w:rPr>
          <w:rFonts w:ascii="Verdana" w:hAnsi="Verdana"/>
          <w:b/>
          <w:i/>
          <w:sz w:val="20"/>
          <w:lang w:val="es-CR"/>
        </w:rPr>
      </w:pPr>
      <w:r w:rsidRPr="006A0A3F">
        <w:rPr>
          <w:rFonts w:ascii="Verdana" w:hAnsi="Verdana"/>
          <w:b/>
          <w:i/>
          <w:sz w:val="20"/>
          <w:lang w:val="es-CR"/>
        </w:rPr>
        <w:t xml:space="preserve">Resultados del procedimiento </w:t>
      </w:r>
      <w:r w:rsidR="006D0AF2" w:rsidRPr="006A0A3F">
        <w:rPr>
          <w:rFonts w:ascii="Verdana" w:hAnsi="Verdana"/>
          <w:b/>
          <w:i/>
          <w:sz w:val="20"/>
          <w:lang w:val="es-CR"/>
        </w:rPr>
        <w:t>del “</w:t>
      </w:r>
      <w:proofErr w:type="spellStart"/>
      <w:r w:rsidR="006D0AF2" w:rsidRPr="006A0A3F">
        <w:rPr>
          <w:rFonts w:ascii="Verdana" w:hAnsi="Verdana"/>
          <w:b/>
          <w:i/>
          <w:sz w:val="20"/>
          <w:lang w:val="es-CR"/>
        </w:rPr>
        <w:t>Reafirmazo</w:t>
      </w:r>
      <w:proofErr w:type="spellEnd"/>
      <w:r w:rsidR="006D0AF2" w:rsidRPr="006A0A3F">
        <w:rPr>
          <w:rFonts w:ascii="Verdana" w:hAnsi="Verdana"/>
          <w:b/>
          <w:i/>
          <w:sz w:val="20"/>
          <w:lang w:val="es-CR"/>
        </w:rPr>
        <w:t xml:space="preserve">” y </w:t>
      </w:r>
      <w:r w:rsidRPr="006A0A3F">
        <w:rPr>
          <w:rFonts w:ascii="Verdana" w:hAnsi="Verdana"/>
          <w:b/>
          <w:i/>
          <w:sz w:val="20"/>
          <w:lang w:val="es-CR"/>
        </w:rPr>
        <w:t xml:space="preserve">realización del referendo revocatorio </w:t>
      </w:r>
    </w:p>
    <w:p w14:paraId="6C4720E3" w14:textId="77777777" w:rsidR="00150351" w:rsidRPr="006A0A3F" w:rsidRDefault="00150351" w:rsidP="00150351">
      <w:pPr>
        <w:spacing w:after="0" w:line="240" w:lineRule="auto"/>
        <w:jc w:val="both"/>
        <w:rPr>
          <w:rFonts w:ascii="Verdana" w:hAnsi="Verdana"/>
          <w:sz w:val="20"/>
          <w:szCs w:val="20"/>
        </w:rPr>
      </w:pPr>
    </w:p>
    <w:p w14:paraId="7FC59321" w14:textId="30A62B40" w:rsidR="00150351" w:rsidRPr="006A0A3F" w:rsidRDefault="00150351" w:rsidP="00150351">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 de marzo de 2004, es decir, </w:t>
      </w:r>
      <w:r w:rsidR="00C83AFC" w:rsidRPr="006A0A3F">
        <w:rPr>
          <w:rFonts w:ascii="Verdana" w:hAnsi="Verdana"/>
          <w:sz w:val="20"/>
          <w:szCs w:val="20"/>
        </w:rPr>
        <w:t xml:space="preserve">61 </w:t>
      </w:r>
      <w:r w:rsidRPr="006A0A3F">
        <w:rPr>
          <w:rFonts w:ascii="Verdana" w:hAnsi="Verdana"/>
          <w:sz w:val="20"/>
          <w:szCs w:val="20"/>
        </w:rPr>
        <w:t>días después de la recepción de las firmas del “</w:t>
      </w:r>
      <w:proofErr w:type="spellStart"/>
      <w:r w:rsidRPr="006A0A3F">
        <w:rPr>
          <w:rFonts w:ascii="Verdana" w:hAnsi="Verdana"/>
          <w:sz w:val="20"/>
          <w:szCs w:val="20"/>
        </w:rPr>
        <w:t>Reafirmazo</w:t>
      </w:r>
      <w:proofErr w:type="spellEnd"/>
      <w:r w:rsidRPr="006A0A3F">
        <w:rPr>
          <w:rFonts w:ascii="Verdana" w:hAnsi="Verdana"/>
          <w:sz w:val="20"/>
          <w:szCs w:val="20"/>
        </w:rPr>
        <w:t xml:space="preserve">”, el </w:t>
      </w:r>
      <w:r w:rsidR="00D0656B" w:rsidRPr="006A0A3F">
        <w:rPr>
          <w:rFonts w:ascii="Verdana" w:hAnsi="Verdana"/>
          <w:sz w:val="20"/>
          <w:szCs w:val="20"/>
        </w:rPr>
        <w:t xml:space="preserve">Consejo Nacional Electoral </w:t>
      </w:r>
      <w:r w:rsidRPr="006A0A3F">
        <w:rPr>
          <w:rFonts w:ascii="Verdana" w:hAnsi="Verdana"/>
          <w:sz w:val="20"/>
          <w:szCs w:val="20"/>
        </w:rPr>
        <w:t xml:space="preserve">emitió la resolución No. 040302-131 con los </w:t>
      </w:r>
      <w:r w:rsidRPr="006A0A3F">
        <w:rPr>
          <w:rFonts w:ascii="Verdana" w:hAnsi="Verdana"/>
          <w:sz w:val="20"/>
          <w:szCs w:val="20"/>
        </w:rPr>
        <w:lastRenderedPageBreak/>
        <w:t>resultados preliminares del procedimiento revocatorio iniciado respecto del entonces Presidente Chávez</w:t>
      </w:r>
      <w:r w:rsidR="006D0AF2" w:rsidRPr="006A0A3F">
        <w:rPr>
          <w:rFonts w:ascii="Verdana" w:hAnsi="Verdana"/>
          <w:sz w:val="20"/>
          <w:szCs w:val="20"/>
          <w:vertAlign w:val="superscript"/>
        </w:rPr>
        <w:footnoteReference w:id="87"/>
      </w:r>
      <w:r w:rsidRPr="006A0A3F">
        <w:rPr>
          <w:rFonts w:ascii="Verdana" w:hAnsi="Verdana"/>
          <w:sz w:val="20"/>
          <w:szCs w:val="20"/>
        </w:rPr>
        <w:t>,</w:t>
      </w:r>
      <w:r w:rsidR="006D0AF2" w:rsidRPr="006A0A3F">
        <w:rPr>
          <w:rFonts w:ascii="Verdana" w:hAnsi="Verdana"/>
          <w:sz w:val="20"/>
          <w:szCs w:val="20"/>
        </w:rPr>
        <w:t xml:space="preserve"> otorgando la posibilidad</w:t>
      </w:r>
      <w:r w:rsidRPr="006A0A3F">
        <w:rPr>
          <w:rFonts w:ascii="Verdana" w:hAnsi="Verdana"/>
          <w:sz w:val="20"/>
          <w:szCs w:val="20"/>
        </w:rPr>
        <w:t xml:space="preserve"> para que los interesados ejercieran, en los casos que correspondiera, su “derecho al reparo”. Se estipuló que el total de números de cédula de </w:t>
      </w:r>
      <w:r w:rsidR="006B7AD9" w:rsidRPr="006A0A3F">
        <w:rPr>
          <w:rFonts w:ascii="Verdana" w:hAnsi="Verdana"/>
          <w:sz w:val="20"/>
          <w:szCs w:val="20"/>
        </w:rPr>
        <w:t>identidad</w:t>
      </w:r>
      <w:r w:rsidRPr="006A0A3F">
        <w:rPr>
          <w:rFonts w:ascii="Verdana" w:hAnsi="Verdana"/>
          <w:sz w:val="20"/>
          <w:szCs w:val="20"/>
        </w:rPr>
        <w:t xml:space="preserve"> de los firmantes participantes en el procedimiento revocatorio, con indicación de la condición de aceptada o rechazada la firma, se publicaría en los medios masivos de comunicación para que los ciudadanos pudieran expresar su voluntad en la siguiente fase del procedimiento. El 20 de abril de 2004 el CNE emitió las normas sobre el ejercicio del “derecho de reparo” en los procedimientos revocatorios de mandatos de cargos de elección popular</w:t>
      </w:r>
      <w:r w:rsidR="00E93314" w:rsidRPr="006A0A3F">
        <w:rPr>
          <w:rFonts w:ascii="Verdana" w:hAnsi="Verdana"/>
          <w:sz w:val="20"/>
          <w:szCs w:val="20"/>
          <w:vertAlign w:val="superscript"/>
        </w:rPr>
        <w:footnoteReference w:id="88"/>
      </w:r>
      <w:r w:rsidRPr="006A0A3F">
        <w:rPr>
          <w:rFonts w:ascii="Verdana" w:hAnsi="Verdana"/>
          <w:sz w:val="20"/>
          <w:szCs w:val="20"/>
        </w:rPr>
        <w:t xml:space="preserve"> y anunció que 1.192.914 firmas debían ir a reparo en la fecha que indicara el ente comicial.  Tal procedimiento de “reparo” exigía la convalidación de las firmas sujetas a reparo y permitía el retiro de la firma por parte de aquellos solicitantes que hubiesen cambiado de opinión. El acto de “reparos” fue realizado el 27 de junio de 2004. La señora San Miguel, cuya firma había sido objetada, quedando sujeta a reparo, convalidó su firma ante el CNE. </w:t>
      </w:r>
      <w:r w:rsidR="00C157E7" w:rsidRPr="006A0A3F">
        <w:rPr>
          <w:rFonts w:ascii="Verdana" w:hAnsi="Verdana"/>
          <w:sz w:val="20"/>
          <w:szCs w:val="20"/>
        </w:rPr>
        <w:t>Según declaró la señora San Miguel, en ese entonces se podían conseguir certificaciones del CNE en que constaría que el interesado había retirado su firma</w:t>
      </w:r>
      <w:r w:rsidR="00C157E7" w:rsidRPr="006A0A3F">
        <w:rPr>
          <w:rStyle w:val="FootnoteReference"/>
          <w:rFonts w:ascii="Verdana" w:hAnsi="Verdana"/>
          <w:sz w:val="20"/>
          <w:szCs w:val="20"/>
        </w:rPr>
        <w:footnoteReference w:id="89"/>
      </w:r>
      <w:r w:rsidR="00C157E7" w:rsidRPr="006A0A3F">
        <w:rPr>
          <w:rFonts w:ascii="Verdana" w:hAnsi="Verdana"/>
          <w:sz w:val="20"/>
          <w:szCs w:val="20"/>
        </w:rPr>
        <w:t>.</w:t>
      </w:r>
    </w:p>
    <w:p w14:paraId="59AA6421" w14:textId="77777777" w:rsidR="00150351" w:rsidRPr="006A0A3F" w:rsidRDefault="00150351" w:rsidP="00150351">
      <w:pPr>
        <w:spacing w:after="0" w:line="240" w:lineRule="auto"/>
        <w:jc w:val="both"/>
        <w:rPr>
          <w:rFonts w:ascii="Verdana" w:hAnsi="Verdana"/>
          <w:sz w:val="20"/>
          <w:szCs w:val="20"/>
        </w:rPr>
      </w:pPr>
    </w:p>
    <w:p w14:paraId="78D02BAA" w14:textId="2BEE71D8" w:rsidR="00150351" w:rsidRPr="006A0A3F" w:rsidRDefault="00150351" w:rsidP="00150351">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25 de junio de 2004 el </w:t>
      </w:r>
      <w:r w:rsidR="00D0656B" w:rsidRPr="006A0A3F">
        <w:rPr>
          <w:rFonts w:ascii="Verdana" w:hAnsi="Verdana"/>
          <w:sz w:val="20"/>
          <w:szCs w:val="20"/>
        </w:rPr>
        <w:t xml:space="preserve">Consejo Nacional Electoral </w:t>
      </w:r>
      <w:r w:rsidRPr="006A0A3F">
        <w:rPr>
          <w:rFonts w:ascii="Verdana" w:hAnsi="Verdana"/>
          <w:sz w:val="20"/>
          <w:szCs w:val="20"/>
        </w:rPr>
        <w:t>resolvió ratificar la convocatoria para la celebración del referendo revocatorio presidencial para el día 15 de agosto de 2004</w:t>
      </w:r>
      <w:r w:rsidRPr="006A0A3F">
        <w:rPr>
          <w:rFonts w:ascii="Verdana" w:hAnsi="Verdana"/>
          <w:sz w:val="20"/>
          <w:szCs w:val="20"/>
          <w:vertAlign w:val="superscript"/>
        </w:rPr>
        <w:footnoteReference w:id="90"/>
      </w:r>
      <w:r w:rsidRPr="006A0A3F">
        <w:rPr>
          <w:rFonts w:ascii="Verdana" w:hAnsi="Verdana"/>
          <w:sz w:val="20"/>
          <w:szCs w:val="20"/>
        </w:rPr>
        <w:t>. Dicha convocatoria se llevó a cabo obtenien</w:t>
      </w:r>
      <w:r w:rsidR="00C157E7" w:rsidRPr="006A0A3F">
        <w:rPr>
          <w:rFonts w:ascii="Verdana" w:hAnsi="Verdana"/>
          <w:sz w:val="20"/>
          <w:szCs w:val="20"/>
        </w:rPr>
        <w:t>do como resultado un total de 3.</w:t>
      </w:r>
      <w:r w:rsidRPr="006A0A3F">
        <w:rPr>
          <w:rFonts w:ascii="Verdana" w:hAnsi="Verdana"/>
          <w:sz w:val="20"/>
          <w:szCs w:val="20"/>
        </w:rPr>
        <w:t>989</w:t>
      </w:r>
      <w:r w:rsidR="00C157E7" w:rsidRPr="006A0A3F">
        <w:rPr>
          <w:rFonts w:ascii="Verdana" w:hAnsi="Verdana"/>
          <w:sz w:val="20"/>
          <w:szCs w:val="20"/>
        </w:rPr>
        <w:t>.</w:t>
      </w:r>
      <w:r w:rsidRPr="006A0A3F">
        <w:rPr>
          <w:rFonts w:ascii="Verdana" w:hAnsi="Verdana"/>
          <w:sz w:val="20"/>
          <w:szCs w:val="20"/>
        </w:rPr>
        <w:t>008 votos a favor de la revocatoria del mand</w:t>
      </w:r>
      <w:r w:rsidR="00C157E7" w:rsidRPr="006A0A3F">
        <w:rPr>
          <w:rFonts w:ascii="Verdana" w:hAnsi="Verdana"/>
          <w:sz w:val="20"/>
          <w:szCs w:val="20"/>
        </w:rPr>
        <w:t>ato del Presidente y 5.</w:t>
      </w:r>
      <w:r w:rsidRPr="006A0A3F">
        <w:rPr>
          <w:rFonts w:ascii="Verdana" w:hAnsi="Verdana"/>
          <w:sz w:val="20"/>
          <w:szCs w:val="20"/>
        </w:rPr>
        <w:t>800</w:t>
      </w:r>
      <w:r w:rsidR="00C157E7" w:rsidRPr="006A0A3F">
        <w:rPr>
          <w:rFonts w:ascii="Verdana" w:hAnsi="Verdana"/>
          <w:sz w:val="20"/>
          <w:szCs w:val="20"/>
        </w:rPr>
        <w:t>.</w:t>
      </w:r>
      <w:r w:rsidRPr="006A0A3F">
        <w:rPr>
          <w:rFonts w:ascii="Verdana" w:hAnsi="Verdana"/>
          <w:sz w:val="20"/>
          <w:szCs w:val="20"/>
        </w:rPr>
        <w:t>629 votos en contra, por lo que el CNE declaró como ratificado el mandato del Presidente de la República</w:t>
      </w:r>
      <w:r w:rsidRPr="006A0A3F">
        <w:rPr>
          <w:rFonts w:ascii="Verdana" w:hAnsi="Verdana"/>
          <w:sz w:val="20"/>
          <w:szCs w:val="20"/>
          <w:vertAlign w:val="superscript"/>
        </w:rPr>
        <w:footnoteReference w:id="91"/>
      </w:r>
      <w:r w:rsidR="00C157E7" w:rsidRPr="006A0A3F">
        <w:rPr>
          <w:rFonts w:ascii="Verdana" w:hAnsi="Verdana"/>
          <w:sz w:val="20"/>
          <w:szCs w:val="20"/>
        </w:rPr>
        <w:t xml:space="preserve">. </w:t>
      </w:r>
      <w:r w:rsidRPr="006A0A3F">
        <w:rPr>
          <w:rFonts w:ascii="Verdana" w:hAnsi="Verdana"/>
          <w:sz w:val="20"/>
          <w:szCs w:val="20"/>
        </w:rPr>
        <w:t>La OEA y el Centro Carter, observadores de este proceso, declararon la legitimidad de los resultados</w:t>
      </w:r>
      <w:r w:rsidRPr="006A0A3F">
        <w:rPr>
          <w:rFonts w:ascii="Verdana" w:hAnsi="Verdana"/>
          <w:sz w:val="20"/>
          <w:szCs w:val="20"/>
          <w:vertAlign w:val="superscript"/>
        </w:rPr>
        <w:footnoteReference w:id="92"/>
      </w:r>
      <w:r w:rsidRPr="006A0A3F">
        <w:rPr>
          <w:rFonts w:ascii="Verdana" w:hAnsi="Verdana"/>
          <w:sz w:val="20"/>
          <w:szCs w:val="20"/>
        </w:rPr>
        <w:t xml:space="preserve">. </w:t>
      </w:r>
    </w:p>
    <w:p w14:paraId="3E5054B5" w14:textId="77777777" w:rsidR="0064741F" w:rsidRPr="006A0A3F" w:rsidRDefault="0064741F" w:rsidP="00E41D9C">
      <w:pPr>
        <w:spacing w:after="0" w:line="240" w:lineRule="auto"/>
        <w:jc w:val="both"/>
        <w:rPr>
          <w:rFonts w:ascii="Verdana" w:hAnsi="Verdana"/>
          <w:sz w:val="20"/>
          <w:szCs w:val="20"/>
        </w:rPr>
      </w:pPr>
    </w:p>
    <w:p w14:paraId="2FB9BEE2" w14:textId="134B2548" w:rsidR="00E41D9C" w:rsidRPr="006A0A3F" w:rsidRDefault="00E41D9C" w:rsidP="00AB56AF">
      <w:pPr>
        <w:pStyle w:val="ListParagraph"/>
        <w:numPr>
          <w:ilvl w:val="0"/>
          <w:numId w:val="10"/>
        </w:numPr>
        <w:pBdr>
          <w:top w:val="nil"/>
        </w:pBdr>
        <w:tabs>
          <w:tab w:val="left" w:pos="1134"/>
        </w:tabs>
        <w:ind w:hanging="666"/>
        <w:jc w:val="both"/>
        <w:rPr>
          <w:rFonts w:ascii="Verdana" w:hAnsi="Verdana"/>
          <w:b/>
          <w:i/>
          <w:sz w:val="20"/>
          <w:lang w:val="es-CR"/>
        </w:rPr>
      </w:pPr>
      <w:r w:rsidRPr="006A0A3F">
        <w:rPr>
          <w:rFonts w:ascii="Verdana" w:hAnsi="Verdana"/>
          <w:b/>
          <w:i/>
          <w:sz w:val="20"/>
          <w:lang w:val="es-CR"/>
        </w:rPr>
        <w:t xml:space="preserve">Denuncias de despidos y amenazas de despido a funcionarios públicos que firmaron las solicitudes de referendo presidencial </w:t>
      </w:r>
      <w:r w:rsidR="008971C9" w:rsidRPr="006A0A3F">
        <w:rPr>
          <w:rFonts w:ascii="Verdana" w:hAnsi="Verdana"/>
          <w:b/>
          <w:i/>
          <w:sz w:val="20"/>
          <w:lang w:val="es-CR"/>
        </w:rPr>
        <w:t>y denuncias de persecución política</w:t>
      </w:r>
      <w:r w:rsidRPr="006A0A3F">
        <w:rPr>
          <w:rFonts w:ascii="Verdana" w:hAnsi="Verdana"/>
          <w:b/>
          <w:i/>
          <w:sz w:val="20"/>
          <w:lang w:val="es-CR"/>
        </w:rPr>
        <w:t xml:space="preserve"> </w:t>
      </w:r>
    </w:p>
    <w:p w14:paraId="03DCA00C" w14:textId="77777777" w:rsidR="00E41D9C" w:rsidRPr="006A0A3F" w:rsidRDefault="00E41D9C" w:rsidP="00E41D9C">
      <w:pPr>
        <w:spacing w:after="0" w:line="240" w:lineRule="auto"/>
        <w:jc w:val="both"/>
        <w:rPr>
          <w:rFonts w:ascii="Verdana" w:hAnsi="Verdana"/>
          <w:sz w:val="20"/>
          <w:szCs w:val="20"/>
        </w:rPr>
      </w:pPr>
    </w:p>
    <w:p w14:paraId="64D32AC0" w14:textId="53BB3C3A" w:rsidR="00266929" w:rsidRPr="006A0A3F" w:rsidRDefault="00DB5F3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lastRenderedPageBreak/>
        <w:t>C</w:t>
      </w:r>
      <w:r w:rsidR="00E41D9C" w:rsidRPr="006A0A3F">
        <w:rPr>
          <w:rFonts w:ascii="Verdana" w:hAnsi="Verdana"/>
          <w:sz w:val="20"/>
          <w:szCs w:val="20"/>
        </w:rPr>
        <w:t xml:space="preserve">on posterioridad a la publicación de la “Lista </w:t>
      </w:r>
      <w:proofErr w:type="spellStart"/>
      <w:r w:rsidR="00E41D9C" w:rsidRPr="006A0A3F">
        <w:rPr>
          <w:rFonts w:ascii="Verdana" w:hAnsi="Verdana"/>
          <w:sz w:val="20"/>
          <w:szCs w:val="20"/>
        </w:rPr>
        <w:t>Tascón</w:t>
      </w:r>
      <w:proofErr w:type="spellEnd"/>
      <w:r w:rsidR="00E41D9C" w:rsidRPr="006A0A3F">
        <w:rPr>
          <w:rFonts w:ascii="Verdana" w:hAnsi="Verdana"/>
          <w:sz w:val="20"/>
          <w:szCs w:val="20"/>
        </w:rPr>
        <w:t>”</w:t>
      </w:r>
      <w:r w:rsidR="00266929" w:rsidRPr="006A0A3F">
        <w:rPr>
          <w:rFonts w:ascii="Verdana" w:hAnsi="Verdana"/>
          <w:sz w:val="20"/>
          <w:szCs w:val="20"/>
        </w:rPr>
        <w:t>,</w:t>
      </w:r>
      <w:r w:rsidR="00E41D9C" w:rsidRPr="006A0A3F">
        <w:rPr>
          <w:rFonts w:ascii="Verdana" w:hAnsi="Verdana"/>
          <w:sz w:val="20"/>
          <w:szCs w:val="20"/>
        </w:rPr>
        <w:t xml:space="preserve"> se </w:t>
      </w:r>
      <w:r w:rsidR="008971C9" w:rsidRPr="006A0A3F">
        <w:rPr>
          <w:rFonts w:ascii="Verdana" w:hAnsi="Verdana"/>
          <w:sz w:val="20"/>
          <w:szCs w:val="20"/>
        </w:rPr>
        <w:t xml:space="preserve">conocieron </w:t>
      </w:r>
      <w:r w:rsidR="00E41D9C" w:rsidRPr="006A0A3F">
        <w:rPr>
          <w:rFonts w:ascii="Verdana" w:hAnsi="Verdana"/>
          <w:sz w:val="20"/>
          <w:szCs w:val="20"/>
        </w:rPr>
        <w:t>denuncias sobre despidos de trabajadores</w:t>
      </w:r>
      <w:r w:rsidR="00C157E7" w:rsidRPr="006A0A3F">
        <w:rPr>
          <w:rFonts w:ascii="Verdana" w:hAnsi="Verdana"/>
          <w:sz w:val="20"/>
          <w:szCs w:val="20"/>
        </w:rPr>
        <w:t xml:space="preserve"> o funcionarios</w:t>
      </w:r>
      <w:r w:rsidR="00E41D9C" w:rsidRPr="006A0A3F">
        <w:rPr>
          <w:rFonts w:ascii="Verdana" w:hAnsi="Verdana"/>
          <w:sz w:val="20"/>
          <w:szCs w:val="20"/>
        </w:rPr>
        <w:t xml:space="preserve"> públicos como represalia a su firma en </w:t>
      </w:r>
      <w:r w:rsidR="00BE5B3B" w:rsidRPr="006A0A3F">
        <w:rPr>
          <w:rFonts w:ascii="Verdana" w:hAnsi="Verdana"/>
          <w:sz w:val="20"/>
          <w:szCs w:val="20"/>
        </w:rPr>
        <w:t>la solicitud de</w:t>
      </w:r>
      <w:r w:rsidR="00E41D9C" w:rsidRPr="006A0A3F">
        <w:rPr>
          <w:rFonts w:ascii="Verdana" w:hAnsi="Verdana"/>
          <w:sz w:val="20"/>
          <w:szCs w:val="20"/>
        </w:rPr>
        <w:t xml:space="preserve"> referendo revocatorio presidencial</w:t>
      </w:r>
      <w:r w:rsidR="00C157E7" w:rsidRPr="006A0A3F">
        <w:rPr>
          <w:rFonts w:ascii="Verdana" w:hAnsi="Verdana"/>
          <w:sz w:val="20"/>
          <w:szCs w:val="20"/>
        </w:rPr>
        <w:t>. Tales denuncias fueron precedida</w:t>
      </w:r>
      <w:r w:rsidR="00E41D9C" w:rsidRPr="006A0A3F">
        <w:rPr>
          <w:rFonts w:ascii="Verdana" w:hAnsi="Verdana"/>
          <w:sz w:val="20"/>
          <w:szCs w:val="20"/>
        </w:rPr>
        <w:t xml:space="preserve">s de </w:t>
      </w:r>
      <w:r w:rsidR="00C157E7" w:rsidRPr="006A0A3F">
        <w:rPr>
          <w:rFonts w:ascii="Verdana" w:hAnsi="Verdana"/>
          <w:sz w:val="20"/>
          <w:szCs w:val="20"/>
        </w:rPr>
        <w:t xml:space="preserve">una serie de </w:t>
      </w:r>
      <w:r w:rsidR="00E41D9C" w:rsidRPr="006A0A3F">
        <w:rPr>
          <w:rFonts w:ascii="Verdana" w:hAnsi="Verdana"/>
          <w:sz w:val="20"/>
          <w:szCs w:val="20"/>
        </w:rPr>
        <w:t>declaraciones de funcionarios públicos</w:t>
      </w:r>
      <w:r w:rsidR="00C157E7" w:rsidRPr="006A0A3F">
        <w:rPr>
          <w:rFonts w:ascii="Verdana" w:hAnsi="Verdana"/>
          <w:sz w:val="20"/>
          <w:szCs w:val="20"/>
        </w:rPr>
        <w:t>,</w:t>
      </w:r>
      <w:r w:rsidR="00266929" w:rsidRPr="006A0A3F">
        <w:rPr>
          <w:rFonts w:ascii="Verdana" w:hAnsi="Verdana"/>
          <w:sz w:val="20"/>
          <w:szCs w:val="20"/>
        </w:rPr>
        <w:t xml:space="preserve"> p</w:t>
      </w:r>
      <w:r w:rsidR="00743356" w:rsidRPr="006A0A3F">
        <w:rPr>
          <w:rFonts w:ascii="Verdana" w:hAnsi="Verdana"/>
          <w:sz w:val="20"/>
          <w:szCs w:val="20"/>
        </w:rPr>
        <w:t>or ejemplo</w:t>
      </w:r>
      <w:r w:rsidR="00266929" w:rsidRPr="006A0A3F">
        <w:rPr>
          <w:rFonts w:ascii="Verdana" w:hAnsi="Verdana"/>
          <w:sz w:val="20"/>
          <w:szCs w:val="20"/>
        </w:rPr>
        <w:t xml:space="preserve">: </w:t>
      </w:r>
    </w:p>
    <w:p w14:paraId="107B838F" w14:textId="77777777" w:rsidR="00266929" w:rsidRPr="006A0A3F" w:rsidRDefault="00266929" w:rsidP="00266929">
      <w:pPr>
        <w:pBdr>
          <w:top w:val="nil"/>
        </w:pBdr>
        <w:spacing w:after="0" w:line="240" w:lineRule="auto"/>
        <w:jc w:val="both"/>
        <w:rPr>
          <w:rFonts w:ascii="Verdana" w:hAnsi="Verdana"/>
          <w:sz w:val="20"/>
          <w:szCs w:val="20"/>
        </w:rPr>
      </w:pPr>
    </w:p>
    <w:p w14:paraId="579892FB" w14:textId="793E67A8" w:rsidR="00266929" w:rsidRPr="006A0A3F" w:rsidRDefault="00BE5B3B" w:rsidP="008B39C0">
      <w:pPr>
        <w:pStyle w:val="ListParagraph"/>
        <w:numPr>
          <w:ilvl w:val="0"/>
          <w:numId w:val="13"/>
        </w:numPr>
        <w:pBdr>
          <w:top w:val="nil"/>
        </w:pBdr>
        <w:ind w:left="426" w:hanging="284"/>
        <w:jc w:val="both"/>
        <w:rPr>
          <w:rFonts w:ascii="Verdana" w:hAnsi="Verdana"/>
          <w:sz w:val="20"/>
          <w:lang w:val="es-CR"/>
        </w:rPr>
      </w:pPr>
      <w:r w:rsidRPr="006A0A3F">
        <w:rPr>
          <w:rFonts w:ascii="Verdana" w:hAnsi="Verdana"/>
          <w:sz w:val="20"/>
          <w:lang w:val="es-CR"/>
        </w:rPr>
        <w:t>E</w:t>
      </w:r>
      <w:r w:rsidR="00E722CE">
        <w:rPr>
          <w:rFonts w:ascii="Verdana" w:hAnsi="Verdana"/>
          <w:sz w:val="20"/>
          <w:lang w:val="es-CR"/>
        </w:rPr>
        <w:t>l 20 de marzo de 2004</w:t>
      </w:r>
      <w:r w:rsidR="00E41D9C" w:rsidRPr="006A0A3F">
        <w:rPr>
          <w:rFonts w:ascii="Verdana" w:hAnsi="Verdana"/>
          <w:sz w:val="20"/>
          <w:lang w:val="es-CR"/>
        </w:rPr>
        <w:t xml:space="preserve"> Roger </w:t>
      </w:r>
      <w:proofErr w:type="spellStart"/>
      <w:r w:rsidR="00E41D9C" w:rsidRPr="006A0A3F">
        <w:rPr>
          <w:rFonts w:ascii="Verdana" w:hAnsi="Verdana"/>
          <w:sz w:val="20"/>
          <w:lang w:val="es-CR"/>
        </w:rPr>
        <w:t>Capella</w:t>
      </w:r>
      <w:proofErr w:type="spellEnd"/>
      <w:r w:rsidR="00E41D9C" w:rsidRPr="006A0A3F">
        <w:rPr>
          <w:rFonts w:ascii="Verdana" w:hAnsi="Verdana"/>
          <w:sz w:val="20"/>
          <w:lang w:val="es-CR"/>
        </w:rPr>
        <w:t>, entonces Ministro de Salud y Desarrollo Social</w:t>
      </w:r>
      <w:r w:rsidR="00E722CE">
        <w:rPr>
          <w:rFonts w:ascii="Verdana" w:hAnsi="Verdana"/>
          <w:sz w:val="20"/>
          <w:lang w:val="es-CR"/>
        </w:rPr>
        <w:t>,</w:t>
      </w:r>
      <w:r w:rsidR="00E41D9C" w:rsidRPr="006A0A3F">
        <w:rPr>
          <w:rFonts w:ascii="Verdana" w:hAnsi="Verdana"/>
          <w:sz w:val="20"/>
          <w:lang w:val="es-CR"/>
        </w:rPr>
        <w:t xml:space="preserve"> declaró que “un traidor no puede estar en un cargo de confianza y este Estado tiene una política y una correspondencia con el Gobierno que tiene, donde no hay espacio para los traidores. Los que hayan firmado están botados”</w:t>
      </w:r>
      <w:r w:rsidR="00E41D9C" w:rsidRPr="006A0A3F">
        <w:rPr>
          <w:vertAlign w:val="superscript"/>
          <w:lang w:val="es-CR"/>
        </w:rPr>
        <w:footnoteReference w:id="93"/>
      </w:r>
      <w:r w:rsidR="00E41D9C" w:rsidRPr="006A0A3F">
        <w:rPr>
          <w:rFonts w:ascii="Verdana" w:hAnsi="Verdana"/>
          <w:sz w:val="20"/>
          <w:lang w:val="es-CR"/>
        </w:rPr>
        <w:t>. El mismo funcionario declaró que "quienes hayan firmado contra el presid</w:t>
      </w:r>
      <w:r w:rsidR="00C157E7" w:rsidRPr="006A0A3F">
        <w:rPr>
          <w:rFonts w:ascii="Verdana" w:hAnsi="Verdana"/>
          <w:sz w:val="20"/>
          <w:lang w:val="es-CR"/>
        </w:rPr>
        <w:t>ente Chávez" serían despedidos “</w:t>
      </w:r>
      <w:r w:rsidR="00E41D9C" w:rsidRPr="006A0A3F">
        <w:rPr>
          <w:rFonts w:ascii="Verdana" w:hAnsi="Verdana"/>
          <w:sz w:val="20"/>
          <w:lang w:val="es-CR"/>
        </w:rPr>
        <w:t>porque se trata de un acto de terrorismo</w:t>
      </w:r>
      <w:r w:rsidR="00C157E7" w:rsidRPr="006A0A3F">
        <w:rPr>
          <w:rFonts w:ascii="Verdana" w:hAnsi="Verdana"/>
          <w:sz w:val="20"/>
          <w:lang w:val="es-CR"/>
        </w:rPr>
        <w:t>”</w:t>
      </w:r>
      <w:r w:rsidR="00E41D9C" w:rsidRPr="006A0A3F">
        <w:rPr>
          <w:vertAlign w:val="superscript"/>
          <w:lang w:val="es-CR"/>
        </w:rPr>
        <w:footnoteReference w:id="94"/>
      </w:r>
      <w:r w:rsidR="00E41D9C" w:rsidRPr="006A0A3F">
        <w:rPr>
          <w:rFonts w:ascii="Verdana" w:hAnsi="Verdana"/>
          <w:sz w:val="20"/>
          <w:lang w:val="es-CR"/>
        </w:rPr>
        <w:t xml:space="preserve">. </w:t>
      </w:r>
      <w:r w:rsidR="009A1D86" w:rsidRPr="006A0A3F">
        <w:rPr>
          <w:rFonts w:ascii="Verdana" w:hAnsi="Verdana"/>
          <w:sz w:val="20"/>
          <w:lang w:val="es-CR"/>
        </w:rPr>
        <w:t>S</w:t>
      </w:r>
      <w:r w:rsidR="00E41D9C" w:rsidRPr="006A0A3F">
        <w:rPr>
          <w:rFonts w:ascii="Verdana" w:hAnsi="Verdana"/>
          <w:sz w:val="20"/>
          <w:lang w:val="es-CR"/>
        </w:rPr>
        <w:t>egún señaló el Estado, en una declaración posterior dicho Ministro se habría retractado de lo anterior, señalando que “f</w:t>
      </w:r>
      <w:r w:rsidR="00E41D9C" w:rsidRPr="006A0A3F">
        <w:rPr>
          <w:rFonts w:ascii="Verdana" w:hAnsi="Verdana" w:cs="Arial"/>
          <w:sz w:val="20"/>
          <w:lang w:val="es-CR"/>
        </w:rPr>
        <w:t>ue un error decir que se d</w:t>
      </w:r>
      <w:r w:rsidR="009A1D86" w:rsidRPr="006A0A3F">
        <w:rPr>
          <w:rFonts w:ascii="Verdana" w:hAnsi="Verdana" w:cs="Arial"/>
          <w:sz w:val="20"/>
          <w:lang w:val="es-CR"/>
        </w:rPr>
        <w:t xml:space="preserve">espedirá a médicos por </w:t>
      </w:r>
      <w:proofErr w:type="gramStart"/>
      <w:r w:rsidR="009A1D86" w:rsidRPr="006A0A3F">
        <w:rPr>
          <w:rFonts w:ascii="Verdana" w:hAnsi="Verdana" w:cs="Arial"/>
          <w:sz w:val="20"/>
          <w:lang w:val="es-CR"/>
        </w:rPr>
        <w:t>firmar[</w:t>
      </w:r>
      <w:proofErr w:type="gramEnd"/>
      <w:r w:rsidR="009A1D86" w:rsidRPr="006A0A3F">
        <w:rPr>
          <w:rFonts w:ascii="Verdana" w:hAnsi="Verdana" w:cs="Arial"/>
          <w:sz w:val="20"/>
          <w:lang w:val="es-CR"/>
        </w:rPr>
        <w:t>; n]</w:t>
      </w:r>
      <w:r w:rsidR="00E41D9C" w:rsidRPr="006A0A3F">
        <w:rPr>
          <w:rFonts w:ascii="Verdana" w:hAnsi="Verdana" w:cs="Arial"/>
          <w:sz w:val="20"/>
          <w:lang w:val="es-CR"/>
        </w:rPr>
        <w:t>i en el Ministerio ni en los entes que dependen del Estado se han to</w:t>
      </w:r>
      <w:r w:rsidR="009A1D86" w:rsidRPr="006A0A3F">
        <w:rPr>
          <w:rFonts w:ascii="Verdana" w:hAnsi="Verdana" w:cs="Arial"/>
          <w:sz w:val="20"/>
          <w:lang w:val="es-CR"/>
        </w:rPr>
        <w:t>m</w:t>
      </w:r>
      <w:r w:rsidR="00E41D9C" w:rsidRPr="006A0A3F">
        <w:rPr>
          <w:rFonts w:ascii="Verdana" w:hAnsi="Verdana" w:cs="Arial"/>
          <w:sz w:val="20"/>
          <w:lang w:val="es-CR"/>
        </w:rPr>
        <w:t>ado ni se tomarán retaliaciones políticas para quienes tengan una visión diferente a la del Gobierno nacional”, o que “el Estado es absolutamente respetuoso de las posiciones de todos y cada uno de sus trabajadores. De manera que no se puede confundir mi posición particular con la posición del Estado”</w:t>
      </w:r>
      <w:r w:rsidR="00E41D9C" w:rsidRPr="006A0A3F">
        <w:rPr>
          <w:rStyle w:val="FootnoteReference"/>
          <w:rFonts w:ascii="Verdana" w:hAnsi="Verdana" w:cs="Arial"/>
          <w:sz w:val="20"/>
          <w:lang w:val="es-CR"/>
        </w:rPr>
        <w:footnoteReference w:id="95"/>
      </w:r>
      <w:r w:rsidR="00E41D9C" w:rsidRPr="006A0A3F">
        <w:rPr>
          <w:rFonts w:ascii="Verdana" w:hAnsi="Verdana" w:cs="Arial"/>
          <w:sz w:val="20"/>
          <w:lang w:val="es-CR"/>
        </w:rPr>
        <w:t>.</w:t>
      </w:r>
    </w:p>
    <w:p w14:paraId="540EF6AF" w14:textId="544D7934" w:rsidR="00AF631C" w:rsidRPr="006A0A3F" w:rsidRDefault="00AF631C" w:rsidP="008B39C0">
      <w:pPr>
        <w:pStyle w:val="ListParagraph"/>
        <w:numPr>
          <w:ilvl w:val="0"/>
          <w:numId w:val="13"/>
        </w:numPr>
        <w:pBdr>
          <w:top w:val="nil"/>
        </w:pBdr>
        <w:ind w:left="426" w:hanging="284"/>
        <w:jc w:val="both"/>
        <w:rPr>
          <w:rFonts w:ascii="Verdana" w:hAnsi="Verdana"/>
          <w:sz w:val="20"/>
          <w:lang w:val="es-CR"/>
        </w:rPr>
      </w:pPr>
      <w:r w:rsidRPr="006A0A3F">
        <w:rPr>
          <w:rFonts w:ascii="Verdana" w:hAnsi="Verdana"/>
          <w:sz w:val="20"/>
          <w:lang w:val="es-CR"/>
        </w:rPr>
        <w:t>El 24 de marzo de 2004 el Ministro de Comunicación manifestó que “nadie puede ser perseguido […] Hasta ahora no hay ninguna denuncia en el Ministerio del Trabajo en este orden […] Si se llegan a producir esas denuncias, y se demuestran, se tomarán las medidas para que sean subsanados los casos”</w:t>
      </w:r>
      <w:r w:rsidRPr="006A0A3F">
        <w:rPr>
          <w:rStyle w:val="FootnoteReference"/>
          <w:rFonts w:ascii="Verdana" w:hAnsi="Verdana"/>
          <w:sz w:val="20"/>
          <w:lang w:val="es-CR"/>
        </w:rPr>
        <w:footnoteReference w:id="96"/>
      </w:r>
      <w:r w:rsidRPr="006A0A3F">
        <w:rPr>
          <w:rFonts w:ascii="Verdana" w:hAnsi="Verdana"/>
          <w:sz w:val="20"/>
          <w:lang w:val="es-CR"/>
        </w:rPr>
        <w:t>.</w:t>
      </w:r>
    </w:p>
    <w:p w14:paraId="25AA6AF2" w14:textId="3C813379" w:rsidR="00266929" w:rsidRPr="006A0A3F" w:rsidRDefault="00AF631C" w:rsidP="008B39C0">
      <w:pPr>
        <w:pStyle w:val="ListParagraph"/>
        <w:numPr>
          <w:ilvl w:val="0"/>
          <w:numId w:val="13"/>
        </w:numPr>
        <w:pBdr>
          <w:top w:val="nil"/>
        </w:pBdr>
        <w:ind w:left="426" w:hanging="284"/>
        <w:jc w:val="both"/>
        <w:rPr>
          <w:rFonts w:ascii="Verdana" w:hAnsi="Verdana"/>
          <w:sz w:val="20"/>
          <w:lang w:val="es-CR"/>
        </w:rPr>
      </w:pPr>
      <w:r w:rsidRPr="006A0A3F">
        <w:rPr>
          <w:rFonts w:ascii="Verdana" w:hAnsi="Verdana"/>
          <w:sz w:val="20"/>
          <w:lang w:val="es-CR"/>
        </w:rPr>
        <w:t>E</w:t>
      </w:r>
      <w:r w:rsidR="00E41D9C" w:rsidRPr="006A0A3F">
        <w:rPr>
          <w:rFonts w:ascii="Verdana" w:hAnsi="Verdana"/>
          <w:sz w:val="20"/>
          <w:lang w:val="es-CR"/>
        </w:rPr>
        <w:t>l 29 de marzo de 2004 el Ministro de Relaciones Exteriores declaró ante los medios de comunicación lo siguiente: “considero lógico que un funcionario con cargo de confianza que haya firmado contra Hugo Chávez, ponga su cargo a la orden; en caso contrario será transferido a otras funciones dentro de la cancillería. No será despedido, pero ya no podrá ser un cercano colaborador, porque no cree en la política definida por el Presidente”</w:t>
      </w:r>
      <w:r w:rsidR="00E41D9C" w:rsidRPr="006A0A3F">
        <w:rPr>
          <w:rFonts w:ascii="Verdana" w:hAnsi="Verdana"/>
          <w:sz w:val="20"/>
          <w:vertAlign w:val="superscript"/>
          <w:lang w:val="es-CR"/>
        </w:rPr>
        <w:footnoteReference w:id="97"/>
      </w:r>
      <w:r w:rsidR="00E41D9C" w:rsidRPr="006A0A3F">
        <w:rPr>
          <w:rFonts w:ascii="Verdana" w:hAnsi="Verdana"/>
          <w:sz w:val="20"/>
          <w:lang w:val="es-CR"/>
        </w:rPr>
        <w:t xml:space="preserve">. </w:t>
      </w:r>
    </w:p>
    <w:p w14:paraId="5DBA9D01" w14:textId="311EA192" w:rsidR="00E41D9C" w:rsidRPr="006A0A3F" w:rsidRDefault="00266929" w:rsidP="008B39C0">
      <w:pPr>
        <w:pStyle w:val="ListParagraph"/>
        <w:numPr>
          <w:ilvl w:val="0"/>
          <w:numId w:val="13"/>
        </w:numPr>
        <w:pBdr>
          <w:top w:val="nil"/>
        </w:pBdr>
        <w:ind w:left="426" w:hanging="284"/>
        <w:jc w:val="both"/>
        <w:rPr>
          <w:rFonts w:ascii="Verdana" w:hAnsi="Verdana"/>
          <w:sz w:val="20"/>
          <w:lang w:val="es-CR"/>
        </w:rPr>
      </w:pPr>
      <w:r w:rsidRPr="006A0A3F">
        <w:rPr>
          <w:rFonts w:ascii="Verdana" w:hAnsi="Verdana"/>
          <w:sz w:val="20"/>
          <w:lang w:val="es-CR"/>
        </w:rPr>
        <w:t>E</w:t>
      </w:r>
      <w:r w:rsidR="00E41D9C" w:rsidRPr="006A0A3F">
        <w:rPr>
          <w:rFonts w:ascii="Verdana" w:hAnsi="Verdana"/>
          <w:sz w:val="20"/>
          <w:lang w:val="es-CR"/>
        </w:rPr>
        <w:t>l entonces presidente de Petróleos de Venezuela (PDVSA) advirtió que “no causaría extrañeza si los trabajadores que firmaron la petición de convocatoria fueran despedidos de sus empleos”</w:t>
      </w:r>
      <w:r w:rsidR="00E41D9C" w:rsidRPr="006A0A3F">
        <w:rPr>
          <w:rFonts w:ascii="Verdana" w:hAnsi="Verdana"/>
          <w:sz w:val="20"/>
          <w:vertAlign w:val="superscript"/>
          <w:lang w:val="es-CR"/>
        </w:rPr>
        <w:footnoteReference w:id="98"/>
      </w:r>
      <w:r w:rsidR="00E41D9C" w:rsidRPr="006A0A3F">
        <w:rPr>
          <w:rFonts w:ascii="Verdana" w:hAnsi="Verdana"/>
          <w:sz w:val="20"/>
          <w:lang w:val="es-CR"/>
        </w:rPr>
        <w:t xml:space="preserve">. </w:t>
      </w:r>
    </w:p>
    <w:p w14:paraId="5B262766" w14:textId="77777777" w:rsidR="00E41D9C" w:rsidRPr="006A0A3F" w:rsidRDefault="00E41D9C" w:rsidP="0042435D">
      <w:pPr>
        <w:pStyle w:val="ListParagraph"/>
        <w:ind w:left="0"/>
        <w:rPr>
          <w:rFonts w:ascii="Verdana" w:hAnsi="Verdana"/>
          <w:sz w:val="20"/>
          <w:lang w:val="es-CR"/>
        </w:rPr>
      </w:pPr>
    </w:p>
    <w:p w14:paraId="391725D8" w14:textId="401F1E30" w:rsidR="005039D4" w:rsidRPr="006A0A3F" w:rsidRDefault="005039D4"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w:t>
      </w:r>
      <w:r w:rsidR="00E41D9C" w:rsidRPr="006A0A3F">
        <w:rPr>
          <w:rFonts w:ascii="Verdana" w:hAnsi="Verdana"/>
          <w:sz w:val="20"/>
          <w:szCs w:val="20"/>
        </w:rPr>
        <w:t>informe</w:t>
      </w:r>
      <w:r w:rsidRPr="006A0A3F">
        <w:rPr>
          <w:rFonts w:ascii="Verdana" w:hAnsi="Verdana"/>
          <w:sz w:val="20"/>
          <w:szCs w:val="20"/>
        </w:rPr>
        <w:t>s de organizaciones no gubernamentales internacionales</w:t>
      </w:r>
      <w:r w:rsidR="005F495D" w:rsidRPr="006A0A3F">
        <w:rPr>
          <w:rStyle w:val="FootnoteReference"/>
          <w:rFonts w:ascii="Verdana" w:hAnsi="Verdana"/>
          <w:sz w:val="20"/>
          <w:szCs w:val="20"/>
        </w:rPr>
        <w:footnoteReference w:id="99"/>
      </w:r>
      <w:r w:rsidRPr="006A0A3F">
        <w:rPr>
          <w:rFonts w:ascii="Verdana" w:hAnsi="Verdana"/>
          <w:sz w:val="20"/>
          <w:szCs w:val="20"/>
        </w:rPr>
        <w:t xml:space="preserve"> y </w:t>
      </w:r>
      <w:r w:rsidR="00E41D9C" w:rsidRPr="006A0A3F">
        <w:rPr>
          <w:rFonts w:ascii="Verdana" w:hAnsi="Verdana"/>
          <w:sz w:val="20"/>
          <w:szCs w:val="20"/>
        </w:rPr>
        <w:t>venezolana</w:t>
      </w:r>
      <w:r w:rsidRPr="006A0A3F">
        <w:rPr>
          <w:rFonts w:ascii="Verdana" w:hAnsi="Verdana"/>
          <w:sz w:val="20"/>
          <w:szCs w:val="20"/>
        </w:rPr>
        <w:t>s</w:t>
      </w:r>
      <w:r w:rsidR="005F495D" w:rsidRPr="006A0A3F">
        <w:rPr>
          <w:rStyle w:val="FootnoteReference"/>
          <w:rFonts w:ascii="Verdana" w:hAnsi="Verdana"/>
          <w:sz w:val="20"/>
          <w:szCs w:val="20"/>
        </w:rPr>
        <w:footnoteReference w:id="100"/>
      </w:r>
      <w:r w:rsidR="00E02551" w:rsidRPr="006A0A3F">
        <w:rPr>
          <w:rFonts w:ascii="Verdana" w:hAnsi="Verdana"/>
          <w:sz w:val="20"/>
          <w:szCs w:val="20"/>
        </w:rPr>
        <w:t xml:space="preserve">, </w:t>
      </w:r>
      <w:r w:rsidR="00177304" w:rsidRPr="006A0A3F">
        <w:rPr>
          <w:rFonts w:ascii="Verdana" w:hAnsi="Verdana"/>
          <w:sz w:val="20"/>
          <w:szCs w:val="20"/>
        </w:rPr>
        <w:t xml:space="preserve">así como </w:t>
      </w:r>
      <w:r w:rsidR="00266929" w:rsidRPr="006A0A3F">
        <w:rPr>
          <w:rFonts w:ascii="Verdana" w:hAnsi="Verdana"/>
          <w:sz w:val="20"/>
          <w:szCs w:val="20"/>
        </w:rPr>
        <w:t xml:space="preserve">en </w:t>
      </w:r>
      <w:r w:rsidR="00E02551" w:rsidRPr="006A0A3F">
        <w:rPr>
          <w:rFonts w:ascii="Verdana" w:hAnsi="Verdana"/>
          <w:sz w:val="20"/>
          <w:szCs w:val="20"/>
        </w:rPr>
        <w:t>declaraciones o reportajes publicados en medios de comunicación</w:t>
      </w:r>
      <w:r w:rsidR="008971C9" w:rsidRPr="006A0A3F">
        <w:rPr>
          <w:rFonts w:ascii="Verdana" w:hAnsi="Verdana"/>
          <w:sz w:val="20"/>
          <w:szCs w:val="20"/>
          <w:vertAlign w:val="superscript"/>
        </w:rPr>
        <w:footnoteReference w:id="101"/>
      </w:r>
      <w:r w:rsidR="00E02551" w:rsidRPr="006A0A3F">
        <w:rPr>
          <w:rFonts w:ascii="Verdana" w:hAnsi="Verdana"/>
          <w:sz w:val="20"/>
          <w:szCs w:val="20"/>
        </w:rPr>
        <w:t xml:space="preserve"> y </w:t>
      </w:r>
      <w:r w:rsidR="00266929" w:rsidRPr="006A0A3F">
        <w:rPr>
          <w:rFonts w:ascii="Verdana" w:hAnsi="Verdana"/>
          <w:sz w:val="20"/>
          <w:szCs w:val="20"/>
        </w:rPr>
        <w:t xml:space="preserve">en </w:t>
      </w:r>
      <w:r w:rsidR="00E02551" w:rsidRPr="006A0A3F">
        <w:rPr>
          <w:rFonts w:ascii="Verdana" w:hAnsi="Verdana"/>
          <w:sz w:val="20"/>
          <w:szCs w:val="20"/>
        </w:rPr>
        <w:lastRenderedPageBreak/>
        <w:t>testimonios rendidos ante la Corte</w:t>
      </w:r>
      <w:r w:rsidR="000532E0" w:rsidRPr="006A0A3F">
        <w:rPr>
          <w:rFonts w:ascii="Verdana" w:hAnsi="Verdana"/>
          <w:sz w:val="20"/>
          <w:szCs w:val="20"/>
        </w:rPr>
        <w:t xml:space="preserve"> fueron referidos</w:t>
      </w:r>
      <w:r w:rsidR="00266929" w:rsidRPr="006A0A3F">
        <w:rPr>
          <w:rFonts w:ascii="Verdana" w:hAnsi="Verdana"/>
          <w:sz w:val="20"/>
          <w:szCs w:val="20"/>
        </w:rPr>
        <w:t xml:space="preserve"> o </w:t>
      </w:r>
      <w:r w:rsidR="000532E0" w:rsidRPr="006A0A3F">
        <w:rPr>
          <w:rFonts w:ascii="Verdana" w:hAnsi="Verdana"/>
          <w:sz w:val="20"/>
          <w:szCs w:val="20"/>
        </w:rPr>
        <w:t>documentados</w:t>
      </w:r>
      <w:r w:rsidR="00E41D9C" w:rsidRPr="006A0A3F">
        <w:rPr>
          <w:rFonts w:ascii="Verdana" w:hAnsi="Verdana"/>
          <w:sz w:val="20"/>
          <w:szCs w:val="20"/>
        </w:rPr>
        <w:t xml:space="preserve"> casos de supuestos despidos de trabajadores o funcionarios públicos motivados en </w:t>
      </w:r>
      <w:r w:rsidR="005D42DD" w:rsidRPr="006A0A3F">
        <w:rPr>
          <w:rFonts w:ascii="Verdana" w:hAnsi="Verdana"/>
          <w:sz w:val="20"/>
          <w:szCs w:val="20"/>
        </w:rPr>
        <w:t xml:space="preserve">su </w:t>
      </w:r>
      <w:r w:rsidR="00E41D9C" w:rsidRPr="006A0A3F">
        <w:rPr>
          <w:rFonts w:ascii="Verdana" w:hAnsi="Verdana"/>
          <w:sz w:val="20"/>
          <w:szCs w:val="20"/>
        </w:rPr>
        <w:t>participación en la</w:t>
      </w:r>
      <w:r w:rsidR="00E52DEF" w:rsidRPr="006A0A3F">
        <w:rPr>
          <w:rFonts w:ascii="Verdana" w:hAnsi="Verdana"/>
          <w:sz w:val="20"/>
          <w:szCs w:val="20"/>
        </w:rPr>
        <w:t>s</w:t>
      </w:r>
      <w:r w:rsidR="00E41D9C" w:rsidRPr="006A0A3F">
        <w:rPr>
          <w:rFonts w:ascii="Verdana" w:hAnsi="Verdana"/>
          <w:sz w:val="20"/>
          <w:szCs w:val="20"/>
        </w:rPr>
        <w:t xml:space="preserve"> sol</w:t>
      </w:r>
      <w:r w:rsidRPr="006A0A3F">
        <w:rPr>
          <w:rFonts w:ascii="Verdana" w:hAnsi="Verdana"/>
          <w:sz w:val="20"/>
          <w:szCs w:val="20"/>
        </w:rPr>
        <w:t>icitud</w:t>
      </w:r>
      <w:r w:rsidR="00E52DEF" w:rsidRPr="006A0A3F">
        <w:rPr>
          <w:rFonts w:ascii="Verdana" w:hAnsi="Verdana"/>
          <w:sz w:val="20"/>
          <w:szCs w:val="20"/>
        </w:rPr>
        <w:t>es</w:t>
      </w:r>
      <w:r w:rsidRPr="006A0A3F">
        <w:rPr>
          <w:rFonts w:ascii="Verdana" w:hAnsi="Verdana"/>
          <w:sz w:val="20"/>
          <w:szCs w:val="20"/>
        </w:rPr>
        <w:t xml:space="preserve"> de referendo</w:t>
      </w:r>
      <w:r w:rsidR="00E52DEF" w:rsidRPr="006A0A3F">
        <w:rPr>
          <w:rFonts w:ascii="Verdana" w:hAnsi="Verdana"/>
          <w:sz w:val="20"/>
          <w:szCs w:val="20"/>
        </w:rPr>
        <w:t>s</w:t>
      </w:r>
      <w:r w:rsidRPr="006A0A3F">
        <w:rPr>
          <w:rFonts w:ascii="Verdana" w:hAnsi="Verdana"/>
          <w:sz w:val="20"/>
          <w:szCs w:val="20"/>
        </w:rPr>
        <w:t>:</w:t>
      </w:r>
      <w:r w:rsidR="00E41D9C" w:rsidRPr="006A0A3F">
        <w:rPr>
          <w:rFonts w:ascii="Verdana" w:hAnsi="Verdana"/>
          <w:sz w:val="20"/>
          <w:szCs w:val="20"/>
        </w:rPr>
        <w:t xml:space="preserve"> </w:t>
      </w:r>
    </w:p>
    <w:p w14:paraId="6A456A9D" w14:textId="77777777" w:rsidR="005039D4" w:rsidRPr="006A0A3F" w:rsidRDefault="005039D4" w:rsidP="005039D4">
      <w:pPr>
        <w:pStyle w:val="ListParagraph"/>
        <w:pBdr>
          <w:top w:val="nil"/>
        </w:pBdr>
        <w:jc w:val="both"/>
        <w:rPr>
          <w:rFonts w:ascii="Verdana" w:hAnsi="Verdana"/>
          <w:sz w:val="20"/>
          <w:lang w:val="es-CR"/>
        </w:rPr>
      </w:pPr>
    </w:p>
    <w:p w14:paraId="7F293DDE" w14:textId="01D78099" w:rsidR="00266929" w:rsidRPr="006A0A3F" w:rsidRDefault="00266929" w:rsidP="008B39C0">
      <w:pPr>
        <w:pStyle w:val="ListParagraph"/>
        <w:numPr>
          <w:ilvl w:val="0"/>
          <w:numId w:val="12"/>
        </w:numPr>
        <w:pBdr>
          <w:top w:val="nil"/>
        </w:pBdr>
        <w:ind w:left="426" w:hanging="284"/>
        <w:jc w:val="both"/>
        <w:rPr>
          <w:rFonts w:ascii="Verdana" w:hAnsi="Verdana"/>
          <w:sz w:val="20"/>
          <w:lang w:val="es-CR"/>
        </w:rPr>
      </w:pPr>
      <w:r w:rsidRPr="006A0A3F">
        <w:rPr>
          <w:rFonts w:ascii="Verdana" w:hAnsi="Verdana"/>
          <w:sz w:val="20"/>
          <w:lang w:val="es-CR"/>
        </w:rPr>
        <w:t xml:space="preserve">En marzo de 2004 Froilán Barrios, miembro del comité ejecutivo de la Confederación de Trabajadores de Venezuela, denunció que la industria petrolera “tiene una lista de 1909 trabajadores entre activos y jubilados sobre quienes recae la amenaza de una eventual remoción o traslado de cargo por haber participado en el </w:t>
      </w:r>
      <w:proofErr w:type="spellStart"/>
      <w:r w:rsidRPr="006A0A3F">
        <w:rPr>
          <w:rFonts w:ascii="Verdana" w:hAnsi="Verdana"/>
          <w:sz w:val="20"/>
          <w:lang w:val="es-CR"/>
        </w:rPr>
        <w:t>reafirmazo</w:t>
      </w:r>
      <w:proofErr w:type="spellEnd"/>
      <w:r w:rsidRPr="006A0A3F">
        <w:rPr>
          <w:rFonts w:ascii="Verdana" w:hAnsi="Verdana"/>
          <w:sz w:val="20"/>
          <w:lang w:val="es-CR"/>
        </w:rPr>
        <w:t>”</w:t>
      </w:r>
      <w:r w:rsidRPr="006A0A3F">
        <w:rPr>
          <w:rFonts w:ascii="Verdana" w:hAnsi="Verdana"/>
          <w:sz w:val="20"/>
          <w:vertAlign w:val="superscript"/>
          <w:lang w:val="es-CR"/>
        </w:rPr>
        <w:footnoteReference w:id="102"/>
      </w:r>
      <w:r w:rsidR="000532E0" w:rsidRPr="006A0A3F">
        <w:rPr>
          <w:rFonts w:ascii="Verdana" w:hAnsi="Verdana"/>
          <w:sz w:val="20"/>
          <w:lang w:val="es-CR"/>
        </w:rPr>
        <w:t>.</w:t>
      </w:r>
    </w:p>
    <w:p w14:paraId="1F907285" w14:textId="45191F67" w:rsidR="00370500" w:rsidRPr="006A0A3F" w:rsidRDefault="00FF6E31" w:rsidP="008B39C0">
      <w:pPr>
        <w:pStyle w:val="ListParagraph"/>
        <w:numPr>
          <w:ilvl w:val="0"/>
          <w:numId w:val="12"/>
        </w:numPr>
        <w:pBdr>
          <w:top w:val="nil"/>
        </w:pBdr>
        <w:ind w:left="426" w:hanging="284"/>
        <w:jc w:val="both"/>
        <w:rPr>
          <w:rFonts w:ascii="Verdana" w:hAnsi="Verdana"/>
          <w:sz w:val="20"/>
          <w:lang w:val="es-CR"/>
        </w:rPr>
      </w:pPr>
      <w:r w:rsidRPr="006A0A3F">
        <w:rPr>
          <w:rFonts w:ascii="Verdana" w:hAnsi="Verdana"/>
          <w:sz w:val="20"/>
          <w:lang w:val="es-CR"/>
        </w:rPr>
        <w:t>Habrían sido despedidos 80</w:t>
      </w:r>
      <w:r w:rsidR="005B709E" w:rsidRPr="006A0A3F">
        <w:rPr>
          <w:rFonts w:ascii="Verdana" w:hAnsi="Verdana"/>
          <w:sz w:val="20"/>
          <w:lang w:val="es-CR"/>
        </w:rPr>
        <w:t xml:space="preserve"> </w:t>
      </w:r>
      <w:r w:rsidR="00E41D9C" w:rsidRPr="006A0A3F">
        <w:rPr>
          <w:rFonts w:ascii="Verdana" w:hAnsi="Verdana"/>
          <w:sz w:val="20"/>
          <w:lang w:val="es-CR"/>
        </w:rPr>
        <w:t xml:space="preserve">empleados públicos </w:t>
      </w:r>
      <w:r w:rsidR="005B709E" w:rsidRPr="006A0A3F">
        <w:rPr>
          <w:rFonts w:ascii="Verdana" w:hAnsi="Verdana"/>
          <w:sz w:val="20"/>
          <w:lang w:val="es-CR"/>
        </w:rPr>
        <w:t>del Fondo de Garantías de Depósitos y Protección Bancaria</w:t>
      </w:r>
      <w:r w:rsidR="00E41D9C" w:rsidRPr="006A0A3F">
        <w:rPr>
          <w:rFonts w:ascii="Verdana" w:hAnsi="Verdana"/>
          <w:sz w:val="20"/>
          <w:lang w:val="es-CR"/>
        </w:rPr>
        <w:t xml:space="preserve">, supuestamente por estar incluidos en “una lista, </w:t>
      </w:r>
      <w:r w:rsidR="008421D1" w:rsidRPr="006A0A3F">
        <w:rPr>
          <w:rFonts w:ascii="Verdana" w:hAnsi="Verdana"/>
          <w:sz w:val="20"/>
          <w:lang w:val="es-CR"/>
        </w:rPr>
        <w:t>con base</w:t>
      </w:r>
      <w:r w:rsidR="00E41D9C" w:rsidRPr="006A0A3F">
        <w:rPr>
          <w:rFonts w:ascii="Verdana" w:hAnsi="Verdana"/>
          <w:sz w:val="20"/>
          <w:lang w:val="es-CR"/>
        </w:rPr>
        <w:t xml:space="preserve"> en parte </w:t>
      </w:r>
      <w:r w:rsidR="008421D1" w:rsidRPr="006A0A3F">
        <w:rPr>
          <w:rFonts w:ascii="Verdana" w:hAnsi="Verdana"/>
          <w:sz w:val="20"/>
          <w:lang w:val="es-CR"/>
        </w:rPr>
        <w:t>en</w:t>
      </w:r>
      <w:r w:rsidR="00E41D9C" w:rsidRPr="006A0A3F">
        <w:rPr>
          <w:rFonts w:ascii="Verdana" w:hAnsi="Verdana"/>
          <w:sz w:val="20"/>
          <w:lang w:val="es-CR"/>
        </w:rPr>
        <w:t xml:space="preserve"> la lista </w:t>
      </w:r>
      <w:proofErr w:type="spellStart"/>
      <w:r w:rsidR="00E41D9C" w:rsidRPr="006A0A3F">
        <w:rPr>
          <w:rFonts w:ascii="Verdana" w:hAnsi="Verdana"/>
          <w:sz w:val="20"/>
          <w:lang w:val="es-CR"/>
        </w:rPr>
        <w:t>Tascón</w:t>
      </w:r>
      <w:proofErr w:type="spellEnd"/>
      <w:r w:rsidR="00E41D9C" w:rsidRPr="006A0A3F">
        <w:rPr>
          <w:rFonts w:ascii="Verdana" w:hAnsi="Verdana"/>
          <w:sz w:val="20"/>
          <w:lang w:val="es-CR"/>
        </w:rPr>
        <w:t>, que circuló dentro de la institución”</w:t>
      </w:r>
      <w:r w:rsidR="00266929" w:rsidRPr="006A0A3F">
        <w:rPr>
          <w:rFonts w:ascii="Verdana" w:hAnsi="Verdana"/>
          <w:sz w:val="20"/>
          <w:lang w:val="es-CR"/>
        </w:rPr>
        <w:t xml:space="preserve">. </w:t>
      </w:r>
      <w:r w:rsidR="00BE5B3B" w:rsidRPr="006A0A3F">
        <w:rPr>
          <w:rFonts w:ascii="Verdana" w:hAnsi="Verdana"/>
          <w:sz w:val="20"/>
          <w:lang w:val="es-CR"/>
        </w:rPr>
        <w:t>A</w:t>
      </w:r>
      <w:r w:rsidR="00E41D9C" w:rsidRPr="006A0A3F">
        <w:rPr>
          <w:rFonts w:ascii="Verdana" w:hAnsi="Verdana"/>
          <w:sz w:val="20"/>
          <w:lang w:val="es-CR"/>
        </w:rPr>
        <w:t xml:space="preserve">lgunos empleados habrían declarado que en el listado que se distribuyó dentro de la organización aparecía el nombre de cada empleado, su perfil político (desde </w:t>
      </w:r>
      <w:r w:rsidR="00404A4C" w:rsidRPr="006A0A3F">
        <w:rPr>
          <w:rFonts w:ascii="Verdana" w:hAnsi="Verdana"/>
          <w:sz w:val="20"/>
          <w:lang w:val="es-CR"/>
        </w:rPr>
        <w:t>“</w:t>
      </w:r>
      <w:r w:rsidR="00E41D9C" w:rsidRPr="006A0A3F">
        <w:rPr>
          <w:rFonts w:ascii="Verdana" w:hAnsi="Verdana"/>
          <w:sz w:val="20"/>
          <w:lang w:val="es-CR"/>
        </w:rPr>
        <w:t>1</w:t>
      </w:r>
      <w:r w:rsidR="00404A4C" w:rsidRPr="006A0A3F">
        <w:rPr>
          <w:rFonts w:ascii="Verdana" w:hAnsi="Verdana"/>
          <w:sz w:val="20"/>
          <w:lang w:val="es-CR"/>
        </w:rPr>
        <w:t>”</w:t>
      </w:r>
      <w:r w:rsidR="00E41D9C" w:rsidRPr="006A0A3F">
        <w:rPr>
          <w:rFonts w:ascii="Verdana" w:hAnsi="Verdana"/>
          <w:sz w:val="20"/>
          <w:lang w:val="es-CR"/>
        </w:rPr>
        <w:t xml:space="preserve"> para</w:t>
      </w:r>
      <w:r w:rsidR="00404A4C" w:rsidRPr="006A0A3F">
        <w:rPr>
          <w:rFonts w:ascii="Verdana" w:hAnsi="Verdana"/>
          <w:sz w:val="20"/>
          <w:lang w:val="es-CR"/>
        </w:rPr>
        <w:t xml:space="preserve"> chavistas militantes hasta</w:t>
      </w:r>
      <w:r w:rsidR="00E41D9C" w:rsidRPr="006A0A3F">
        <w:rPr>
          <w:rFonts w:ascii="Verdana" w:hAnsi="Verdana"/>
          <w:sz w:val="20"/>
          <w:lang w:val="es-CR"/>
        </w:rPr>
        <w:t xml:space="preserve"> </w:t>
      </w:r>
      <w:r w:rsidR="00404A4C" w:rsidRPr="006A0A3F">
        <w:rPr>
          <w:rFonts w:ascii="Verdana" w:hAnsi="Verdana"/>
          <w:sz w:val="20"/>
          <w:lang w:val="es-CR"/>
        </w:rPr>
        <w:t>“</w:t>
      </w:r>
      <w:r w:rsidR="00E41D9C" w:rsidRPr="006A0A3F">
        <w:rPr>
          <w:rFonts w:ascii="Verdana" w:hAnsi="Verdana"/>
          <w:sz w:val="20"/>
          <w:lang w:val="es-CR"/>
        </w:rPr>
        <w:t>6</w:t>
      </w:r>
      <w:r w:rsidR="00404A4C" w:rsidRPr="006A0A3F">
        <w:rPr>
          <w:rFonts w:ascii="Verdana" w:hAnsi="Verdana"/>
          <w:sz w:val="20"/>
          <w:lang w:val="es-CR"/>
        </w:rPr>
        <w:t>”</w:t>
      </w:r>
      <w:r w:rsidR="00E41D9C" w:rsidRPr="006A0A3F">
        <w:rPr>
          <w:rFonts w:ascii="Verdana" w:hAnsi="Verdana"/>
          <w:sz w:val="20"/>
          <w:lang w:val="es-CR"/>
        </w:rPr>
        <w:t xml:space="preserve"> para oposición política radical) y una inicial indicando </w:t>
      </w:r>
      <w:r w:rsidR="005F495D" w:rsidRPr="006A0A3F">
        <w:rPr>
          <w:rFonts w:ascii="Verdana" w:hAnsi="Verdana"/>
          <w:sz w:val="20"/>
          <w:lang w:val="es-CR"/>
        </w:rPr>
        <w:t xml:space="preserve">si el empleado había firmado las solicitud </w:t>
      </w:r>
      <w:r w:rsidR="00E41D9C" w:rsidRPr="006A0A3F">
        <w:rPr>
          <w:rFonts w:ascii="Verdana" w:hAnsi="Verdana"/>
          <w:sz w:val="20"/>
          <w:lang w:val="es-CR"/>
        </w:rPr>
        <w:t xml:space="preserve">de referendo consultivo o revocatorios, según los datos de la lista </w:t>
      </w:r>
      <w:proofErr w:type="spellStart"/>
      <w:r w:rsidR="00E41D9C" w:rsidRPr="006A0A3F">
        <w:rPr>
          <w:rFonts w:ascii="Verdana" w:hAnsi="Verdana"/>
          <w:sz w:val="20"/>
          <w:lang w:val="es-CR"/>
        </w:rPr>
        <w:t>Tascón</w:t>
      </w:r>
      <w:proofErr w:type="spellEnd"/>
      <w:r w:rsidR="00E41D9C" w:rsidRPr="006A0A3F">
        <w:rPr>
          <w:rFonts w:ascii="Verdana" w:hAnsi="Verdana"/>
          <w:sz w:val="20"/>
          <w:lang w:val="es-CR"/>
        </w:rPr>
        <w:t>.</w:t>
      </w:r>
      <w:r w:rsidR="00266929" w:rsidRPr="006A0A3F">
        <w:rPr>
          <w:rFonts w:ascii="Verdana" w:hAnsi="Verdana"/>
          <w:sz w:val="20"/>
          <w:lang w:val="es-CR"/>
        </w:rPr>
        <w:t xml:space="preserve"> Según</w:t>
      </w:r>
      <w:r w:rsidR="00E41D9C" w:rsidRPr="006A0A3F">
        <w:rPr>
          <w:rFonts w:ascii="Verdana" w:hAnsi="Verdana"/>
          <w:sz w:val="20"/>
          <w:lang w:val="es-CR"/>
        </w:rPr>
        <w:t xml:space="preserve"> empleados cesados </w:t>
      </w:r>
      <w:r w:rsidR="00B93A00" w:rsidRPr="006A0A3F">
        <w:rPr>
          <w:rFonts w:ascii="Verdana" w:hAnsi="Verdana"/>
          <w:sz w:val="20"/>
          <w:lang w:val="es-CR"/>
        </w:rPr>
        <w:t xml:space="preserve">de </w:t>
      </w:r>
      <w:r w:rsidR="00E41D9C" w:rsidRPr="006A0A3F">
        <w:rPr>
          <w:rFonts w:ascii="Verdana" w:hAnsi="Verdana"/>
          <w:sz w:val="20"/>
          <w:lang w:val="es-CR"/>
        </w:rPr>
        <w:t>sus cargos, todos ellos se encontraban clasificados como opositores al gobierno en la lista que circuló</w:t>
      </w:r>
      <w:r w:rsidR="00E41D9C" w:rsidRPr="006A0A3F">
        <w:rPr>
          <w:rFonts w:ascii="Verdana" w:hAnsi="Verdana"/>
          <w:sz w:val="20"/>
          <w:vertAlign w:val="superscript"/>
          <w:lang w:val="es-CR"/>
        </w:rPr>
        <w:footnoteReference w:id="103"/>
      </w:r>
      <w:r w:rsidR="00E41D9C" w:rsidRPr="006A0A3F">
        <w:rPr>
          <w:rFonts w:ascii="Verdana" w:hAnsi="Verdana"/>
          <w:sz w:val="20"/>
          <w:lang w:val="es-CR"/>
        </w:rPr>
        <w:t xml:space="preserve">. Según información </w:t>
      </w:r>
      <w:r w:rsidR="00E52DEF" w:rsidRPr="006A0A3F">
        <w:rPr>
          <w:rFonts w:ascii="Verdana" w:hAnsi="Verdana"/>
          <w:sz w:val="20"/>
          <w:lang w:val="es-CR"/>
        </w:rPr>
        <w:t>publicada en la prensa</w:t>
      </w:r>
      <w:r w:rsidR="00E41D9C" w:rsidRPr="006A0A3F">
        <w:rPr>
          <w:rFonts w:ascii="Verdana" w:hAnsi="Verdana"/>
          <w:sz w:val="20"/>
          <w:lang w:val="es-CR"/>
        </w:rPr>
        <w:t xml:space="preserve">, el Director de dicha institución declaró, al referirse a los despidos, que “se trataba de funcionarios de libre </w:t>
      </w:r>
      <w:r w:rsidR="00E41D9C" w:rsidRPr="006A0A3F">
        <w:rPr>
          <w:rFonts w:ascii="Verdana" w:hAnsi="Verdana"/>
          <w:sz w:val="20"/>
          <w:lang w:val="es-CR"/>
        </w:rPr>
        <w:lastRenderedPageBreak/>
        <w:t>remoción y que venían arrastrando una cultura no cónsona con el proyecto que está contemplado para el desarrollo socioeconómico”</w:t>
      </w:r>
      <w:r w:rsidR="00E41D9C" w:rsidRPr="006A0A3F">
        <w:rPr>
          <w:rFonts w:ascii="Verdana" w:hAnsi="Verdana"/>
          <w:sz w:val="20"/>
          <w:vertAlign w:val="superscript"/>
          <w:lang w:val="es-CR"/>
        </w:rPr>
        <w:footnoteReference w:id="104"/>
      </w:r>
      <w:r w:rsidR="00E52DEF" w:rsidRPr="006A0A3F">
        <w:rPr>
          <w:rFonts w:ascii="Verdana" w:hAnsi="Verdana"/>
          <w:sz w:val="20"/>
          <w:lang w:val="es-CR"/>
        </w:rPr>
        <w:t>.</w:t>
      </w:r>
    </w:p>
    <w:p w14:paraId="6F0491F7" w14:textId="50849512" w:rsidR="00AD4723" w:rsidRPr="006A0A3F" w:rsidRDefault="00370500" w:rsidP="008B39C0">
      <w:pPr>
        <w:pStyle w:val="ListParagraph"/>
        <w:numPr>
          <w:ilvl w:val="0"/>
          <w:numId w:val="12"/>
        </w:numPr>
        <w:pBdr>
          <w:top w:val="nil"/>
        </w:pBdr>
        <w:ind w:left="426" w:hanging="284"/>
        <w:jc w:val="both"/>
        <w:rPr>
          <w:rFonts w:ascii="Verdana" w:hAnsi="Verdana"/>
          <w:sz w:val="20"/>
          <w:lang w:val="es-CR"/>
        </w:rPr>
      </w:pPr>
      <w:r w:rsidRPr="006A0A3F">
        <w:rPr>
          <w:rFonts w:ascii="Verdana" w:hAnsi="Verdana"/>
          <w:sz w:val="20"/>
          <w:lang w:val="es-CR"/>
        </w:rPr>
        <w:t xml:space="preserve">Se reportaron otras denuncias de represalias similares </w:t>
      </w:r>
      <w:r w:rsidR="0003633D" w:rsidRPr="006A0A3F">
        <w:rPr>
          <w:rFonts w:ascii="Verdana" w:hAnsi="Verdana"/>
          <w:sz w:val="20"/>
          <w:lang w:val="es-CR"/>
        </w:rPr>
        <w:t xml:space="preserve">contra funcionarios </w:t>
      </w:r>
      <w:r w:rsidRPr="006A0A3F">
        <w:rPr>
          <w:rFonts w:ascii="Verdana" w:hAnsi="Verdana"/>
          <w:sz w:val="20"/>
          <w:lang w:val="es-CR"/>
        </w:rPr>
        <w:t>en otras instituciones estatales</w:t>
      </w:r>
      <w:r w:rsidR="00C814E1" w:rsidRPr="006A0A3F">
        <w:rPr>
          <w:rFonts w:ascii="Verdana" w:hAnsi="Verdana"/>
          <w:sz w:val="20"/>
          <w:lang w:val="es-CR"/>
        </w:rPr>
        <w:t>, tales</w:t>
      </w:r>
      <w:r w:rsidRPr="006A0A3F">
        <w:rPr>
          <w:rFonts w:ascii="Verdana" w:hAnsi="Verdana"/>
          <w:sz w:val="20"/>
          <w:lang w:val="es-CR"/>
        </w:rPr>
        <w:t xml:space="preserve"> como el Centro Nacional de Tecnologías de Información, Gobernación del Estado Miranda, Ministerio para la Economía Popular, el Instituto de Previsión y Asistencia Social para el Personal del Ministerio de Educación, Dirección de Educación de Miranda, y el Consejo Nacional Electoral</w:t>
      </w:r>
      <w:r w:rsidRPr="006A0A3F">
        <w:rPr>
          <w:rFonts w:ascii="Verdana" w:hAnsi="Verdana"/>
          <w:sz w:val="20"/>
          <w:vertAlign w:val="superscript"/>
          <w:lang w:val="es-CR"/>
        </w:rPr>
        <w:footnoteReference w:id="105"/>
      </w:r>
      <w:r w:rsidRPr="006A0A3F">
        <w:rPr>
          <w:rFonts w:ascii="Verdana" w:hAnsi="Verdana"/>
          <w:sz w:val="20"/>
          <w:lang w:val="es-CR"/>
        </w:rPr>
        <w:t>; así como en la Defensoría del Pueblo</w:t>
      </w:r>
      <w:r w:rsidRPr="006A0A3F">
        <w:rPr>
          <w:rStyle w:val="FootnoteReference"/>
          <w:rFonts w:ascii="Verdana" w:hAnsi="Verdana"/>
          <w:sz w:val="20"/>
          <w:lang w:val="es-CR"/>
        </w:rPr>
        <w:footnoteReference w:id="106"/>
      </w:r>
      <w:r w:rsidRPr="006A0A3F">
        <w:rPr>
          <w:rFonts w:ascii="Verdana" w:hAnsi="Verdana"/>
          <w:sz w:val="20"/>
          <w:lang w:val="es-CR"/>
        </w:rPr>
        <w:t xml:space="preserve">, </w:t>
      </w:r>
      <w:r w:rsidR="00D93C40" w:rsidRPr="006A0A3F">
        <w:rPr>
          <w:rFonts w:ascii="Verdana" w:hAnsi="Verdana"/>
          <w:sz w:val="20"/>
          <w:lang w:val="es-CR"/>
        </w:rPr>
        <w:t>Ministerio de Salud, “</w:t>
      </w:r>
      <w:r w:rsidR="009941EC">
        <w:rPr>
          <w:rFonts w:ascii="Verdana" w:hAnsi="Verdana"/>
          <w:sz w:val="20"/>
          <w:lang w:val="es-CR"/>
        </w:rPr>
        <w:t>SENIAT</w:t>
      </w:r>
      <w:r w:rsidR="00D93C40" w:rsidRPr="006A0A3F">
        <w:rPr>
          <w:rFonts w:ascii="Verdana" w:hAnsi="Verdana"/>
          <w:sz w:val="20"/>
          <w:lang w:val="es-CR"/>
        </w:rPr>
        <w:t>”, gobernaciones, alcaldías y Ministerio de Relaciones Exteriores</w:t>
      </w:r>
      <w:r w:rsidR="00D93C40" w:rsidRPr="006A0A3F">
        <w:rPr>
          <w:rStyle w:val="FootnoteReference"/>
          <w:rFonts w:ascii="Verdana" w:hAnsi="Verdana"/>
          <w:sz w:val="20"/>
          <w:lang w:val="es-CR"/>
        </w:rPr>
        <w:footnoteReference w:id="107"/>
      </w:r>
      <w:r w:rsidR="00801801" w:rsidRPr="006A0A3F">
        <w:rPr>
          <w:rFonts w:ascii="Verdana" w:hAnsi="Verdana"/>
          <w:sz w:val="20"/>
          <w:lang w:val="es-CR"/>
        </w:rPr>
        <w:t xml:space="preserve">; la Fuerza Armada Nacional y </w:t>
      </w:r>
      <w:r w:rsidR="00DB5EE5" w:rsidRPr="006A0A3F">
        <w:rPr>
          <w:rFonts w:ascii="Verdana" w:hAnsi="Verdana"/>
          <w:sz w:val="20"/>
          <w:lang w:val="es-CR"/>
        </w:rPr>
        <w:t xml:space="preserve">la entidad llamada </w:t>
      </w:r>
      <w:r w:rsidR="00801801" w:rsidRPr="006A0A3F">
        <w:rPr>
          <w:rFonts w:ascii="Verdana" w:hAnsi="Verdana"/>
          <w:sz w:val="20"/>
          <w:lang w:val="es-CR"/>
        </w:rPr>
        <w:t>Protección Civil y Administración de Desastres</w:t>
      </w:r>
      <w:r w:rsidR="00801801" w:rsidRPr="006A0A3F">
        <w:rPr>
          <w:rStyle w:val="FootnoteReference"/>
          <w:rFonts w:ascii="Verdana" w:hAnsi="Verdana"/>
          <w:sz w:val="20"/>
          <w:lang w:val="es-CR"/>
        </w:rPr>
        <w:footnoteReference w:id="108"/>
      </w:r>
      <w:r w:rsidR="00801801" w:rsidRPr="006A0A3F">
        <w:rPr>
          <w:rFonts w:ascii="Verdana" w:hAnsi="Verdana"/>
          <w:sz w:val="20"/>
          <w:lang w:val="es-CR"/>
        </w:rPr>
        <w:t>.</w:t>
      </w:r>
    </w:p>
    <w:p w14:paraId="30725C07" w14:textId="77777777" w:rsidR="00A35053" w:rsidRPr="006A0A3F" w:rsidRDefault="00A35053" w:rsidP="00A35053">
      <w:pPr>
        <w:pBdr>
          <w:top w:val="nil"/>
        </w:pBdr>
        <w:spacing w:after="0" w:line="240" w:lineRule="auto"/>
        <w:jc w:val="both"/>
        <w:rPr>
          <w:rFonts w:ascii="Verdana" w:hAnsi="Verdana"/>
          <w:sz w:val="20"/>
          <w:szCs w:val="20"/>
        </w:rPr>
      </w:pPr>
    </w:p>
    <w:p w14:paraId="319039C5" w14:textId="09D5E596" w:rsidR="00E475AE" w:rsidRPr="006A0A3F" w:rsidRDefault="00AD4723" w:rsidP="00E475A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Organizaciones</w:t>
      </w:r>
      <w:r w:rsidRPr="006A0A3F">
        <w:rPr>
          <w:rFonts w:ascii="Verdana" w:hAnsi="Verdana"/>
          <w:sz w:val="20"/>
        </w:rPr>
        <w:t xml:space="preserve"> civiles</w:t>
      </w:r>
      <w:r w:rsidR="0039371C" w:rsidRPr="006A0A3F">
        <w:rPr>
          <w:rFonts w:ascii="Verdana" w:hAnsi="Verdana"/>
          <w:sz w:val="20"/>
        </w:rPr>
        <w:t xml:space="preserve"> (no gubernamentales)</w:t>
      </w:r>
      <w:r w:rsidRPr="006A0A3F">
        <w:rPr>
          <w:rFonts w:ascii="Verdana" w:hAnsi="Verdana"/>
          <w:sz w:val="20"/>
        </w:rPr>
        <w:t xml:space="preserve"> y sindicales, así como periodistas, </w:t>
      </w:r>
      <w:r w:rsidR="00E722CE">
        <w:rPr>
          <w:rFonts w:ascii="Verdana" w:hAnsi="Verdana"/>
          <w:sz w:val="20"/>
        </w:rPr>
        <w:t>habrían sido informado</w:t>
      </w:r>
      <w:r w:rsidRPr="006A0A3F">
        <w:rPr>
          <w:rFonts w:ascii="Verdana" w:hAnsi="Verdana"/>
          <w:sz w:val="20"/>
        </w:rPr>
        <w:t xml:space="preserve">s o habrían </w:t>
      </w:r>
      <w:r w:rsidRPr="006A0A3F">
        <w:rPr>
          <w:rFonts w:ascii="Verdana" w:hAnsi="Verdana"/>
          <w:sz w:val="20"/>
          <w:szCs w:val="20"/>
        </w:rPr>
        <w:t>recibido</w:t>
      </w:r>
      <w:r w:rsidRPr="006A0A3F">
        <w:rPr>
          <w:rFonts w:ascii="Verdana" w:hAnsi="Verdana"/>
          <w:sz w:val="20"/>
        </w:rPr>
        <w:t xml:space="preserve"> </w:t>
      </w:r>
      <w:r w:rsidR="00E52DEF" w:rsidRPr="006A0A3F">
        <w:rPr>
          <w:rFonts w:ascii="Verdana" w:hAnsi="Verdana"/>
          <w:sz w:val="20"/>
        </w:rPr>
        <w:t xml:space="preserve">otras </w:t>
      </w:r>
      <w:r w:rsidRPr="006A0A3F">
        <w:rPr>
          <w:rFonts w:ascii="Verdana" w:hAnsi="Verdana"/>
          <w:sz w:val="20"/>
        </w:rPr>
        <w:t xml:space="preserve">denuncias </w:t>
      </w:r>
      <w:r w:rsidR="00E722CE">
        <w:rPr>
          <w:rFonts w:ascii="Verdana" w:hAnsi="Verdana"/>
          <w:sz w:val="20"/>
        </w:rPr>
        <w:t xml:space="preserve">sobre </w:t>
      </w:r>
      <w:r w:rsidR="00A35053" w:rsidRPr="006A0A3F">
        <w:rPr>
          <w:rFonts w:ascii="Verdana" w:hAnsi="Verdana"/>
          <w:sz w:val="20"/>
          <w:szCs w:val="20"/>
        </w:rPr>
        <w:t xml:space="preserve">persecución contra la asociación civil </w:t>
      </w:r>
      <w:r w:rsidR="000B5CA0" w:rsidRPr="006A0A3F">
        <w:rPr>
          <w:rFonts w:ascii="Verdana" w:hAnsi="Verdana"/>
          <w:sz w:val="20"/>
          <w:szCs w:val="20"/>
        </w:rPr>
        <w:t xml:space="preserve">SUMATE </w:t>
      </w:r>
      <w:r w:rsidR="00A35053" w:rsidRPr="006A0A3F">
        <w:rPr>
          <w:rFonts w:ascii="Verdana" w:hAnsi="Verdana"/>
          <w:sz w:val="20"/>
          <w:szCs w:val="20"/>
        </w:rPr>
        <w:t>o miembros de ésta</w:t>
      </w:r>
      <w:r w:rsidR="00FA08D6">
        <w:rPr>
          <w:rFonts w:ascii="Verdana" w:hAnsi="Verdana"/>
          <w:sz w:val="20"/>
          <w:szCs w:val="20"/>
        </w:rPr>
        <w:t xml:space="preserve"> (</w:t>
      </w:r>
      <w:r w:rsidR="00A35053" w:rsidRPr="006A0A3F">
        <w:rPr>
          <w:rFonts w:ascii="Verdana" w:hAnsi="Verdana"/>
          <w:sz w:val="20"/>
          <w:szCs w:val="20"/>
        </w:rPr>
        <w:t>promotores de la solicitud</w:t>
      </w:r>
      <w:r w:rsidR="00FA08D6">
        <w:rPr>
          <w:rFonts w:ascii="Verdana" w:hAnsi="Verdana"/>
          <w:sz w:val="20"/>
          <w:szCs w:val="20"/>
        </w:rPr>
        <w:t>)</w:t>
      </w:r>
      <w:r w:rsidR="00A35053" w:rsidRPr="006A0A3F">
        <w:rPr>
          <w:rStyle w:val="FootnoteReference"/>
          <w:rFonts w:ascii="Verdana" w:hAnsi="Verdana"/>
          <w:sz w:val="20"/>
          <w:szCs w:val="20"/>
        </w:rPr>
        <w:footnoteReference w:id="109"/>
      </w:r>
      <w:r w:rsidR="00A35053" w:rsidRPr="006A0A3F">
        <w:rPr>
          <w:rFonts w:ascii="Verdana" w:hAnsi="Verdana"/>
          <w:sz w:val="20"/>
          <w:szCs w:val="20"/>
        </w:rPr>
        <w:t xml:space="preserve">; </w:t>
      </w:r>
      <w:r w:rsidRPr="006A0A3F">
        <w:rPr>
          <w:rFonts w:ascii="Verdana" w:hAnsi="Verdana"/>
          <w:sz w:val="20"/>
          <w:szCs w:val="20"/>
        </w:rPr>
        <w:t>de personas que hab</w:t>
      </w:r>
      <w:r w:rsidRPr="006A0A3F">
        <w:rPr>
          <w:rFonts w:ascii="Verdana" w:hAnsi="Verdana"/>
          <w:sz w:val="20"/>
        </w:rPr>
        <w:t>r</w:t>
      </w:r>
      <w:r w:rsidRPr="006A0A3F">
        <w:rPr>
          <w:rFonts w:ascii="Verdana" w:hAnsi="Verdana"/>
          <w:sz w:val="20"/>
          <w:szCs w:val="20"/>
        </w:rPr>
        <w:t>ían sido coaccionadas para evitar que firmaran o para que, si ya lo habían hecho, después no revalidaran su firma</w:t>
      </w:r>
      <w:r w:rsidR="002721D6" w:rsidRPr="006A0A3F">
        <w:rPr>
          <w:rFonts w:ascii="Verdana" w:hAnsi="Verdana"/>
          <w:sz w:val="20"/>
        </w:rPr>
        <w:t>, así como</w:t>
      </w:r>
      <w:r w:rsidR="00177304" w:rsidRPr="006A0A3F">
        <w:rPr>
          <w:rFonts w:ascii="Verdana" w:hAnsi="Verdana"/>
          <w:sz w:val="20"/>
        </w:rPr>
        <w:t xml:space="preserve"> </w:t>
      </w:r>
      <w:r w:rsidRPr="006A0A3F">
        <w:rPr>
          <w:rFonts w:ascii="Verdana" w:hAnsi="Verdana"/>
          <w:sz w:val="20"/>
        </w:rPr>
        <w:t xml:space="preserve">testimonios </w:t>
      </w:r>
      <w:r w:rsidR="003F362E" w:rsidRPr="006A0A3F">
        <w:rPr>
          <w:rFonts w:ascii="Verdana" w:hAnsi="Verdana"/>
          <w:sz w:val="20"/>
        </w:rPr>
        <w:t>que refieren a situaciones de rechazo de solicitudes de trabajo</w:t>
      </w:r>
      <w:r w:rsidR="00FB7131" w:rsidRPr="006A0A3F">
        <w:rPr>
          <w:rFonts w:ascii="Verdana" w:hAnsi="Verdana"/>
          <w:sz w:val="20"/>
        </w:rPr>
        <w:t xml:space="preserve"> en cargos públicos</w:t>
      </w:r>
      <w:r w:rsidR="003F362E" w:rsidRPr="006A0A3F">
        <w:rPr>
          <w:rFonts w:ascii="Verdana" w:hAnsi="Verdana"/>
          <w:sz w:val="20"/>
        </w:rPr>
        <w:t xml:space="preserve"> a firmantes o </w:t>
      </w:r>
      <w:r w:rsidR="006B60B8" w:rsidRPr="006A0A3F">
        <w:rPr>
          <w:rFonts w:ascii="Verdana" w:hAnsi="Verdana"/>
          <w:sz w:val="20"/>
        </w:rPr>
        <w:t xml:space="preserve">a </w:t>
      </w:r>
      <w:r w:rsidR="003F362E" w:rsidRPr="006A0A3F">
        <w:rPr>
          <w:rFonts w:ascii="Verdana" w:hAnsi="Verdana"/>
          <w:sz w:val="20"/>
        </w:rPr>
        <w:t>la prohibición de que éstos fuesen beneficiarios de algunos de los programas de asistencia social (</w:t>
      </w:r>
      <w:proofErr w:type="spellStart"/>
      <w:r w:rsidR="006B60B8" w:rsidRPr="006A0A3F">
        <w:rPr>
          <w:rFonts w:ascii="Verdana" w:hAnsi="Verdana"/>
          <w:sz w:val="20"/>
        </w:rPr>
        <w:t>e.g</w:t>
      </w:r>
      <w:proofErr w:type="spellEnd"/>
      <w:r w:rsidR="006B60B8" w:rsidRPr="006A0A3F">
        <w:rPr>
          <w:rFonts w:ascii="Verdana" w:hAnsi="Verdana"/>
          <w:sz w:val="20"/>
        </w:rPr>
        <w:t>. las llamada</w:t>
      </w:r>
      <w:r w:rsidR="003F362E" w:rsidRPr="006A0A3F">
        <w:rPr>
          <w:rFonts w:ascii="Verdana" w:hAnsi="Verdana"/>
          <w:sz w:val="20"/>
        </w:rPr>
        <w:t xml:space="preserve">s “misiones” o </w:t>
      </w:r>
      <w:r w:rsidR="006B60B8" w:rsidRPr="006A0A3F">
        <w:rPr>
          <w:rFonts w:ascii="Verdana" w:hAnsi="Verdana"/>
          <w:sz w:val="20"/>
        </w:rPr>
        <w:t xml:space="preserve">programas </w:t>
      </w:r>
      <w:r w:rsidR="003F362E" w:rsidRPr="006A0A3F">
        <w:rPr>
          <w:rFonts w:ascii="Verdana" w:hAnsi="Verdana"/>
          <w:sz w:val="20"/>
        </w:rPr>
        <w:t>de distribución de alimentos)</w:t>
      </w:r>
      <w:r w:rsidR="003F362E" w:rsidRPr="006A0A3F">
        <w:rPr>
          <w:rStyle w:val="FootnoteReference"/>
          <w:rFonts w:ascii="Verdana" w:hAnsi="Verdana"/>
          <w:sz w:val="20"/>
        </w:rPr>
        <w:footnoteReference w:id="110"/>
      </w:r>
      <w:r w:rsidR="00E475AE" w:rsidRPr="006A0A3F">
        <w:rPr>
          <w:rFonts w:ascii="Verdana" w:hAnsi="Verdana"/>
          <w:sz w:val="20"/>
        </w:rPr>
        <w:t>.</w:t>
      </w:r>
      <w:r w:rsidR="003F362E" w:rsidRPr="006A0A3F">
        <w:rPr>
          <w:rFonts w:ascii="Verdana" w:hAnsi="Verdana"/>
          <w:sz w:val="20"/>
        </w:rPr>
        <w:t xml:space="preserve"> </w:t>
      </w:r>
      <w:r w:rsidR="00BE5324" w:rsidRPr="006A0A3F">
        <w:rPr>
          <w:rFonts w:ascii="Verdana" w:hAnsi="Verdana"/>
          <w:sz w:val="20"/>
          <w:szCs w:val="20"/>
        </w:rPr>
        <w:t>Fue también referido</w:t>
      </w:r>
      <w:r w:rsidR="00E475AE" w:rsidRPr="006A0A3F">
        <w:rPr>
          <w:rFonts w:ascii="Verdana" w:hAnsi="Verdana"/>
          <w:sz w:val="20"/>
          <w:szCs w:val="20"/>
        </w:rPr>
        <w:t xml:space="preserve"> que jueces e inspectores de trabajo no modificaban las </w:t>
      </w:r>
      <w:r w:rsidR="00E475AE" w:rsidRPr="006A0A3F">
        <w:rPr>
          <w:rFonts w:ascii="Verdana" w:hAnsi="Verdana"/>
          <w:sz w:val="20"/>
          <w:szCs w:val="20"/>
        </w:rPr>
        <w:lastRenderedPageBreak/>
        <w:t>deci</w:t>
      </w:r>
      <w:r w:rsidR="008971C9" w:rsidRPr="006A0A3F">
        <w:rPr>
          <w:rFonts w:ascii="Verdana" w:hAnsi="Verdana"/>
          <w:sz w:val="20"/>
          <w:szCs w:val="20"/>
        </w:rPr>
        <w:t>siones de despidos o cesaciones y</w:t>
      </w:r>
      <w:r w:rsidR="00E475AE" w:rsidRPr="006A0A3F">
        <w:rPr>
          <w:rFonts w:ascii="Verdana" w:hAnsi="Verdana"/>
          <w:sz w:val="20"/>
          <w:szCs w:val="20"/>
        </w:rPr>
        <w:t xml:space="preserve"> que la Fiscalía General de la República o la Defensoría del Pueblo</w:t>
      </w:r>
      <w:r w:rsidR="00E475AE" w:rsidRPr="006A0A3F">
        <w:rPr>
          <w:rStyle w:val="FootnoteReference"/>
          <w:rFonts w:ascii="Verdana" w:hAnsi="Verdana"/>
          <w:sz w:val="20"/>
          <w:szCs w:val="20"/>
        </w:rPr>
        <w:t xml:space="preserve"> </w:t>
      </w:r>
      <w:r w:rsidR="00E475AE" w:rsidRPr="006A0A3F">
        <w:rPr>
          <w:rFonts w:ascii="Verdana" w:hAnsi="Verdana"/>
          <w:sz w:val="20"/>
          <w:szCs w:val="20"/>
        </w:rPr>
        <w:t>tampoco habrían intervenido en ese sentido</w:t>
      </w:r>
      <w:r w:rsidR="00E475AE" w:rsidRPr="006A0A3F">
        <w:rPr>
          <w:rStyle w:val="FootnoteReference"/>
          <w:rFonts w:ascii="Verdana" w:hAnsi="Verdana"/>
          <w:sz w:val="20"/>
          <w:szCs w:val="20"/>
        </w:rPr>
        <w:footnoteReference w:id="111"/>
      </w:r>
      <w:r w:rsidR="00E475AE" w:rsidRPr="006A0A3F">
        <w:rPr>
          <w:rFonts w:ascii="Verdana" w:hAnsi="Verdana"/>
          <w:sz w:val="20"/>
          <w:szCs w:val="20"/>
        </w:rPr>
        <w:t>.</w:t>
      </w:r>
    </w:p>
    <w:p w14:paraId="041E69A5" w14:textId="77777777" w:rsidR="00EE41BE" w:rsidRPr="006A0A3F" w:rsidRDefault="00EE41BE" w:rsidP="00E41D9C">
      <w:pPr>
        <w:spacing w:after="0" w:line="240" w:lineRule="auto"/>
        <w:jc w:val="both"/>
        <w:rPr>
          <w:rFonts w:ascii="Verdana" w:hAnsi="Verdana"/>
          <w:sz w:val="20"/>
          <w:szCs w:val="20"/>
        </w:rPr>
      </w:pPr>
    </w:p>
    <w:p w14:paraId="628F1C76" w14:textId="6684DEF5" w:rsidR="00E41D9C" w:rsidRPr="006A0A3F" w:rsidRDefault="00E41D9C" w:rsidP="00AB56AF">
      <w:pPr>
        <w:pStyle w:val="ListParagraph"/>
        <w:numPr>
          <w:ilvl w:val="0"/>
          <w:numId w:val="10"/>
        </w:numPr>
        <w:pBdr>
          <w:top w:val="nil"/>
        </w:pBdr>
        <w:ind w:hanging="666"/>
        <w:jc w:val="both"/>
        <w:rPr>
          <w:rFonts w:ascii="Verdana" w:hAnsi="Verdana"/>
          <w:b/>
          <w:i/>
          <w:sz w:val="20"/>
          <w:lang w:val="es-CR"/>
        </w:rPr>
      </w:pPr>
      <w:r w:rsidRPr="006A0A3F">
        <w:rPr>
          <w:rFonts w:ascii="Verdana" w:hAnsi="Verdana"/>
          <w:b/>
          <w:i/>
          <w:sz w:val="20"/>
          <w:lang w:val="es-CR"/>
        </w:rPr>
        <w:t>Investigación del Ministerio Público respecto de denuncias por discriminación</w:t>
      </w:r>
    </w:p>
    <w:p w14:paraId="2743B2FC" w14:textId="77777777" w:rsidR="00E41D9C" w:rsidRPr="006A0A3F" w:rsidRDefault="00E41D9C" w:rsidP="00E41D9C">
      <w:pPr>
        <w:spacing w:after="0" w:line="240" w:lineRule="auto"/>
        <w:jc w:val="both"/>
        <w:rPr>
          <w:rFonts w:ascii="Verdana" w:hAnsi="Verdana"/>
          <w:sz w:val="20"/>
          <w:szCs w:val="20"/>
        </w:rPr>
      </w:pPr>
    </w:p>
    <w:p w14:paraId="6B363866" w14:textId="07947F9A"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Tomando en cuenta las denuncias consignadas en diversos medios de comunicación respecto de discriminación política y despidos de funcionarios públicos como alegada represalia </w:t>
      </w:r>
      <w:r w:rsidR="00107363" w:rsidRPr="006A0A3F">
        <w:rPr>
          <w:rFonts w:ascii="Verdana" w:hAnsi="Verdana"/>
          <w:sz w:val="20"/>
          <w:szCs w:val="20"/>
        </w:rPr>
        <w:t>por haber firmado</w:t>
      </w:r>
      <w:r w:rsidRPr="006A0A3F">
        <w:rPr>
          <w:rFonts w:ascii="Verdana" w:hAnsi="Verdana"/>
          <w:sz w:val="20"/>
          <w:szCs w:val="20"/>
        </w:rPr>
        <w:t>, en abril de 2005 el Fiscal General de la República ordenó al Fiscal 49 del Área Metropolitana de Caracas abrir una investigación</w:t>
      </w:r>
      <w:r w:rsidRPr="006A0A3F">
        <w:rPr>
          <w:rFonts w:ascii="Verdana" w:hAnsi="Verdana"/>
          <w:sz w:val="20"/>
          <w:szCs w:val="20"/>
          <w:vertAlign w:val="superscript"/>
        </w:rPr>
        <w:footnoteReference w:id="112"/>
      </w:r>
      <w:r w:rsidRPr="006A0A3F">
        <w:rPr>
          <w:rFonts w:ascii="Verdana" w:hAnsi="Verdana"/>
          <w:sz w:val="20"/>
          <w:szCs w:val="20"/>
        </w:rPr>
        <w:t xml:space="preserve">.  Mediante comunicado de 27 de abril de 2005, el Ministerio Público informó que </w:t>
      </w:r>
      <w:r w:rsidR="00107363" w:rsidRPr="006A0A3F">
        <w:rPr>
          <w:rFonts w:ascii="Verdana" w:hAnsi="Verdana"/>
          <w:sz w:val="20"/>
          <w:szCs w:val="20"/>
        </w:rPr>
        <w:t>dicho</w:t>
      </w:r>
      <w:r w:rsidRPr="006A0A3F">
        <w:rPr>
          <w:rFonts w:ascii="Verdana" w:hAnsi="Verdana"/>
          <w:sz w:val="20"/>
          <w:szCs w:val="20"/>
        </w:rPr>
        <w:t xml:space="preserve"> Fiscal inició las “investigaciones legales pertinentes para indagar si hubo delitos concretos en los que pudieran haber incurrido tanto funcionarios como particulares en el</w:t>
      </w:r>
      <w:r w:rsidR="00107363" w:rsidRPr="006A0A3F">
        <w:rPr>
          <w:rFonts w:ascii="Verdana" w:hAnsi="Verdana"/>
          <w:sz w:val="20"/>
          <w:szCs w:val="20"/>
        </w:rPr>
        <w:t xml:space="preserve"> uso de los referidos listados”; además, </w:t>
      </w:r>
      <w:r w:rsidRPr="006A0A3F">
        <w:rPr>
          <w:rFonts w:ascii="Verdana" w:hAnsi="Verdana"/>
          <w:sz w:val="20"/>
          <w:szCs w:val="20"/>
        </w:rPr>
        <w:t>que ninguna norma “establece que no se puedan difundir las listas de firmantes y, por el contrario, una de las razones para su difusión es, precisamente, evitar el uso indebido de firmas que pudieran perjudicar la autenticidad y transparencia del proceso”</w:t>
      </w:r>
      <w:r w:rsidRPr="006A0A3F">
        <w:rPr>
          <w:rFonts w:ascii="Verdana" w:hAnsi="Verdana"/>
          <w:sz w:val="20"/>
          <w:szCs w:val="20"/>
          <w:vertAlign w:val="superscript"/>
        </w:rPr>
        <w:footnoteReference w:id="113"/>
      </w:r>
      <w:r w:rsidRPr="006A0A3F">
        <w:rPr>
          <w:rFonts w:ascii="Verdana" w:hAnsi="Verdana"/>
          <w:sz w:val="20"/>
          <w:szCs w:val="20"/>
        </w:rPr>
        <w:t>. No fue aportada información adicional respecto de los resultados de esta investigación.</w:t>
      </w:r>
    </w:p>
    <w:p w14:paraId="67F3B145" w14:textId="77777777" w:rsidR="0064741F" w:rsidRPr="006A0A3F" w:rsidRDefault="0064741F" w:rsidP="00E41D9C">
      <w:pPr>
        <w:spacing w:after="0" w:line="240" w:lineRule="auto"/>
        <w:jc w:val="both"/>
        <w:rPr>
          <w:rFonts w:ascii="Verdana" w:hAnsi="Verdana"/>
          <w:sz w:val="20"/>
          <w:szCs w:val="20"/>
        </w:rPr>
      </w:pPr>
    </w:p>
    <w:p w14:paraId="2100F6A0" w14:textId="77777777" w:rsidR="00E41D9C" w:rsidRPr="006A0A3F" w:rsidRDefault="00E41D9C" w:rsidP="00AB56AF">
      <w:pPr>
        <w:pStyle w:val="ListParagraph"/>
        <w:numPr>
          <w:ilvl w:val="0"/>
          <w:numId w:val="10"/>
        </w:numPr>
        <w:pBdr>
          <w:top w:val="nil"/>
        </w:pBdr>
        <w:ind w:hanging="666"/>
        <w:jc w:val="both"/>
        <w:rPr>
          <w:rFonts w:ascii="Verdana" w:hAnsi="Verdana"/>
          <w:b/>
          <w:i/>
          <w:sz w:val="20"/>
          <w:lang w:val="es-CR"/>
        </w:rPr>
      </w:pPr>
      <w:r w:rsidRPr="006A0A3F">
        <w:rPr>
          <w:rFonts w:ascii="Verdana" w:hAnsi="Verdana"/>
          <w:b/>
          <w:i/>
          <w:sz w:val="20"/>
          <w:lang w:val="es-CR"/>
        </w:rPr>
        <w:t xml:space="preserve">El fin de la “Lista </w:t>
      </w:r>
      <w:proofErr w:type="spellStart"/>
      <w:r w:rsidRPr="006A0A3F">
        <w:rPr>
          <w:rFonts w:ascii="Verdana" w:hAnsi="Verdana"/>
          <w:b/>
          <w:i/>
          <w:sz w:val="20"/>
          <w:lang w:val="es-CR"/>
        </w:rPr>
        <w:t>Tascón</w:t>
      </w:r>
      <w:proofErr w:type="spellEnd"/>
      <w:r w:rsidRPr="006A0A3F">
        <w:rPr>
          <w:rFonts w:ascii="Verdana" w:hAnsi="Verdana"/>
          <w:b/>
          <w:i/>
          <w:sz w:val="20"/>
          <w:lang w:val="es-CR"/>
        </w:rPr>
        <w:t xml:space="preserve">” y el inicio de la “la Lista </w:t>
      </w:r>
      <w:proofErr w:type="spellStart"/>
      <w:r w:rsidRPr="006A0A3F">
        <w:rPr>
          <w:rFonts w:ascii="Verdana" w:hAnsi="Verdana"/>
          <w:b/>
          <w:i/>
          <w:sz w:val="20"/>
          <w:lang w:val="es-CR"/>
        </w:rPr>
        <w:t>Maisanta</w:t>
      </w:r>
      <w:proofErr w:type="spellEnd"/>
      <w:r w:rsidRPr="006A0A3F">
        <w:rPr>
          <w:rFonts w:ascii="Verdana" w:hAnsi="Verdana"/>
          <w:b/>
          <w:i/>
          <w:sz w:val="20"/>
          <w:lang w:val="es-CR"/>
        </w:rPr>
        <w:t>”</w:t>
      </w:r>
    </w:p>
    <w:p w14:paraId="3D020FB9" w14:textId="77777777" w:rsidR="00E41D9C" w:rsidRPr="006A0A3F" w:rsidRDefault="00E41D9C" w:rsidP="00E41D9C">
      <w:pPr>
        <w:spacing w:after="0" w:line="240" w:lineRule="auto"/>
        <w:jc w:val="both"/>
        <w:rPr>
          <w:rFonts w:ascii="Verdana" w:hAnsi="Verdana"/>
          <w:sz w:val="20"/>
          <w:szCs w:val="20"/>
        </w:rPr>
      </w:pPr>
    </w:p>
    <w:p w14:paraId="496DFFA6" w14:textId="73EB32B9" w:rsidR="00D6705E"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15 de abril de 2005 el entonces Presidente Chávez, refiriéndose a la Lista </w:t>
      </w:r>
      <w:proofErr w:type="spellStart"/>
      <w:r w:rsidRPr="006A0A3F">
        <w:rPr>
          <w:rFonts w:ascii="Verdana" w:hAnsi="Verdana"/>
          <w:sz w:val="20"/>
          <w:szCs w:val="20"/>
        </w:rPr>
        <w:t>Tascón</w:t>
      </w:r>
      <w:proofErr w:type="spellEnd"/>
      <w:r w:rsidRPr="006A0A3F">
        <w:rPr>
          <w:rFonts w:ascii="Verdana" w:hAnsi="Verdana"/>
          <w:sz w:val="20"/>
          <w:szCs w:val="20"/>
        </w:rPr>
        <w:t>,</w:t>
      </w:r>
      <w:r w:rsidR="00AC285F" w:rsidRPr="006A0A3F">
        <w:rPr>
          <w:rFonts w:ascii="Verdana" w:hAnsi="Verdana"/>
          <w:sz w:val="20"/>
          <w:szCs w:val="20"/>
        </w:rPr>
        <w:t xml:space="preserve"> declaró:</w:t>
      </w:r>
    </w:p>
    <w:p w14:paraId="4A4CA692" w14:textId="77777777" w:rsidR="0086274E" w:rsidRPr="006A0A3F" w:rsidRDefault="0086274E" w:rsidP="00D6705E">
      <w:pPr>
        <w:pBdr>
          <w:top w:val="nil"/>
        </w:pBdr>
        <w:spacing w:after="0" w:line="240" w:lineRule="auto"/>
        <w:ind w:left="708"/>
        <w:jc w:val="both"/>
        <w:rPr>
          <w:rFonts w:ascii="Verdana" w:hAnsi="Verdana"/>
          <w:sz w:val="18"/>
          <w:szCs w:val="20"/>
        </w:rPr>
      </w:pPr>
    </w:p>
    <w:p w14:paraId="1321FD82" w14:textId="1BF56850" w:rsidR="00E41D9C" w:rsidRPr="006A0A3F" w:rsidRDefault="00E41D9C" w:rsidP="00D6705E">
      <w:pPr>
        <w:pBdr>
          <w:top w:val="nil"/>
        </w:pBdr>
        <w:spacing w:after="0" w:line="240" w:lineRule="auto"/>
        <w:ind w:left="708"/>
        <w:jc w:val="both"/>
        <w:rPr>
          <w:rFonts w:ascii="Verdana" w:hAnsi="Verdana"/>
          <w:sz w:val="20"/>
          <w:szCs w:val="20"/>
        </w:rPr>
      </w:pPr>
      <w:r w:rsidRPr="006A0A3F">
        <w:rPr>
          <w:rFonts w:ascii="Verdana" w:hAnsi="Verdana"/>
          <w:sz w:val="18"/>
          <w:szCs w:val="20"/>
        </w:rPr>
        <w:t xml:space="preserve">“fue un momento que ya quedó atrás. Si alguno de nosotros para tomar una decisión personal con alguien va a buscar la lista, lo que está es trayendo situaciones pasadas al presente y contribuyendo a recrearlas. […] La famosa lista seguramente cumplió un papel importante en un momento determinado, pero eso pasó. Vamos a llamar a todo el país a tender puentes. Digo esto porque por allí me han llegado algunas cartas, de tantos papeles que me llegan, que me hacen pensar que todavía en algunos espacios tienen la lista de </w:t>
      </w:r>
      <w:proofErr w:type="spellStart"/>
      <w:r w:rsidRPr="006A0A3F">
        <w:rPr>
          <w:rFonts w:ascii="Verdana" w:hAnsi="Verdana"/>
          <w:sz w:val="18"/>
          <w:szCs w:val="20"/>
        </w:rPr>
        <w:t>Tascón</w:t>
      </w:r>
      <w:proofErr w:type="spellEnd"/>
      <w:r w:rsidRPr="006A0A3F">
        <w:rPr>
          <w:rFonts w:ascii="Verdana" w:hAnsi="Verdana"/>
          <w:sz w:val="18"/>
          <w:szCs w:val="20"/>
        </w:rPr>
        <w:t xml:space="preserve"> en la mesa para determinar si alguien va a trabajar o no va a trabajar. Entiérrese la lista de Luis </w:t>
      </w:r>
      <w:proofErr w:type="spellStart"/>
      <w:r w:rsidRPr="006A0A3F">
        <w:rPr>
          <w:rFonts w:ascii="Verdana" w:hAnsi="Verdana"/>
          <w:sz w:val="18"/>
          <w:szCs w:val="20"/>
        </w:rPr>
        <w:t>Tascón</w:t>
      </w:r>
      <w:proofErr w:type="spellEnd"/>
      <w:r w:rsidRPr="006A0A3F">
        <w:rPr>
          <w:rFonts w:ascii="Verdana" w:hAnsi="Verdana"/>
          <w:sz w:val="18"/>
          <w:szCs w:val="20"/>
        </w:rPr>
        <w:t>”</w:t>
      </w:r>
      <w:r w:rsidRPr="006A0A3F">
        <w:rPr>
          <w:rFonts w:ascii="Verdana" w:hAnsi="Verdana"/>
          <w:sz w:val="18"/>
          <w:szCs w:val="20"/>
          <w:vertAlign w:val="superscript"/>
        </w:rPr>
        <w:footnoteReference w:id="114"/>
      </w:r>
      <w:r w:rsidRPr="006A0A3F">
        <w:rPr>
          <w:rFonts w:ascii="Verdana" w:hAnsi="Verdana"/>
          <w:sz w:val="18"/>
          <w:szCs w:val="20"/>
        </w:rPr>
        <w:t xml:space="preserve">. </w:t>
      </w:r>
    </w:p>
    <w:p w14:paraId="1A071AC7" w14:textId="77777777" w:rsidR="00E41D9C" w:rsidRPr="006A0A3F" w:rsidRDefault="00E41D9C" w:rsidP="00E41D9C">
      <w:pPr>
        <w:spacing w:after="0" w:line="240" w:lineRule="auto"/>
        <w:jc w:val="both"/>
        <w:rPr>
          <w:rFonts w:ascii="Verdana" w:hAnsi="Verdana"/>
          <w:sz w:val="20"/>
          <w:szCs w:val="20"/>
        </w:rPr>
      </w:pPr>
    </w:p>
    <w:p w14:paraId="55D5A1A2" w14:textId="632DD62E" w:rsidR="00D6705E" w:rsidRPr="006A0A3F" w:rsidRDefault="00D6705E" w:rsidP="00D6705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mayo de 2005 el directorio del </w:t>
      </w:r>
      <w:r w:rsidR="00D0656B" w:rsidRPr="006A0A3F">
        <w:rPr>
          <w:rFonts w:ascii="Verdana" w:hAnsi="Verdana"/>
          <w:sz w:val="20"/>
          <w:szCs w:val="20"/>
        </w:rPr>
        <w:t xml:space="preserve">Consejo Nacional Electoral </w:t>
      </w:r>
      <w:r w:rsidRPr="006A0A3F">
        <w:rPr>
          <w:rFonts w:ascii="Verdana" w:hAnsi="Verdana"/>
          <w:sz w:val="20"/>
          <w:szCs w:val="20"/>
        </w:rPr>
        <w:t>aprobó por unanimidad una resolución condenando la discriminación de los</w:t>
      </w:r>
      <w:r w:rsidR="00AC285F" w:rsidRPr="006A0A3F">
        <w:rPr>
          <w:rFonts w:ascii="Verdana" w:hAnsi="Verdana"/>
          <w:sz w:val="20"/>
          <w:szCs w:val="20"/>
        </w:rPr>
        <w:t xml:space="preserve"> firmantes </w:t>
      </w:r>
      <w:r w:rsidR="00FB7131" w:rsidRPr="006A0A3F">
        <w:rPr>
          <w:rFonts w:ascii="Verdana" w:hAnsi="Verdana"/>
          <w:sz w:val="20"/>
          <w:szCs w:val="20"/>
        </w:rPr>
        <w:t>a través del uso de l</w:t>
      </w:r>
      <w:r w:rsidR="00AC285F" w:rsidRPr="006A0A3F">
        <w:rPr>
          <w:rFonts w:ascii="Verdana" w:hAnsi="Verdana"/>
          <w:sz w:val="20"/>
          <w:szCs w:val="20"/>
        </w:rPr>
        <w:t xml:space="preserve">a lista </w:t>
      </w:r>
      <w:proofErr w:type="spellStart"/>
      <w:r w:rsidR="00AC285F" w:rsidRPr="006A0A3F">
        <w:rPr>
          <w:rFonts w:ascii="Verdana" w:hAnsi="Verdana"/>
          <w:sz w:val="20"/>
          <w:szCs w:val="20"/>
        </w:rPr>
        <w:t>Tascón</w:t>
      </w:r>
      <w:proofErr w:type="spellEnd"/>
      <w:r w:rsidRPr="006A0A3F">
        <w:rPr>
          <w:rFonts w:ascii="Verdana" w:hAnsi="Verdana"/>
          <w:sz w:val="20"/>
          <w:szCs w:val="20"/>
        </w:rPr>
        <w:t>. En el texto se exhortaba a la Defensoría del Pueblo y a la Fiscalía General de la República a ejercer las acciones de defensa de los ciudadanos que fueron despedidos o segregados por ejercer sus derechos políticos</w:t>
      </w:r>
      <w:r w:rsidRPr="006A0A3F">
        <w:rPr>
          <w:rStyle w:val="FootnoteReference"/>
          <w:rFonts w:ascii="Verdana" w:hAnsi="Verdana"/>
          <w:sz w:val="20"/>
          <w:szCs w:val="20"/>
        </w:rPr>
        <w:footnoteReference w:id="115"/>
      </w:r>
      <w:r w:rsidRPr="006A0A3F">
        <w:rPr>
          <w:rFonts w:ascii="Verdana" w:hAnsi="Verdana"/>
          <w:sz w:val="20"/>
          <w:szCs w:val="20"/>
        </w:rPr>
        <w:t>.</w:t>
      </w:r>
    </w:p>
    <w:p w14:paraId="25207891" w14:textId="45475D95" w:rsidR="00FB7131" w:rsidRPr="006A0A3F" w:rsidRDefault="00FB7131" w:rsidP="00FB7131">
      <w:pPr>
        <w:pBdr>
          <w:top w:val="nil"/>
        </w:pBdr>
        <w:spacing w:after="0" w:line="240" w:lineRule="auto"/>
        <w:jc w:val="both"/>
        <w:rPr>
          <w:rFonts w:ascii="Verdana" w:hAnsi="Verdana"/>
          <w:sz w:val="20"/>
          <w:szCs w:val="20"/>
        </w:rPr>
      </w:pPr>
    </w:p>
    <w:p w14:paraId="7B7E6C13" w14:textId="0643189A" w:rsidR="008A4DD3" w:rsidRPr="006A0A3F" w:rsidRDefault="00FB7131" w:rsidP="008A4DD3">
      <w:pPr>
        <w:numPr>
          <w:ilvl w:val="0"/>
          <w:numId w:val="4"/>
        </w:numPr>
        <w:pBdr>
          <w:top w:val="nil"/>
        </w:pBdr>
        <w:spacing w:after="0" w:line="240" w:lineRule="auto"/>
        <w:ind w:left="0" w:firstLine="0"/>
        <w:jc w:val="both"/>
        <w:rPr>
          <w:rFonts w:ascii="Verdana" w:eastAsia="Times New Roman" w:hAnsi="Verdana"/>
          <w:color w:val="000000"/>
          <w:sz w:val="20"/>
          <w:szCs w:val="20"/>
        </w:rPr>
      </w:pPr>
      <w:r w:rsidRPr="006A0A3F">
        <w:rPr>
          <w:rFonts w:ascii="Verdana" w:eastAsia="Times New Roman" w:hAnsi="Verdana"/>
          <w:color w:val="000000"/>
          <w:sz w:val="20"/>
          <w:szCs w:val="20"/>
        </w:rPr>
        <w:t xml:space="preserve">Durante las elecciones legislativas del año 2005 se creó una herramienta aún más sofisticada, conocida como la “lista </w:t>
      </w:r>
      <w:proofErr w:type="spellStart"/>
      <w:r w:rsidRPr="006A0A3F">
        <w:rPr>
          <w:rFonts w:ascii="Verdana" w:eastAsia="Times New Roman" w:hAnsi="Verdana"/>
          <w:color w:val="000000"/>
          <w:sz w:val="20"/>
          <w:szCs w:val="20"/>
        </w:rPr>
        <w:t>Maisanta</w:t>
      </w:r>
      <w:proofErr w:type="spellEnd"/>
      <w:r w:rsidRPr="006A0A3F">
        <w:rPr>
          <w:rFonts w:ascii="Verdana" w:eastAsia="Times New Roman" w:hAnsi="Verdana"/>
          <w:color w:val="000000"/>
          <w:sz w:val="20"/>
          <w:szCs w:val="20"/>
        </w:rPr>
        <w:t xml:space="preserve">”, que contiene los nombres de quienes firmaron la </w:t>
      </w:r>
      <w:r w:rsidR="006559E8">
        <w:rPr>
          <w:rFonts w:ascii="Verdana" w:eastAsia="Times New Roman" w:hAnsi="Verdana"/>
          <w:color w:val="000000"/>
          <w:sz w:val="20"/>
          <w:szCs w:val="20"/>
        </w:rPr>
        <w:t>solicitud</w:t>
      </w:r>
      <w:r w:rsidRPr="006A0A3F">
        <w:rPr>
          <w:rFonts w:ascii="Verdana" w:eastAsia="Times New Roman" w:hAnsi="Verdana"/>
          <w:color w:val="000000"/>
          <w:sz w:val="20"/>
          <w:szCs w:val="20"/>
        </w:rPr>
        <w:t xml:space="preserve"> de referendo revocatorio, así como información detallada sobre los votantes registrados y su posición política</w:t>
      </w:r>
      <w:r w:rsidRPr="006A0A3F">
        <w:rPr>
          <w:rStyle w:val="FootnoteReference"/>
          <w:rFonts w:ascii="Verdana" w:eastAsia="Times New Roman" w:hAnsi="Verdana"/>
          <w:color w:val="000000"/>
          <w:sz w:val="20"/>
          <w:szCs w:val="20"/>
        </w:rPr>
        <w:footnoteReference w:id="116"/>
      </w:r>
      <w:r w:rsidRPr="006A0A3F">
        <w:rPr>
          <w:rFonts w:ascii="Verdana" w:eastAsia="Times New Roman" w:hAnsi="Verdana"/>
          <w:color w:val="000000"/>
          <w:sz w:val="20"/>
          <w:szCs w:val="20"/>
        </w:rPr>
        <w:t xml:space="preserve">. </w:t>
      </w:r>
      <w:r w:rsidR="008A4DD3" w:rsidRPr="006A0A3F">
        <w:rPr>
          <w:rFonts w:ascii="Verdana" w:eastAsia="Times New Roman" w:hAnsi="Verdana"/>
          <w:color w:val="000000"/>
          <w:sz w:val="20"/>
          <w:szCs w:val="20"/>
        </w:rPr>
        <w:t xml:space="preserve">La lista </w:t>
      </w:r>
      <w:proofErr w:type="spellStart"/>
      <w:r w:rsidR="008A4DD3" w:rsidRPr="006A0A3F">
        <w:rPr>
          <w:rFonts w:ascii="Verdana" w:eastAsia="Times New Roman" w:hAnsi="Verdana"/>
          <w:color w:val="000000"/>
          <w:sz w:val="20"/>
          <w:szCs w:val="20"/>
        </w:rPr>
        <w:t>Maisanta</w:t>
      </w:r>
      <w:proofErr w:type="spellEnd"/>
      <w:r w:rsidR="008A4DD3" w:rsidRPr="006A0A3F">
        <w:rPr>
          <w:rFonts w:ascii="Verdana" w:eastAsia="Times New Roman" w:hAnsi="Verdana"/>
          <w:color w:val="000000"/>
          <w:sz w:val="20"/>
          <w:szCs w:val="20"/>
        </w:rPr>
        <w:t xml:space="preserve"> habría sido divulgada a través del comando de </w:t>
      </w:r>
      <w:r w:rsidR="008A4DD3" w:rsidRPr="006A0A3F">
        <w:rPr>
          <w:rFonts w:ascii="Verdana" w:eastAsia="Times New Roman" w:hAnsi="Verdana"/>
          <w:color w:val="000000"/>
          <w:sz w:val="20"/>
          <w:szCs w:val="20"/>
        </w:rPr>
        <w:lastRenderedPageBreak/>
        <w:t>campaña del partido de gobierno del entonces presidente Chávez (</w:t>
      </w:r>
      <w:r w:rsidR="006559E8">
        <w:rPr>
          <w:rFonts w:ascii="Verdana" w:eastAsia="Times New Roman" w:hAnsi="Verdana"/>
          <w:color w:val="000000"/>
          <w:sz w:val="20"/>
          <w:szCs w:val="20"/>
        </w:rPr>
        <w:t>“</w:t>
      </w:r>
      <w:r w:rsidR="008A4DD3" w:rsidRPr="006A0A3F">
        <w:rPr>
          <w:rFonts w:ascii="Verdana" w:eastAsia="Times New Roman" w:hAnsi="Verdana"/>
          <w:color w:val="000000"/>
          <w:sz w:val="20"/>
          <w:szCs w:val="20"/>
        </w:rPr>
        <w:t xml:space="preserve">Comando </w:t>
      </w:r>
      <w:proofErr w:type="spellStart"/>
      <w:r w:rsidR="008A4DD3" w:rsidRPr="006A0A3F">
        <w:rPr>
          <w:rFonts w:ascii="Verdana" w:eastAsia="Times New Roman" w:hAnsi="Verdana"/>
          <w:color w:val="000000"/>
          <w:sz w:val="20"/>
          <w:szCs w:val="20"/>
        </w:rPr>
        <w:t>Maisanta</w:t>
      </w:r>
      <w:proofErr w:type="spellEnd"/>
      <w:r w:rsidR="006559E8">
        <w:rPr>
          <w:rFonts w:ascii="Verdana" w:eastAsia="Times New Roman" w:hAnsi="Verdana"/>
          <w:color w:val="000000"/>
          <w:sz w:val="20"/>
          <w:szCs w:val="20"/>
        </w:rPr>
        <w:t>”</w:t>
      </w:r>
      <w:r w:rsidR="008A4DD3" w:rsidRPr="006A0A3F">
        <w:rPr>
          <w:rFonts w:ascii="Verdana" w:eastAsia="Times New Roman" w:hAnsi="Verdana"/>
          <w:color w:val="000000"/>
          <w:sz w:val="20"/>
          <w:szCs w:val="20"/>
        </w:rPr>
        <w:t>) a través de discos magnéticos (CD) y posteriormente podía ser adquirida a través del comercio informal (</w:t>
      </w:r>
      <w:r w:rsidR="00AC285F" w:rsidRPr="006A0A3F">
        <w:rPr>
          <w:rFonts w:ascii="Verdana" w:eastAsia="Times New Roman" w:hAnsi="Verdana"/>
          <w:color w:val="000000"/>
          <w:sz w:val="20"/>
          <w:szCs w:val="20"/>
        </w:rPr>
        <w:t>“</w:t>
      </w:r>
      <w:r w:rsidR="008A4DD3" w:rsidRPr="006A0A3F">
        <w:rPr>
          <w:rFonts w:ascii="Verdana" w:eastAsia="Times New Roman" w:hAnsi="Verdana"/>
          <w:color w:val="000000"/>
          <w:sz w:val="20"/>
          <w:szCs w:val="20"/>
        </w:rPr>
        <w:t>buhoneros</w:t>
      </w:r>
      <w:r w:rsidR="00AC285F" w:rsidRPr="006A0A3F">
        <w:rPr>
          <w:rFonts w:ascii="Verdana" w:eastAsia="Times New Roman" w:hAnsi="Verdana"/>
          <w:color w:val="000000"/>
          <w:sz w:val="20"/>
          <w:szCs w:val="20"/>
        </w:rPr>
        <w:t>”</w:t>
      </w:r>
      <w:r w:rsidR="008A4DD3" w:rsidRPr="006A0A3F">
        <w:rPr>
          <w:rFonts w:ascii="Verdana" w:eastAsia="Times New Roman" w:hAnsi="Verdana"/>
          <w:color w:val="000000"/>
          <w:sz w:val="20"/>
          <w:szCs w:val="20"/>
        </w:rPr>
        <w:t>). A</w:t>
      </w:r>
      <w:r w:rsidR="00DB5EE5" w:rsidRPr="006A0A3F">
        <w:rPr>
          <w:rFonts w:ascii="Verdana" w:eastAsia="Times New Roman" w:hAnsi="Verdana"/>
          <w:color w:val="000000"/>
          <w:sz w:val="20"/>
          <w:szCs w:val="20"/>
        </w:rPr>
        <w:t xml:space="preserve">ún </w:t>
      </w:r>
      <w:r w:rsidR="00AC285F" w:rsidRPr="006A0A3F">
        <w:rPr>
          <w:rFonts w:ascii="Verdana" w:eastAsia="Times New Roman" w:hAnsi="Verdana"/>
          <w:color w:val="000000"/>
          <w:sz w:val="20"/>
          <w:szCs w:val="20"/>
        </w:rPr>
        <w:t xml:space="preserve">en la actualidad, </w:t>
      </w:r>
      <w:r w:rsidR="008A4DD3" w:rsidRPr="006A0A3F">
        <w:rPr>
          <w:rFonts w:ascii="Verdana" w:eastAsia="Times New Roman" w:hAnsi="Verdana"/>
          <w:color w:val="000000"/>
          <w:sz w:val="20"/>
          <w:szCs w:val="20"/>
        </w:rPr>
        <w:t xml:space="preserve">ambas listas pueden ser </w:t>
      </w:r>
      <w:r w:rsidR="0070519D" w:rsidRPr="006A0A3F">
        <w:rPr>
          <w:rFonts w:ascii="Verdana" w:eastAsia="Times New Roman" w:hAnsi="Verdana"/>
          <w:color w:val="000000"/>
          <w:sz w:val="20"/>
          <w:szCs w:val="20"/>
        </w:rPr>
        <w:t xml:space="preserve">encontradas </w:t>
      </w:r>
      <w:r w:rsidR="008A4DD3" w:rsidRPr="006A0A3F">
        <w:rPr>
          <w:rFonts w:ascii="Verdana" w:eastAsia="Times New Roman" w:hAnsi="Verdana"/>
          <w:color w:val="000000"/>
          <w:sz w:val="20"/>
          <w:szCs w:val="20"/>
        </w:rPr>
        <w:t>en internet</w:t>
      </w:r>
      <w:r w:rsidR="0070519D" w:rsidRPr="006A0A3F">
        <w:rPr>
          <w:rFonts w:ascii="Verdana" w:eastAsia="Times New Roman" w:hAnsi="Verdana"/>
          <w:color w:val="000000"/>
          <w:sz w:val="20"/>
          <w:szCs w:val="20"/>
        </w:rPr>
        <w:t>, con</w:t>
      </w:r>
      <w:r w:rsidR="008A4DD3" w:rsidRPr="006A0A3F">
        <w:rPr>
          <w:rFonts w:ascii="Verdana" w:eastAsia="Times New Roman" w:hAnsi="Verdana"/>
          <w:color w:val="000000"/>
          <w:sz w:val="20"/>
          <w:szCs w:val="20"/>
        </w:rPr>
        <w:t xml:space="preserve"> un software que puede instalarse en cualquier computadora</w:t>
      </w:r>
      <w:r w:rsidR="008A4DD3" w:rsidRPr="006A0A3F">
        <w:rPr>
          <w:rStyle w:val="FootnoteReference"/>
          <w:rFonts w:ascii="Verdana" w:eastAsia="Times New Roman" w:hAnsi="Verdana"/>
          <w:color w:val="000000"/>
          <w:sz w:val="20"/>
          <w:szCs w:val="20"/>
        </w:rPr>
        <w:footnoteReference w:id="117"/>
      </w:r>
      <w:r w:rsidR="008A4DD3" w:rsidRPr="006A0A3F">
        <w:rPr>
          <w:rFonts w:ascii="Verdana" w:eastAsia="Times New Roman" w:hAnsi="Verdana"/>
          <w:color w:val="000000"/>
          <w:sz w:val="20"/>
          <w:szCs w:val="20"/>
        </w:rPr>
        <w:t xml:space="preserve">. </w:t>
      </w:r>
      <w:r w:rsidRPr="006A0A3F">
        <w:rPr>
          <w:rFonts w:ascii="Verdana" w:hAnsi="Verdana"/>
          <w:sz w:val="20"/>
          <w:szCs w:val="20"/>
        </w:rPr>
        <w:t xml:space="preserve">Varios declarantes refirieron que </w:t>
      </w:r>
      <w:r w:rsidR="008A4DD3" w:rsidRPr="006A0A3F">
        <w:rPr>
          <w:rFonts w:ascii="Verdana" w:hAnsi="Verdana"/>
          <w:sz w:val="20"/>
          <w:szCs w:val="20"/>
        </w:rPr>
        <w:t>ambas listas</w:t>
      </w:r>
      <w:r w:rsidR="006F093C" w:rsidRPr="006A0A3F">
        <w:rPr>
          <w:rFonts w:ascii="Verdana" w:hAnsi="Verdana"/>
          <w:sz w:val="20"/>
          <w:szCs w:val="20"/>
        </w:rPr>
        <w:t xml:space="preserve"> han sido utilizadas, y lo</w:t>
      </w:r>
      <w:r w:rsidR="008A4DD3" w:rsidRPr="006A0A3F">
        <w:rPr>
          <w:rFonts w:ascii="Verdana" w:hAnsi="Verdana"/>
          <w:sz w:val="20"/>
          <w:szCs w:val="20"/>
        </w:rPr>
        <w:t xml:space="preserve"> seguirían siendo </w:t>
      </w:r>
      <w:r w:rsidR="006F093C" w:rsidRPr="006A0A3F">
        <w:rPr>
          <w:rFonts w:ascii="Verdana" w:hAnsi="Verdana"/>
          <w:sz w:val="20"/>
          <w:szCs w:val="20"/>
        </w:rPr>
        <w:t>actualmente,</w:t>
      </w:r>
      <w:r w:rsidR="008A4DD3" w:rsidRPr="006A0A3F">
        <w:rPr>
          <w:rFonts w:ascii="Verdana" w:hAnsi="Verdana"/>
          <w:sz w:val="20"/>
          <w:szCs w:val="20"/>
        </w:rPr>
        <w:t xml:space="preserve"> </w:t>
      </w:r>
      <w:r w:rsidR="008A4DD3" w:rsidRPr="006A0A3F">
        <w:rPr>
          <w:rFonts w:ascii="Verdana" w:eastAsia="Times New Roman" w:hAnsi="Verdana"/>
          <w:color w:val="000000"/>
          <w:sz w:val="20"/>
          <w:szCs w:val="20"/>
        </w:rPr>
        <w:t>como bases de datos para incorporar información con fines políticos</w:t>
      </w:r>
      <w:r w:rsidR="00036214" w:rsidRPr="006A0A3F">
        <w:rPr>
          <w:rFonts w:ascii="Verdana" w:eastAsia="Times New Roman" w:hAnsi="Verdana"/>
          <w:color w:val="000000"/>
          <w:sz w:val="20"/>
          <w:szCs w:val="20"/>
        </w:rPr>
        <w:t xml:space="preserve"> o de control político</w:t>
      </w:r>
      <w:r w:rsidR="00177304" w:rsidRPr="006A0A3F">
        <w:rPr>
          <w:rStyle w:val="FootnoteReference"/>
          <w:rFonts w:ascii="Verdana" w:eastAsia="Times New Roman" w:hAnsi="Verdana"/>
          <w:color w:val="000000"/>
          <w:sz w:val="20"/>
          <w:szCs w:val="20"/>
        </w:rPr>
        <w:footnoteReference w:id="118"/>
      </w:r>
      <w:r w:rsidR="00177304" w:rsidRPr="006A0A3F">
        <w:rPr>
          <w:rFonts w:ascii="Verdana" w:eastAsia="Times New Roman" w:hAnsi="Verdana"/>
          <w:color w:val="000000"/>
          <w:sz w:val="20"/>
          <w:szCs w:val="20"/>
        </w:rPr>
        <w:t>.</w:t>
      </w:r>
    </w:p>
    <w:p w14:paraId="213CDE3E" w14:textId="77777777" w:rsidR="004A0CFB" w:rsidRPr="006A0A3F" w:rsidRDefault="004A0CFB" w:rsidP="00E41D9C">
      <w:pPr>
        <w:spacing w:after="0" w:line="240" w:lineRule="auto"/>
        <w:jc w:val="both"/>
        <w:rPr>
          <w:rFonts w:ascii="Verdana" w:hAnsi="Verdana"/>
          <w:sz w:val="20"/>
          <w:szCs w:val="20"/>
        </w:rPr>
      </w:pPr>
    </w:p>
    <w:p w14:paraId="709D5F3B" w14:textId="50F5B8EB" w:rsidR="00E41D9C" w:rsidRPr="006A0A3F" w:rsidRDefault="00E41D9C" w:rsidP="00580289">
      <w:pPr>
        <w:pStyle w:val="Heading2"/>
        <w:rPr>
          <w:rFonts w:ascii="Verdana" w:hAnsi="Verdana"/>
          <w:smallCaps/>
          <w:lang w:val="es-CR"/>
        </w:rPr>
      </w:pPr>
      <w:bookmarkStart w:id="22" w:name="_Toc433308902"/>
      <w:bookmarkStart w:id="23" w:name="_Toc505876990"/>
      <w:r w:rsidRPr="006A0A3F">
        <w:rPr>
          <w:rFonts w:ascii="Verdana" w:hAnsi="Verdana"/>
          <w:smallCaps/>
          <w:lang w:val="es-CR"/>
        </w:rPr>
        <w:t>La terminación de los contratos</w:t>
      </w:r>
      <w:bookmarkEnd w:id="22"/>
      <w:bookmarkEnd w:id="23"/>
    </w:p>
    <w:p w14:paraId="605B3CE3" w14:textId="77777777" w:rsidR="00E41D9C" w:rsidRPr="006A0A3F" w:rsidRDefault="00E41D9C" w:rsidP="00E41D9C">
      <w:pPr>
        <w:spacing w:after="0" w:line="240" w:lineRule="auto"/>
        <w:jc w:val="both"/>
        <w:rPr>
          <w:rFonts w:ascii="Verdana" w:hAnsi="Verdana"/>
          <w:sz w:val="20"/>
          <w:szCs w:val="20"/>
        </w:rPr>
      </w:pPr>
    </w:p>
    <w:p w14:paraId="273BC461" w14:textId="2F44CA41"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Las tres presuntas víctimas,</w:t>
      </w:r>
      <w:r w:rsidR="00394AE2" w:rsidRPr="006A0A3F">
        <w:rPr>
          <w:rFonts w:ascii="Verdana" w:hAnsi="Verdana"/>
          <w:sz w:val="20"/>
          <w:szCs w:val="20"/>
        </w:rPr>
        <w:t xml:space="preserve"> señoras</w:t>
      </w:r>
      <w:r w:rsidRPr="006A0A3F">
        <w:rPr>
          <w:rFonts w:ascii="Verdana" w:hAnsi="Verdana"/>
          <w:sz w:val="20"/>
          <w:szCs w:val="20"/>
        </w:rPr>
        <w:t xml:space="preserve"> Rocío San Miguel Sosa, </w:t>
      </w:r>
      <w:proofErr w:type="spellStart"/>
      <w:r w:rsidRPr="006A0A3F">
        <w:rPr>
          <w:rFonts w:ascii="Verdana" w:hAnsi="Verdana"/>
          <w:sz w:val="20"/>
          <w:szCs w:val="20"/>
        </w:rPr>
        <w:t>Magally</w:t>
      </w:r>
      <w:proofErr w:type="spellEnd"/>
      <w:r w:rsidRPr="006A0A3F">
        <w:rPr>
          <w:rFonts w:ascii="Verdana" w:hAnsi="Verdana"/>
          <w:sz w:val="20"/>
          <w:szCs w:val="20"/>
        </w:rPr>
        <w:t xml:space="preserve"> Chang Girón y Thais Coromoto Peña, </w:t>
      </w:r>
      <w:r w:rsidR="006559E8">
        <w:rPr>
          <w:rFonts w:ascii="Verdana" w:hAnsi="Verdana"/>
          <w:sz w:val="20"/>
          <w:szCs w:val="20"/>
        </w:rPr>
        <w:t>prestaron</w:t>
      </w:r>
      <w:r w:rsidR="00094740" w:rsidRPr="006A0A3F">
        <w:rPr>
          <w:rFonts w:ascii="Verdana" w:hAnsi="Verdana"/>
          <w:sz w:val="20"/>
          <w:szCs w:val="20"/>
        </w:rPr>
        <w:t xml:space="preserve"> sus servicios en</w:t>
      </w:r>
      <w:r w:rsidRPr="006A0A3F">
        <w:rPr>
          <w:rFonts w:ascii="Verdana" w:hAnsi="Verdana"/>
          <w:sz w:val="20"/>
          <w:szCs w:val="20"/>
        </w:rPr>
        <w:t xml:space="preserve"> el Consejo Nacional de Fronteras</w:t>
      </w:r>
      <w:r w:rsidR="00AC285F" w:rsidRPr="006A0A3F">
        <w:rPr>
          <w:rFonts w:ascii="Verdana" w:hAnsi="Verdana"/>
          <w:sz w:val="20"/>
          <w:szCs w:val="20"/>
        </w:rPr>
        <w:t xml:space="preserve"> (CNF) (en adelante también “CNF”)</w:t>
      </w:r>
      <w:r w:rsidRPr="006A0A3F">
        <w:rPr>
          <w:rFonts w:ascii="Verdana" w:hAnsi="Verdana"/>
          <w:sz w:val="20"/>
          <w:szCs w:val="20"/>
        </w:rPr>
        <w:t xml:space="preserve">, dependencia del Ministerio de Relaciones Exteriores, bajo la figura de contrato de servicios profesionales por períodos </w:t>
      </w:r>
      <w:r w:rsidR="00333C12" w:rsidRPr="006A0A3F">
        <w:rPr>
          <w:rFonts w:ascii="Verdana" w:hAnsi="Verdana"/>
          <w:sz w:val="20"/>
          <w:szCs w:val="20"/>
        </w:rPr>
        <w:t>mensuales</w:t>
      </w:r>
      <w:r w:rsidR="00094740" w:rsidRPr="006A0A3F">
        <w:rPr>
          <w:rFonts w:ascii="Verdana" w:hAnsi="Verdana"/>
          <w:sz w:val="20"/>
          <w:szCs w:val="20"/>
        </w:rPr>
        <w:t xml:space="preserve">, semestrales o </w:t>
      </w:r>
      <w:r w:rsidRPr="006A0A3F">
        <w:rPr>
          <w:rFonts w:ascii="Verdana" w:hAnsi="Verdana"/>
          <w:sz w:val="20"/>
          <w:szCs w:val="20"/>
        </w:rPr>
        <w:t>anuales</w:t>
      </w:r>
      <w:r w:rsidRPr="006A0A3F">
        <w:rPr>
          <w:rFonts w:ascii="Verdana" w:hAnsi="Verdana"/>
          <w:sz w:val="20"/>
          <w:szCs w:val="20"/>
          <w:vertAlign w:val="superscript"/>
        </w:rPr>
        <w:footnoteReference w:id="119"/>
      </w:r>
      <w:r w:rsidR="005039D4" w:rsidRPr="006A0A3F">
        <w:rPr>
          <w:rFonts w:ascii="Verdana" w:hAnsi="Verdana"/>
          <w:sz w:val="20"/>
          <w:szCs w:val="20"/>
        </w:rPr>
        <w:t>.</w:t>
      </w:r>
    </w:p>
    <w:p w14:paraId="3AE99701" w14:textId="77777777" w:rsidR="00E41D9C" w:rsidRPr="006A0A3F" w:rsidRDefault="00E41D9C" w:rsidP="00E41D9C">
      <w:pPr>
        <w:spacing w:after="0" w:line="240" w:lineRule="auto"/>
        <w:jc w:val="both"/>
        <w:rPr>
          <w:rFonts w:ascii="Verdana" w:hAnsi="Verdana"/>
          <w:sz w:val="20"/>
          <w:szCs w:val="20"/>
        </w:rPr>
      </w:pPr>
    </w:p>
    <w:p w14:paraId="6CF47EC9" w14:textId="2E79F236"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Rocío San Miguel Sosa inició </w:t>
      </w:r>
      <w:r w:rsidR="00CE7D8E" w:rsidRPr="006A0A3F">
        <w:rPr>
          <w:rFonts w:ascii="Verdana" w:hAnsi="Verdana"/>
          <w:sz w:val="20"/>
          <w:szCs w:val="20"/>
        </w:rPr>
        <w:t>sus servicios</w:t>
      </w:r>
      <w:r w:rsidRPr="006A0A3F">
        <w:rPr>
          <w:rFonts w:ascii="Verdana" w:hAnsi="Verdana"/>
          <w:sz w:val="20"/>
          <w:szCs w:val="20"/>
        </w:rPr>
        <w:t xml:space="preserve"> como asesora jurídica en el </w:t>
      </w:r>
      <w:r w:rsidR="00AC285F" w:rsidRPr="006A0A3F">
        <w:rPr>
          <w:rFonts w:ascii="Verdana" w:hAnsi="Verdana"/>
          <w:sz w:val="20"/>
          <w:szCs w:val="20"/>
        </w:rPr>
        <w:t>CNF</w:t>
      </w:r>
      <w:r w:rsidRPr="006A0A3F">
        <w:rPr>
          <w:rFonts w:ascii="Verdana" w:hAnsi="Verdana"/>
          <w:sz w:val="20"/>
          <w:szCs w:val="20"/>
        </w:rPr>
        <w:t xml:space="preserve"> en julio de 1996 y</w:t>
      </w:r>
      <w:r w:rsidR="00AC285F" w:rsidRPr="006A0A3F">
        <w:rPr>
          <w:rFonts w:ascii="Verdana" w:hAnsi="Verdana"/>
          <w:sz w:val="20"/>
          <w:szCs w:val="20"/>
        </w:rPr>
        <w:t>,</w:t>
      </w:r>
      <w:r w:rsidRPr="006A0A3F">
        <w:rPr>
          <w:rFonts w:ascii="Verdana" w:hAnsi="Verdana"/>
          <w:sz w:val="20"/>
          <w:szCs w:val="20"/>
        </w:rPr>
        <w:t xml:space="preserve"> mediante la suscripción continuada de contratos de servicios</w:t>
      </w:r>
      <w:r w:rsidRPr="006A0A3F">
        <w:rPr>
          <w:rFonts w:ascii="Verdana" w:hAnsi="Verdana"/>
          <w:sz w:val="20"/>
          <w:szCs w:val="20"/>
          <w:vertAlign w:val="superscript"/>
        </w:rPr>
        <w:footnoteReference w:id="120"/>
      </w:r>
      <w:r w:rsidR="00AC285F" w:rsidRPr="006A0A3F">
        <w:rPr>
          <w:rFonts w:ascii="Verdana" w:hAnsi="Verdana"/>
          <w:sz w:val="20"/>
          <w:szCs w:val="20"/>
        </w:rPr>
        <w:t>, trabajó en dicho</w:t>
      </w:r>
      <w:r w:rsidRPr="006A0A3F">
        <w:rPr>
          <w:rFonts w:ascii="Verdana" w:hAnsi="Verdana"/>
          <w:sz w:val="20"/>
          <w:szCs w:val="20"/>
        </w:rPr>
        <w:t xml:space="preserve"> </w:t>
      </w:r>
      <w:r w:rsidR="00AC285F" w:rsidRPr="006A0A3F">
        <w:rPr>
          <w:rFonts w:ascii="Verdana" w:hAnsi="Verdana"/>
          <w:sz w:val="20"/>
          <w:szCs w:val="20"/>
        </w:rPr>
        <w:t xml:space="preserve">órgano </w:t>
      </w:r>
      <w:r w:rsidRPr="006A0A3F">
        <w:rPr>
          <w:rFonts w:ascii="Verdana" w:hAnsi="Verdana"/>
          <w:sz w:val="20"/>
          <w:szCs w:val="20"/>
        </w:rPr>
        <w:t xml:space="preserve">hasta el fin del mes de mayo de 2004. Su último contrato </w:t>
      </w:r>
      <w:r w:rsidR="00AC285F" w:rsidRPr="006A0A3F">
        <w:rPr>
          <w:rFonts w:ascii="Verdana" w:hAnsi="Verdana"/>
          <w:sz w:val="20"/>
          <w:szCs w:val="20"/>
        </w:rPr>
        <w:t>fue suscrito</w:t>
      </w:r>
      <w:r w:rsidRPr="006A0A3F">
        <w:rPr>
          <w:rFonts w:ascii="Verdana" w:hAnsi="Verdana"/>
          <w:sz w:val="20"/>
          <w:szCs w:val="20"/>
        </w:rPr>
        <w:t xml:space="preserve"> por el plazo de un año desde el 1 de enero al 31 de diciembre de 2004</w:t>
      </w:r>
      <w:r w:rsidRPr="006A0A3F">
        <w:rPr>
          <w:rFonts w:ascii="Verdana" w:hAnsi="Verdana"/>
          <w:sz w:val="20"/>
          <w:szCs w:val="20"/>
          <w:vertAlign w:val="superscript"/>
        </w:rPr>
        <w:footnoteReference w:id="121"/>
      </w:r>
      <w:r w:rsidRPr="006A0A3F">
        <w:rPr>
          <w:rFonts w:ascii="Verdana" w:hAnsi="Verdana"/>
          <w:sz w:val="20"/>
          <w:szCs w:val="20"/>
        </w:rPr>
        <w:t xml:space="preserve">.  </w:t>
      </w:r>
    </w:p>
    <w:p w14:paraId="7AB0DAA7" w14:textId="77777777" w:rsidR="00E41D9C" w:rsidRPr="006A0A3F" w:rsidRDefault="00E41D9C" w:rsidP="00E41D9C">
      <w:pPr>
        <w:spacing w:after="0" w:line="240" w:lineRule="auto"/>
        <w:jc w:val="both"/>
        <w:rPr>
          <w:rFonts w:ascii="Verdana" w:hAnsi="Verdana"/>
          <w:sz w:val="20"/>
          <w:szCs w:val="20"/>
        </w:rPr>
      </w:pPr>
    </w:p>
    <w:p w14:paraId="6DC13FC3" w14:textId="172DDAA1"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proofErr w:type="spellStart"/>
      <w:r w:rsidRPr="006A0A3F">
        <w:rPr>
          <w:rFonts w:ascii="Verdana" w:hAnsi="Verdana"/>
          <w:sz w:val="20"/>
          <w:szCs w:val="20"/>
        </w:rPr>
        <w:t>Magally</w:t>
      </w:r>
      <w:proofErr w:type="spellEnd"/>
      <w:r w:rsidRPr="006A0A3F">
        <w:rPr>
          <w:rFonts w:ascii="Verdana" w:hAnsi="Verdana"/>
          <w:sz w:val="20"/>
          <w:szCs w:val="20"/>
        </w:rPr>
        <w:t xml:space="preserve"> Chang</w:t>
      </w:r>
      <w:r w:rsidR="00AC285F" w:rsidRPr="006A0A3F">
        <w:rPr>
          <w:rFonts w:ascii="Verdana" w:hAnsi="Verdana"/>
          <w:sz w:val="20"/>
          <w:szCs w:val="20"/>
        </w:rPr>
        <w:t xml:space="preserve"> Girón inició</w:t>
      </w:r>
      <w:r w:rsidR="00394AE2" w:rsidRPr="006A0A3F">
        <w:rPr>
          <w:rFonts w:ascii="Verdana" w:hAnsi="Verdana"/>
          <w:sz w:val="20"/>
          <w:szCs w:val="20"/>
        </w:rPr>
        <w:t xml:space="preserve"> sus </w:t>
      </w:r>
      <w:r w:rsidR="00CE7D8E" w:rsidRPr="006A0A3F">
        <w:rPr>
          <w:rFonts w:ascii="Verdana" w:hAnsi="Verdana"/>
          <w:sz w:val="20"/>
          <w:szCs w:val="20"/>
        </w:rPr>
        <w:t>servicios</w:t>
      </w:r>
      <w:r w:rsidR="00394AE2" w:rsidRPr="006A0A3F">
        <w:rPr>
          <w:rFonts w:ascii="Verdana" w:hAnsi="Verdana"/>
          <w:sz w:val="20"/>
          <w:szCs w:val="20"/>
        </w:rPr>
        <w:t xml:space="preserve"> como a</w:t>
      </w:r>
      <w:r w:rsidRPr="006A0A3F">
        <w:rPr>
          <w:rFonts w:ascii="Verdana" w:hAnsi="Verdana"/>
          <w:sz w:val="20"/>
          <w:szCs w:val="20"/>
        </w:rPr>
        <w:t xml:space="preserve">sistente de </w:t>
      </w:r>
      <w:r w:rsidR="00394AE2" w:rsidRPr="006A0A3F">
        <w:rPr>
          <w:rFonts w:ascii="Verdana" w:hAnsi="Verdana"/>
          <w:sz w:val="20"/>
          <w:szCs w:val="20"/>
        </w:rPr>
        <w:t>p</w:t>
      </w:r>
      <w:r w:rsidRPr="006A0A3F">
        <w:rPr>
          <w:rFonts w:ascii="Verdana" w:hAnsi="Verdana"/>
          <w:sz w:val="20"/>
          <w:szCs w:val="20"/>
        </w:rPr>
        <w:t xml:space="preserve">ersonal y luego como </w:t>
      </w:r>
      <w:r w:rsidR="00394AE2" w:rsidRPr="006A0A3F">
        <w:rPr>
          <w:rFonts w:ascii="Verdana" w:hAnsi="Verdana"/>
          <w:sz w:val="20"/>
          <w:szCs w:val="20"/>
        </w:rPr>
        <w:t>c</w:t>
      </w:r>
      <w:r w:rsidRPr="006A0A3F">
        <w:rPr>
          <w:rFonts w:ascii="Verdana" w:hAnsi="Verdana"/>
          <w:sz w:val="20"/>
          <w:szCs w:val="20"/>
        </w:rPr>
        <w:t xml:space="preserve">oordinadora de </w:t>
      </w:r>
      <w:r w:rsidR="00394AE2" w:rsidRPr="006A0A3F">
        <w:rPr>
          <w:rFonts w:ascii="Verdana" w:hAnsi="Verdana"/>
          <w:sz w:val="20"/>
          <w:szCs w:val="20"/>
        </w:rPr>
        <w:t>p</w:t>
      </w:r>
      <w:r w:rsidRPr="006A0A3F">
        <w:rPr>
          <w:rFonts w:ascii="Verdana" w:hAnsi="Verdana"/>
          <w:sz w:val="20"/>
          <w:szCs w:val="20"/>
        </w:rPr>
        <w:t xml:space="preserve">ersonal del </w:t>
      </w:r>
      <w:r w:rsidR="00AC285F" w:rsidRPr="006A0A3F">
        <w:rPr>
          <w:rFonts w:ascii="Verdana" w:hAnsi="Verdana"/>
          <w:sz w:val="20"/>
          <w:szCs w:val="20"/>
        </w:rPr>
        <w:t xml:space="preserve">CNF </w:t>
      </w:r>
      <w:r w:rsidRPr="006A0A3F">
        <w:rPr>
          <w:rFonts w:ascii="Verdana" w:hAnsi="Verdana"/>
          <w:sz w:val="20"/>
          <w:szCs w:val="20"/>
        </w:rPr>
        <w:t>en mayo de 1997</w:t>
      </w:r>
      <w:r w:rsidR="00AC285F" w:rsidRPr="006A0A3F">
        <w:rPr>
          <w:rFonts w:ascii="Verdana" w:hAnsi="Verdana"/>
          <w:sz w:val="20"/>
          <w:szCs w:val="20"/>
        </w:rPr>
        <w:t>,</w:t>
      </w:r>
      <w:r w:rsidRPr="006A0A3F">
        <w:rPr>
          <w:rFonts w:ascii="Verdana" w:hAnsi="Verdana"/>
          <w:sz w:val="20"/>
          <w:szCs w:val="20"/>
        </w:rPr>
        <w:t xml:space="preserve"> celebrando contratos mensuales, </w:t>
      </w:r>
      <w:r w:rsidR="00AC285F" w:rsidRPr="006A0A3F">
        <w:rPr>
          <w:rFonts w:ascii="Verdana" w:hAnsi="Verdana"/>
          <w:sz w:val="20"/>
          <w:szCs w:val="20"/>
        </w:rPr>
        <w:t xml:space="preserve">semestrales y anuales con dicho órgano </w:t>
      </w:r>
      <w:r w:rsidRPr="006A0A3F">
        <w:rPr>
          <w:rFonts w:ascii="Verdana" w:hAnsi="Verdana"/>
          <w:sz w:val="20"/>
          <w:szCs w:val="20"/>
        </w:rPr>
        <w:t>para prestación de servicios profesionales</w:t>
      </w:r>
      <w:r w:rsidRPr="006A0A3F">
        <w:rPr>
          <w:rFonts w:ascii="Verdana" w:hAnsi="Verdana"/>
          <w:sz w:val="20"/>
          <w:szCs w:val="20"/>
          <w:vertAlign w:val="superscript"/>
        </w:rPr>
        <w:footnoteReference w:id="122"/>
      </w:r>
      <w:r w:rsidRPr="006A0A3F">
        <w:rPr>
          <w:rFonts w:ascii="Verdana" w:hAnsi="Verdana"/>
          <w:sz w:val="20"/>
          <w:szCs w:val="20"/>
        </w:rPr>
        <w:t xml:space="preserve">. Su último contrato </w:t>
      </w:r>
      <w:r w:rsidR="00AC285F" w:rsidRPr="006A0A3F">
        <w:rPr>
          <w:rFonts w:ascii="Verdana" w:hAnsi="Verdana"/>
          <w:sz w:val="20"/>
          <w:szCs w:val="20"/>
        </w:rPr>
        <w:t>fue suscrito</w:t>
      </w:r>
      <w:r w:rsidRPr="006A0A3F">
        <w:rPr>
          <w:rFonts w:ascii="Verdana" w:hAnsi="Verdana"/>
          <w:sz w:val="20"/>
          <w:szCs w:val="20"/>
        </w:rPr>
        <w:t xml:space="preserve"> por el plazo de un año desde el 1 de enero al 31 de diciembre de 2004</w:t>
      </w:r>
      <w:r w:rsidRPr="006A0A3F">
        <w:rPr>
          <w:rFonts w:ascii="Verdana" w:hAnsi="Verdana"/>
          <w:sz w:val="20"/>
          <w:szCs w:val="20"/>
          <w:vertAlign w:val="superscript"/>
        </w:rPr>
        <w:footnoteReference w:id="123"/>
      </w:r>
      <w:r w:rsidRPr="006A0A3F">
        <w:rPr>
          <w:rFonts w:ascii="Verdana" w:hAnsi="Verdana"/>
          <w:sz w:val="20"/>
          <w:szCs w:val="20"/>
        </w:rPr>
        <w:t xml:space="preserve">.  </w:t>
      </w:r>
    </w:p>
    <w:p w14:paraId="29B808DD" w14:textId="77777777" w:rsidR="00E41D9C" w:rsidRPr="006A0A3F" w:rsidRDefault="00E41D9C" w:rsidP="00E41D9C">
      <w:pPr>
        <w:spacing w:after="0" w:line="240" w:lineRule="auto"/>
        <w:jc w:val="both"/>
        <w:rPr>
          <w:rFonts w:ascii="Verdana" w:hAnsi="Verdana"/>
          <w:sz w:val="20"/>
          <w:szCs w:val="20"/>
        </w:rPr>
      </w:pPr>
    </w:p>
    <w:p w14:paraId="1438C4DA" w14:textId="152312DE"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Thais C</w:t>
      </w:r>
      <w:r w:rsidR="00394AE2" w:rsidRPr="006A0A3F">
        <w:rPr>
          <w:rFonts w:ascii="Verdana" w:hAnsi="Verdana"/>
          <w:sz w:val="20"/>
          <w:szCs w:val="20"/>
        </w:rPr>
        <w:t>oromoto Peña se desempeñó como e</w:t>
      </w:r>
      <w:r w:rsidRPr="006A0A3F">
        <w:rPr>
          <w:rFonts w:ascii="Verdana" w:hAnsi="Verdana"/>
          <w:sz w:val="20"/>
          <w:szCs w:val="20"/>
        </w:rPr>
        <w:t xml:space="preserve">jecutiva de </w:t>
      </w:r>
      <w:r w:rsidR="00394AE2" w:rsidRPr="006A0A3F">
        <w:rPr>
          <w:rFonts w:ascii="Verdana" w:hAnsi="Verdana"/>
          <w:sz w:val="20"/>
          <w:szCs w:val="20"/>
        </w:rPr>
        <w:t>r</w:t>
      </w:r>
      <w:r w:rsidRPr="006A0A3F">
        <w:rPr>
          <w:rFonts w:ascii="Verdana" w:hAnsi="Verdana"/>
          <w:sz w:val="20"/>
          <w:szCs w:val="20"/>
        </w:rPr>
        <w:t xml:space="preserve">elaciones </w:t>
      </w:r>
      <w:r w:rsidR="00394AE2" w:rsidRPr="006A0A3F">
        <w:rPr>
          <w:rFonts w:ascii="Verdana" w:hAnsi="Verdana"/>
          <w:sz w:val="20"/>
          <w:szCs w:val="20"/>
        </w:rPr>
        <w:t>p</w:t>
      </w:r>
      <w:r w:rsidRPr="006A0A3F">
        <w:rPr>
          <w:rFonts w:ascii="Verdana" w:hAnsi="Verdana"/>
          <w:sz w:val="20"/>
          <w:szCs w:val="20"/>
        </w:rPr>
        <w:t xml:space="preserve">úblicas o </w:t>
      </w:r>
      <w:r w:rsidR="00394AE2" w:rsidRPr="006A0A3F">
        <w:rPr>
          <w:rFonts w:ascii="Verdana" w:hAnsi="Verdana"/>
          <w:sz w:val="20"/>
          <w:szCs w:val="20"/>
        </w:rPr>
        <w:t>s</w:t>
      </w:r>
      <w:r w:rsidRPr="006A0A3F">
        <w:rPr>
          <w:rFonts w:ascii="Verdana" w:hAnsi="Verdana"/>
          <w:sz w:val="20"/>
          <w:szCs w:val="20"/>
        </w:rPr>
        <w:t xml:space="preserve">ecretaria del </w:t>
      </w:r>
      <w:r w:rsidR="00AC285F" w:rsidRPr="006A0A3F">
        <w:rPr>
          <w:rFonts w:ascii="Verdana" w:hAnsi="Verdana"/>
          <w:sz w:val="20"/>
          <w:szCs w:val="20"/>
        </w:rPr>
        <w:t>CNF</w:t>
      </w:r>
      <w:r w:rsidRPr="006A0A3F">
        <w:rPr>
          <w:rFonts w:ascii="Verdana" w:hAnsi="Verdana"/>
          <w:sz w:val="20"/>
          <w:szCs w:val="20"/>
        </w:rPr>
        <w:t xml:space="preserve"> entre el 1 de abril d</w:t>
      </w:r>
      <w:r w:rsidR="00AC285F" w:rsidRPr="006A0A3F">
        <w:rPr>
          <w:rFonts w:ascii="Verdana" w:hAnsi="Verdana"/>
          <w:sz w:val="20"/>
          <w:szCs w:val="20"/>
        </w:rPr>
        <w:t xml:space="preserve">e 2000 y el 12 de marzo de 2004, </w:t>
      </w:r>
      <w:r w:rsidRPr="006A0A3F">
        <w:rPr>
          <w:rFonts w:ascii="Verdana" w:hAnsi="Verdana"/>
          <w:sz w:val="20"/>
          <w:szCs w:val="20"/>
        </w:rPr>
        <w:t xml:space="preserve">celebrando diversos contratos </w:t>
      </w:r>
      <w:r w:rsidRPr="006A0A3F">
        <w:rPr>
          <w:rFonts w:ascii="Verdana" w:hAnsi="Verdana"/>
          <w:sz w:val="20"/>
          <w:szCs w:val="20"/>
        </w:rPr>
        <w:lastRenderedPageBreak/>
        <w:t>anuales con dicha institución</w:t>
      </w:r>
      <w:r w:rsidRPr="006A0A3F">
        <w:rPr>
          <w:rFonts w:ascii="Verdana" w:hAnsi="Verdana"/>
          <w:sz w:val="20"/>
          <w:szCs w:val="20"/>
          <w:vertAlign w:val="superscript"/>
        </w:rPr>
        <w:footnoteReference w:id="124"/>
      </w:r>
      <w:r w:rsidRPr="006A0A3F">
        <w:rPr>
          <w:rFonts w:ascii="Verdana" w:hAnsi="Verdana"/>
          <w:sz w:val="20"/>
          <w:szCs w:val="20"/>
          <w:vertAlign w:val="superscript"/>
        </w:rPr>
        <w:t xml:space="preserve">. </w:t>
      </w:r>
      <w:r w:rsidRPr="006A0A3F">
        <w:rPr>
          <w:rFonts w:ascii="Verdana" w:hAnsi="Verdana"/>
          <w:sz w:val="20"/>
          <w:szCs w:val="20"/>
        </w:rPr>
        <w:t xml:space="preserve"> Su último contrato </w:t>
      </w:r>
      <w:r w:rsidR="00AC285F" w:rsidRPr="006A0A3F">
        <w:rPr>
          <w:rFonts w:ascii="Verdana" w:hAnsi="Verdana"/>
          <w:sz w:val="20"/>
          <w:szCs w:val="20"/>
        </w:rPr>
        <w:t>fue suscrito</w:t>
      </w:r>
      <w:r w:rsidRPr="006A0A3F">
        <w:rPr>
          <w:rFonts w:ascii="Verdana" w:hAnsi="Verdana"/>
          <w:sz w:val="20"/>
          <w:szCs w:val="20"/>
        </w:rPr>
        <w:t xml:space="preserve"> por el plazo de un año desde el 1 de enero al 31 de diciembre de 2004</w:t>
      </w:r>
      <w:r w:rsidRPr="006A0A3F">
        <w:rPr>
          <w:rFonts w:ascii="Verdana" w:hAnsi="Verdana"/>
          <w:sz w:val="20"/>
          <w:szCs w:val="20"/>
          <w:vertAlign w:val="superscript"/>
        </w:rPr>
        <w:footnoteReference w:id="125"/>
      </w:r>
      <w:r w:rsidRPr="006A0A3F">
        <w:rPr>
          <w:rFonts w:ascii="Verdana" w:hAnsi="Verdana"/>
          <w:sz w:val="20"/>
          <w:szCs w:val="20"/>
          <w:vertAlign w:val="superscript"/>
        </w:rPr>
        <w:t>.</w:t>
      </w:r>
      <w:r w:rsidRPr="006A0A3F">
        <w:rPr>
          <w:rFonts w:ascii="Verdana" w:hAnsi="Verdana"/>
          <w:sz w:val="20"/>
          <w:szCs w:val="20"/>
        </w:rPr>
        <w:t xml:space="preserve"> </w:t>
      </w:r>
    </w:p>
    <w:p w14:paraId="60E4AC5F" w14:textId="77777777" w:rsidR="00E41D9C" w:rsidRPr="006A0A3F" w:rsidRDefault="00E41D9C" w:rsidP="00E41D9C">
      <w:pPr>
        <w:spacing w:after="0" w:line="240" w:lineRule="auto"/>
        <w:jc w:val="both"/>
        <w:rPr>
          <w:rFonts w:ascii="Verdana" w:hAnsi="Verdana"/>
          <w:sz w:val="20"/>
          <w:szCs w:val="20"/>
        </w:rPr>
      </w:pPr>
    </w:p>
    <w:p w14:paraId="3FB595CC" w14:textId="22FD8CFA"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En los meses de noviembre y diciembre de 2003 las tres presuntas víctima</w:t>
      </w:r>
      <w:r w:rsidR="00AC285F" w:rsidRPr="006A0A3F">
        <w:rPr>
          <w:rFonts w:ascii="Verdana" w:hAnsi="Verdana"/>
          <w:sz w:val="20"/>
          <w:szCs w:val="20"/>
        </w:rPr>
        <w:t>s decidieron participar en el “</w:t>
      </w:r>
      <w:proofErr w:type="spellStart"/>
      <w:r w:rsidR="00AC285F" w:rsidRPr="006A0A3F">
        <w:rPr>
          <w:rFonts w:ascii="Verdana" w:hAnsi="Verdana"/>
          <w:sz w:val="20"/>
          <w:szCs w:val="20"/>
        </w:rPr>
        <w:t>R</w:t>
      </w:r>
      <w:r w:rsidRPr="006A0A3F">
        <w:rPr>
          <w:rFonts w:ascii="Verdana" w:hAnsi="Verdana"/>
          <w:sz w:val="20"/>
          <w:szCs w:val="20"/>
        </w:rPr>
        <w:t>eafirmazo</w:t>
      </w:r>
      <w:proofErr w:type="spellEnd"/>
      <w:r w:rsidRPr="006A0A3F">
        <w:rPr>
          <w:rFonts w:ascii="Verdana" w:hAnsi="Verdana"/>
          <w:sz w:val="20"/>
          <w:szCs w:val="20"/>
        </w:rPr>
        <w:t>” y firmaron la solicitud de referendo revocatorio del entonces Presidente</w:t>
      </w:r>
      <w:r w:rsidRPr="006A0A3F">
        <w:rPr>
          <w:rFonts w:ascii="Verdana" w:hAnsi="Verdana"/>
          <w:sz w:val="20"/>
          <w:szCs w:val="20"/>
          <w:vertAlign w:val="superscript"/>
        </w:rPr>
        <w:footnoteReference w:id="126"/>
      </w:r>
      <w:r w:rsidRPr="006A0A3F">
        <w:rPr>
          <w:rFonts w:ascii="Verdana" w:hAnsi="Verdana"/>
          <w:sz w:val="20"/>
          <w:szCs w:val="20"/>
        </w:rPr>
        <w:t xml:space="preserve">. </w:t>
      </w:r>
    </w:p>
    <w:p w14:paraId="5EF3D0AF" w14:textId="77777777" w:rsidR="00E41D9C" w:rsidRPr="006A0A3F" w:rsidRDefault="00E41D9C" w:rsidP="00E41D9C">
      <w:pPr>
        <w:spacing w:after="0" w:line="240" w:lineRule="auto"/>
        <w:jc w:val="both"/>
        <w:rPr>
          <w:rFonts w:ascii="Verdana" w:hAnsi="Verdana"/>
          <w:sz w:val="20"/>
          <w:szCs w:val="20"/>
        </w:rPr>
      </w:pPr>
    </w:p>
    <w:p w14:paraId="4A99B326" w14:textId="4BEF9EAD" w:rsidR="00E41D9C" w:rsidRPr="006A0A3F" w:rsidRDefault="00394AE2"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Mediante </w:t>
      </w:r>
      <w:r w:rsidR="00E50A1C" w:rsidRPr="006A0A3F">
        <w:rPr>
          <w:rFonts w:ascii="Verdana" w:hAnsi="Verdana"/>
          <w:sz w:val="20"/>
          <w:szCs w:val="20"/>
        </w:rPr>
        <w:t>cartas</w:t>
      </w:r>
      <w:r w:rsidR="00E41D9C" w:rsidRPr="006A0A3F">
        <w:rPr>
          <w:rFonts w:ascii="Verdana" w:hAnsi="Verdana"/>
          <w:sz w:val="20"/>
          <w:szCs w:val="20"/>
        </w:rPr>
        <w:t xml:space="preserve"> de fecha 12 de marzo de 2004</w:t>
      </w:r>
      <w:r w:rsidR="00E41D9C" w:rsidRPr="006A0A3F">
        <w:rPr>
          <w:rFonts w:ascii="Verdana" w:hAnsi="Verdana"/>
          <w:sz w:val="20"/>
          <w:szCs w:val="20"/>
          <w:vertAlign w:val="superscript"/>
        </w:rPr>
        <w:footnoteReference w:id="127"/>
      </w:r>
      <w:r w:rsidRPr="006A0A3F">
        <w:rPr>
          <w:rFonts w:ascii="Verdana" w:hAnsi="Verdana"/>
          <w:sz w:val="20"/>
          <w:szCs w:val="20"/>
        </w:rPr>
        <w:t xml:space="preserve">, </w:t>
      </w:r>
      <w:r w:rsidR="00E41D9C" w:rsidRPr="006A0A3F">
        <w:rPr>
          <w:rFonts w:ascii="Verdana" w:hAnsi="Verdana"/>
          <w:sz w:val="20"/>
          <w:szCs w:val="20"/>
        </w:rPr>
        <w:t xml:space="preserve">el </w:t>
      </w:r>
      <w:r w:rsidRPr="006A0A3F">
        <w:rPr>
          <w:rFonts w:ascii="Verdana" w:hAnsi="Verdana"/>
          <w:sz w:val="20"/>
          <w:szCs w:val="20"/>
        </w:rPr>
        <w:t xml:space="preserve">entonces </w:t>
      </w:r>
      <w:r w:rsidR="00E41D9C" w:rsidRPr="006A0A3F">
        <w:rPr>
          <w:rFonts w:ascii="Verdana" w:hAnsi="Verdana"/>
          <w:sz w:val="20"/>
          <w:szCs w:val="20"/>
        </w:rPr>
        <w:t>Presidente del Consejo Nacional de Fronteras</w:t>
      </w:r>
      <w:r w:rsidRPr="006A0A3F">
        <w:rPr>
          <w:rFonts w:ascii="Verdana" w:hAnsi="Verdana"/>
          <w:sz w:val="20"/>
          <w:szCs w:val="20"/>
        </w:rPr>
        <w:t>, José Vicente Rangel Vale</w:t>
      </w:r>
      <w:r w:rsidR="00F20327" w:rsidRPr="006A0A3F">
        <w:rPr>
          <w:rFonts w:ascii="Verdana" w:hAnsi="Verdana"/>
          <w:sz w:val="20"/>
          <w:szCs w:val="20"/>
        </w:rPr>
        <w:t xml:space="preserve"> (quien también tenía el cargo de Vicepresidente Ejecutivo de la República)</w:t>
      </w:r>
      <w:r w:rsidRPr="006A0A3F">
        <w:rPr>
          <w:rFonts w:ascii="Verdana" w:hAnsi="Verdana"/>
          <w:sz w:val="20"/>
          <w:szCs w:val="20"/>
        </w:rPr>
        <w:t>,</w:t>
      </w:r>
      <w:r w:rsidR="00E41D9C" w:rsidRPr="006A0A3F">
        <w:rPr>
          <w:rFonts w:ascii="Verdana" w:hAnsi="Verdana"/>
          <w:sz w:val="20"/>
          <w:szCs w:val="20"/>
        </w:rPr>
        <w:t xml:space="preserve"> </w:t>
      </w:r>
      <w:r w:rsidRPr="006A0A3F">
        <w:rPr>
          <w:rFonts w:ascii="Verdana" w:hAnsi="Verdana"/>
          <w:sz w:val="20"/>
          <w:szCs w:val="20"/>
        </w:rPr>
        <w:t xml:space="preserve">informó </w:t>
      </w:r>
      <w:r w:rsidR="00E41D9C" w:rsidRPr="006A0A3F">
        <w:rPr>
          <w:rFonts w:ascii="Verdana" w:hAnsi="Verdana"/>
          <w:sz w:val="20"/>
          <w:szCs w:val="20"/>
        </w:rPr>
        <w:t xml:space="preserve">a Rocío San Miguel Sosa, </w:t>
      </w:r>
      <w:proofErr w:type="spellStart"/>
      <w:r w:rsidR="00E41D9C" w:rsidRPr="006A0A3F">
        <w:rPr>
          <w:rFonts w:ascii="Verdana" w:hAnsi="Verdana"/>
          <w:sz w:val="20"/>
          <w:szCs w:val="20"/>
        </w:rPr>
        <w:t>Magally</w:t>
      </w:r>
      <w:proofErr w:type="spellEnd"/>
      <w:r w:rsidR="00E41D9C" w:rsidRPr="006A0A3F">
        <w:rPr>
          <w:rFonts w:ascii="Verdana" w:hAnsi="Verdana"/>
          <w:sz w:val="20"/>
          <w:szCs w:val="20"/>
        </w:rPr>
        <w:t xml:space="preserve"> Chang Girón, Thais Coromoto Peña</w:t>
      </w:r>
      <w:r w:rsidR="00E41D9C" w:rsidRPr="006A0A3F">
        <w:rPr>
          <w:rFonts w:ascii="Verdana" w:hAnsi="Verdana"/>
          <w:sz w:val="18"/>
          <w:szCs w:val="20"/>
        </w:rPr>
        <w:t xml:space="preserve"> </w:t>
      </w:r>
      <w:r w:rsidR="00E41D9C" w:rsidRPr="006A0A3F">
        <w:rPr>
          <w:rFonts w:ascii="Verdana" w:hAnsi="Verdana"/>
          <w:sz w:val="20"/>
          <w:szCs w:val="20"/>
        </w:rPr>
        <w:t>su decisión de dar por terminados sus contratos a partir del 1 de abril de 2004</w:t>
      </w:r>
      <w:r w:rsidRPr="006A0A3F">
        <w:rPr>
          <w:rFonts w:ascii="Verdana" w:hAnsi="Verdana"/>
          <w:sz w:val="20"/>
          <w:szCs w:val="20"/>
        </w:rPr>
        <w:t>. El texto de tales comunicaciones únicamente indica lo siguiente: “Me dirijo a usted, con la finalidad de anunciarle mi decisión de dar por terminado su contrato de trabajo (…) a partir del 1 de abril del presente año”</w:t>
      </w:r>
      <w:r w:rsidR="00D01B08" w:rsidRPr="006A0A3F">
        <w:rPr>
          <w:rFonts w:ascii="Verdana" w:hAnsi="Verdana"/>
          <w:sz w:val="20"/>
          <w:szCs w:val="20"/>
        </w:rPr>
        <w:t>. Las presuntas ví</w:t>
      </w:r>
      <w:r w:rsidR="00333C12" w:rsidRPr="006A0A3F">
        <w:rPr>
          <w:rFonts w:ascii="Verdana" w:hAnsi="Verdana"/>
          <w:sz w:val="20"/>
          <w:szCs w:val="20"/>
        </w:rPr>
        <w:t>ctimas prestaron sus servicios en e</w:t>
      </w:r>
      <w:r w:rsidR="00D01B08" w:rsidRPr="006A0A3F">
        <w:rPr>
          <w:rFonts w:ascii="Verdana" w:hAnsi="Verdana"/>
          <w:sz w:val="20"/>
          <w:szCs w:val="20"/>
        </w:rPr>
        <w:t>l Consejo Nacional de Fronteras hasta el 30 de abril de 2004</w:t>
      </w:r>
      <w:r w:rsidRPr="006A0A3F">
        <w:rPr>
          <w:rFonts w:ascii="Verdana" w:hAnsi="Verdana"/>
          <w:sz w:val="20"/>
          <w:szCs w:val="20"/>
          <w:vertAlign w:val="superscript"/>
        </w:rPr>
        <w:footnoteReference w:id="128"/>
      </w:r>
      <w:r w:rsidRPr="006A0A3F">
        <w:rPr>
          <w:rFonts w:ascii="Verdana" w:hAnsi="Verdana"/>
          <w:sz w:val="20"/>
          <w:szCs w:val="20"/>
        </w:rPr>
        <w:t xml:space="preserve">. </w:t>
      </w:r>
      <w:r w:rsidR="0026676C" w:rsidRPr="006A0A3F">
        <w:rPr>
          <w:rFonts w:ascii="Verdana" w:hAnsi="Verdana"/>
          <w:sz w:val="20"/>
          <w:szCs w:val="20"/>
        </w:rPr>
        <w:t xml:space="preserve">En ese momento recibieron </w:t>
      </w:r>
      <w:r w:rsidR="00CE7D8E" w:rsidRPr="006A0A3F">
        <w:rPr>
          <w:rFonts w:ascii="Verdana" w:hAnsi="Verdana"/>
          <w:sz w:val="20"/>
          <w:szCs w:val="20"/>
        </w:rPr>
        <w:t xml:space="preserve">los pagos y </w:t>
      </w:r>
      <w:r w:rsidR="0026676C" w:rsidRPr="006A0A3F">
        <w:rPr>
          <w:rFonts w:ascii="Verdana" w:hAnsi="Verdana"/>
          <w:sz w:val="20"/>
          <w:szCs w:val="20"/>
        </w:rPr>
        <w:t>liquidaciones correspondientes</w:t>
      </w:r>
      <w:r w:rsidR="00CE7D8E" w:rsidRPr="006A0A3F">
        <w:rPr>
          <w:rFonts w:ascii="Verdana" w:hAnsi="Verdana"/>
          <w:sz w:val="20"/>
          <w:szCs w:val="20"/>
        </w:rPr>
        <w:t xml:space="preserve"> por conceptos de sueldo, vacaciones (tomando en cuenta la fecha de retiro) y prestaciones sociales</w:t>
      </w:r>
      <w:r w:rsidR="0026676C" w:rsidRPr="006A0A3F">
        <w:rPr>
          <w:rStyle w:val="FootnoteReference"/>
          <w:rFonts w:ascii="Verdana" w:hAnsi="Verdana"/>
          <w:sz w:val="20"/>
          <w:szCs w:val="20"/>
        </w:rPr>
        <w:footnoteReference w:id="129"/>
      </w:r>
      <w:r w:rsidR="0026676C" w:rsidRPr="006A0A3F">
        <w:rPr>
          <w:rFonts w:ascii="Verdana" w:hAnsi="Verdana"/>
          <w:sz w:val="20"/>
          <w:szCs w:val="20"/>
        </w:rPr>
        <w:t>.</w:t>
      </w:r>
    </w:p>
    <w:p w14:paraId="057A9006" w14:textId="77777777" w:rsidR="00E41D9C" w:rsidRPr="006A0A3F" w:rsidRDefault="00E41D9C" w:rsidP="00E41D9C">
      <w:pPr>
        <w:spacing w:after="0" w:line="240" w:lineRule="auto"/>
        <w:jc w:val="both"/>
        <w:rPr>
          <w:rFonts w:ascii="Verdana" w:hAnsi="Verdana"/>
          <w:sz w:val="20"/>
          <w:szCs w:val="20"/>
        </w:rPr>
      </w:pPr>
    </w:p>
    <w:p w14:paraId="73C92E82" w14:textId="0FBAA854" w:rsidR="00BF5788" w:rsidRPr="006A0A3F" w:rsidRDefault="00BF5788" w:rsidP="00BF5788">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En el marco del proceso de amparo (</w:t>
      </w:r>
      <w:r w:rsidRPr="006A0A3F">
        <w:rPr>
          <w:rFonts w:ascii="Verdana" w:hAnsi="Verdana"/>
          <w:i/>
          <w:sz w:val="20"/>
          <w:szCs w:val="20"/>
        </w:rPr>
        <w:t xml:space="preserve">infra </w:t>
      </w:r>
      <w:proofErr w:type="spellStart"/>
      <w:r w:rsidR="007E4A90" w:rsidRPr="006A0A3F">
        <w:rPr>
          <w:rFonts w:ascii="Verdana" w:hAnsi="Verdana"/>
          <w:sz w:val="20"/>
          <w:szCs w:val="20"/>
        </w:rPr>
        <w:t>párrs</w:t>
      </w:r>
      <w:proofErr w:type="spellEnd"/>
      <w:r w:rsidR="007E4A90" w:rsidRPr="006A0A3F">
        <w:rPr>
          <w:rFonts w:ascii="Verdana" w:hAnsi="Verdana"/>
          <w:sz w:val="20"/>
          <w:szCs w:val="20"/>
        </w:rPr>
        <w:t>. 88 a 95</w:t>
      </w:r>
      <w:r w:rsidRPr="006A0A3F">
        <w:rPr>
          <w:rFonts w:ascii="Verdana" w:hAnsi="Verdana"/>
          <w:sz w:val="20"/>
          <w:szCs w:val="20"/>
        </w:rPr>
        <w:t xml:space="preserve">), las presuntas víctimas presentaron transcripciones de conversaciones telefónicas que habrían sido sostenidas el 24 de marzo de 2004 entre Feijoo </w:t>
      </w:r>
      <w:proofErr w:type="spellStart"/>
      <w:r w:rsidRPr="006A0A3F">
        <w:rPr>
          <w:rFonts w:ascii="Verdana" w:hAnsi="Verdana"/>
          <w:sz w:val="20"/>
          <w:szCs w:val="20"/>
        </w:rPr>
        <w:t>Colomine</w:t>
      </w:r>
      <w:proofErr w:type="spellEnd"/>
      <w:r w:rsidRPr="006A0A3F">
        <w:rPr>
          <w:rFonts w:ascii="Verdana" w:hAnsi="Verdana"/>
          <w:sz w:val="20"/>
          <w:szCs w:val="20"/>
        </w:rPr>
        <w:t xml:space="preserve">, entonces Secretario Ejecutivo del Consejo Nacional de Fronteras, y Rocío San Miguel Sosa, así como entre ésta </w:t>
      </w:r>
      <w:r w:rsidR="00D96D3F" w:rsidRPr="006A0A3F">
        <w:rPr>
          <w:rFonts w:ascii="Verdana" w:hAnsi="Verdana"/>
          <w:sz w:val="20"/>
          <w:szCs w:val="20"/>
        </w:rPr>
        <w:t xml:space="preserve">e Ilia </w:t>
      </w:r>
      <w:proofErr w:type="spellStart"/>
      <w:r w:rsidR="00D96D3F" w:rsidRPr="006A0A3F">
        <w:rPr>
          <w:rFonts w:ascii="Verdana" w:hAnsi="Verdana"/>
          <w:sz w:val="20"/>
          <w:szCs w:val="20"/>
        </w:rPr>
        <w:t>Azpurua</w:t>
      </w:r>
      <w:proofErr w:type="spellEnd"/>
      <w:r w:rsidR="00D96D3F" w:rsidRPr="006A0A3F">
        <w:rPr>
          <w:rFonts w:ascii="Verdana" w:hAnsi="Verdana"/>
          <w:sz w:val="20"/>
          <w:szCs w:val="20"/>
        </w:rPr>
        <w:t>, entonces c</w:t>
      </w:r>
      <w:r w:rsidRPr="006A0A3F">
        <w:rPr>
          <w:rFonts w:ascii="Verdana" w:hAnsi="Verdana"/>
          <w:sz w:val="20"/>
          <w:szCs w:val="20"/>
        </w:rPr>
        <w:t xml:space="preserve">onsultora </w:t>
      </w:r>
      <w:r w:rsidR="00D96D3F" w:rsidRPr="006A0A3F">
        <w:rPr>
          <w:rFonts w:ascii="Verdana" w:hAnsi="Verdana"/>
          <w:sz w:val="20"/>
          <w:szCs w:val="20"/>
        </w:rPr>
        <w:t>j</w:t>
      </w:r>
      <w:r w:rsidRPr="006A0A3F">
        <w:rPr>
          <w:rFonts w:ascii="Verdana" w:hAnsi="Verdana"/>
          <w:sz w:val="20"/>
          <w:szCs w:val="20"/>
        </w:rPr>
        <w:t>urídica de la Vicepresidencia de la República. Durante la audiencia pública, la señora San Miguel manifestó que ella había realizado las grabaciones</w:t>
      </w:r>
      <w:r w:rsidRPr="006A0A3F">
        <w:rPr>
          <w:rStyle w:val="FootnoteReference"/>
          <w:rFonts w:ascii="Verdana" w:hAnsi="Verdana"/>
          <w:sz w:val="20"/>
          <w:szCs w:val="20"/>
        </w:rPr>
        <w:footnoteReference w:id="130"/>
      </w:r>
      <w:r w:rsidRPr="006A0A3F">
        <w:rPr>
          <w:rFonts w:ascii="Verdana" w:hAnsi="Verdana"/>
          <w:sz w:val="20"/>
          <w:szCs w:val="20"/>
        </w:rPr>
        <w:t xml:space="preserve">. A continuación se transcriben las partes relevantes de la </w:t>
      </w:r>
      <w:r w:rsidR="005A429B">
        <w:rPr>
          <w:rFonts w:ascii="Verdana" w:hAnsi="Verdana"/>
          <w:sz w:val="20"/>
          <w:szCs w:val="20"/>
        </w:rPr>
        <w:t xml:space="preserve">primera </w:t>
      </w:r>
      <w:r w:rsidRPr="006A0A3F">
        <w:rPr>
          <w:rFonts w:ascii="Verdana" w:hAnsi="Verdana"/>
          <w:sz w:val="20"/>
          <w:szCs w:val="20"/>
        </w:rPr>
        <w:t xml:space="preserve">conversación telefónica:  </w:t>
      </w:r>
    </w:p>
    <w:p w14:paraId="080A2B37" w14:textId="77777777" w:rsidR="00BF5788" w:rsidRPr="006A0A3F" w:rsidRDefault="00BF5788" w:rsidP="00BF5788">
      <w:pPr>
        <w:spacing w:after="0" w:line="240" w:lineRule="auto"/>
        <w:jc w:val="both"/>
        <w:rPr>
          <w:rFonts w:ascii="Verdana" w:hAnsi="Verdana"/>
          <w:sz w:val="20"/>
          <w:szCs w:val="20"/>
        </w:rPr>
      </w:pPr>
    </w:p>
    <w:p w14:paraId="0928855F"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FC: Uno tiene unas limitaciones, por el hecho de ejercer esta, esta posición de confianza.</w:t>
      </w:r>
    </w:p>
    <w:p w14:paraId="72913D50"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 xml:space="preserve">RSM: </w:t>
      </w:r>
      <w:proofErr w:type="spellStart"/>
      <w:r w:rsidRPr="006A0A3F">
        <w:rPr>
          <w:rFonts w:ascii="Verdana" w:hAnsi="Verdana"/>
          <w:sz w:val="18"/>
          <w:szCs w:val="20"/>
        </w:rPr>
        <w:t>Ujumm</w:t>
      </w:r>
      <w:proofErr w:type="spellEnd"/>
    </w:p>
    <w:p w14:paraId="48EA21EB"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FC: Uno tiene limitaciones</w:t>
      </w:r>
    </w:p>
    <w:p w14:paraId="592417F3"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RSM: Aja ¿Cuál? ¿La de ejercer un derecho político?</w:t>
      </w:r>
    </w:p>
    <w:p w14:paraId="58B7AE7A"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FC: Uno puede participar y ejercer sus derechos políticos, de toda naturaleza. Pero tú no, no puedes materializar un elemento de desconfianza.</w:t>
      </w:r>
    </w:p>
    <w:p w14:paraId="19AD5910"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RSM: ¿Pero qué elemento de desconfianza?</w:t>
      </w:r>
    </w:p>
    <w:p w14:paraId="2A3E6D04" w14:textId="77777777" w:rsidR="00BF5788" w:rsidRPr="006A0A3F" w:rsidRDefault="00BF5788" w:rsidP="00BF5788">
      <w:pPr>
        <w:spacing w:after="0" w:line="240" w:lineRule="auto"/>
        <w:ind w:left="709"/>
        <w:jc w:val="both"/>
        <w:rPr>
          <w:rFonts w:ascii="Verdana" w:hAnsi="Verdana"/>
          <w:sz w:val="18"/>
          <w:szCs w:val="20"/>
        </w:rPr>
      </w:pPr>
      <w:r w:rsidRPr="006A0A3F">
        <w:rPr>
          <w:rFonts w:ascii="Verdana" w:hAnsi="Verdana"/>
          <w:sz w:val="18"/>
          <w:szCs w:val="20"/>
        </w:rPr>
        <w:t xml:space="preserve">FC: Tú no puedes materializar, porque </w:t>
      </w:r>
      <w:proofErr w:type="gramStart"/>
      <w:r w:rsidRPr="006A0A3F">
        <w:rPr>
          <w:rFonts w:ascii="Verdana" w:hAnsi="Verdana"/>
          <w:sz w:val="18"/>
          <w:szCs w:val="20"/>
        </w:rPr>
        <w:t>tu</w:t>
      </w:r>
      <w:proofErr w:type="gramEnd"/>
      <w:r w:rsidRPr="006A0A3F">
        <w:rPr>
          <w:rFonts w:ascii="Verdana" w:hAnsi="Verdana"/>
          <w:sz w:val="18"/>
          <w:szCs w:val="20"/>
        </w:rPr>
        <w:t xml:space="preserve"> estas firmando para la solicitud de la revocación del mandato del tipo que te está pagando y te está contratando. (…)</w:t>
      </w:r>
      <w:r w:rsidRPr="006A0A3F">
        <w:rPr>
          <w:rFonts w:ascii="Verdana" w:hAnsi="Verdana"/>
          <w:sz w:val="18"/>
          <w:szCs w:val="20"/>
          <w:vertAlign w:val="superscript"/>
        </w:rPr>
        <w:footnoteReference w:id="131"/>
      </w:r>
      <w:r w:rsidRPr="006A0A3F">
        <w:rPr>
          <w:rFonts w:ascii="Verdana" w:hAnsi="Verdana"/>
          <w:sz w:val="18"/>
          <w:szCs w:val="20"/>
        </w:rPr>
        <w:t>.</w:t>
      </w:r>
      <w:r w:rsidRPr="006A0A3F">
        <w:rPr>
          <w:rFonts w:ascii="Verdana" w:hAnsi="Verdana"/>
          <w:sz w:val="18"/>
          <w:szCs w:val="20"/>
          <w:vertAlign w:val="superscript"/>
        </w:rPr>
        <w:t>”</w:t>
      </w:r>
    </w:p>
    <w:p w14:paraId="37E900C1" w14:textId="77777777" w:rsidR="00BF5788" w:rsidRPr="006A0A3F" w:rsidRDefault="00BF5788" w:rsidP="00BF5788">
      <w:pPr>
        <w:spacing w:after="0" w:line="240" w:lineRule="auto"/>
        <w:jc w:val="both"/>
        <w:rPr>
          <w:rFonts w:ascii="Verdana" w:hAnsi="Verdana"/>
          <w:sz w:val="20"/>
          <w:szCs w:val="20"/>
        </w:rPr>
      </w:pPr>
    </w:p>
    <w:p w14:paraId="00CEBED7" w14:textId="77777777" w:rsidR="00BF5788" w:rsidRPr="006A0A3F" w:rsidRDefault="00BF5788" w:rsidP="00BF5788">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Con respecto a la terminación de los contratos, en la conversación consta lo siguiente:</w:t>
      </w:r>
    </w:p>
    <w:p w14:paraId="167BDF9A" w14:textId="77777777" w:rsidR="00BF5788" w:rsidRPr="006A0A3F" w:rsidRDefault="00BF5788" w:rsidP="00BF5788">
      <w:pPr>
        <w:spacing w:after="0" w:line="240" w:lineRule="auto"/>
        <w:jc w:val="both"/>
        <w:rPr>
          <w:rFonts w:ascii="Verdana" w:hAnsi="Verdana"/>
          <w:sz w:val="20"/>
          <w:szCs w:val="20"/>
        </w:rPr>
      </w:pPr>
    </w:p>
    <w:p w14:paraId="293DD1D8" w14:textId="77777777" w:rsidR="00BF5788" w:rsidRPr="006A0A3F" w:rsidRDefault="00BF5788" w:rsidP="00BF5788">
      <w:pPr>
        <w:spacing w:after="0" w:line="240" w:lineRule="auto"/>
        <w:ind w:firstLine="708"/>
        <w:jc w:val="both"/>
        <w:rPr>
          <w:rFonts w:ascii="Verdana" w:hAnsi="Verdana"/>
          <w:sz w:val="18"/>
          <w:szCs w:val="20"/>
        </w:rPr>
      </w:pPr>
      <w:r w:rsidRPr="006A0A3F">
        <w:rPr>
          <w:rFonts w:ascii="Verdana" w:hAnsi="Verdana"/>
          <w:sz w:val="18"/>
          <w:szCs w:val="20"/>
        </w:rPr>
        <w:lastRenderedPageBreak/>
        <w:t xml:space="preserve">FC: Bueno pero, pero el </w:t>
      </w:r>
      <w:proofErr w:type="spellStart"/>
      <w:r w:rsidRPr="006A0A3F">
        <w:rPr>
          <w:rFonts w:ascii="Verdana" w:hAnsi="Verdana"/>
          <w:sz w:val="18"/>
          <w:szCs w:val="20"/>
        </w:rPr>
        <w:t>el</w:t>
      </w:r>
      <w:proofErr w:type="spellEnd"/>
      <w:r w:rsidRPr="006A0A3F">
        <w:rPr>
          <w:rFonts w:ascii="Verdana" w:hAnsi="Verdana"/>
          <w:sz w:val="18"/>
          <w:szCs w:val="20"/>
        </w:rPr>
        <w:t xml:space="preserve">, el Gobierno ha tomado una decisión, </w:t>
      </w:r>
    </w:p>
    <w:p w14:paraId="43A8019B" w14:textId="77777777" w:rsidR="00BF5788" w:rsidRPr="006A0A3F" w:rsidRDefault="00BF5788" w:rsidP="00BF5788">
      <w:pPr>
        <w:spacing w:after="0" w:line="240" w:lineRule="auto"/>
        <w:ind w:firstLine="708"/>
        <w:jc w:val="both"/>
        <w:rPr>
          <w:rFonts w:ascii="Verdana" w:hAnsi="Verdana"/>
          <w:sz w:val="18"/>
          <w:szCs w:val="20"/>
        </w:rPr>
      </w:pPr>
      <w:r w:rsidRPr="006A0A3F">
        <w:rPr>
          <w:rFonts w:ascii="Verdana" w:hAnsi="Verdana"/>
          <w:sz w:val="18"/>
          <w:szCs w:val="20"/>
        </w:rPr>
        <w:t>RSM: Botar a todos los empleados que firmen.</w:t>
      </w:r>
    </w:p>
    <w:p w14:paraId="1F5266FF" w14:textId="77777777" w:rsidR="00BF5788" w:rsidRPr="006A0A3F" w:rsidRDefault="00BF5788" w:rsidP="00BF5788">
      <w:pPr>
        <w:spacing w:after="0" w:line="240" w:lineRule="auto"/>
        <w:ind w:firstLine="708"/>
        <w:jc w:val="both"/>
        <w:rPr>
          <w:rFonts w:ascii="Verdana" w:hAnsi="Verdana"/>
          <w:sz w:val="18"/>
          <w:szCs w:val="20"/>
        </w:rPr>
      </w:pPr>
      <w:r w:rsidRPr="006A0A3F">
        <w:rPr>
          <w:rFonts w:ascii="Verdana" w:hAnsi="Verdana"/>
          <w:sz w:val="18"/>
          <w:szCs w:val="20"/>
        </w:rPr>
        <w:t>FC: Bueno, por lo menos la tomó José Vicente en el caso nuestro</w:t>
      </w:r>
      <w:r w:rsidRPr="006A0A3F">
        <w:rPr>
          <w:rFonts w:ascii="Verdana" w:hAnsi="Verdana"/>
          <w:sz w:val="18"/>
          <w:szCs w:val="20"/>
          <w:vertAlign w:val="superscript"/>
        </w:rPr>
        <w:footnoteReference w:id="132"/>
      </w:r>
      <w:r w:rsidRPr="006A0A3F">
        <w:rPr>
          <w:rFonts w:ascii="Verdana" w:hAnsi="Verdana"/>
          <w:sz w:val="18"/>
          <w:szCs w:val="20"/>
        </w:rPr>
        <w:t xml:space="preserve">. </w:t>
      </w:r>
    </w:p>
    <w:p w14:paraId="09B3FB3D" w14:textId="161215E7" w:rsidR="00BF5788" w:rsidRPr="006A0A3F" w:rsidRDefault="00BF5788" w:rsidP="00BF5788">
      <w:pPr>
        <w:spacing w:after="0" w:line="240" w:lineRule="auto"/>
        <w:jc w:val="both"/>
        <w:rPr>
          <w:rFonts w:ascii="Verdana" w:hAnsi="Verdana"/>
          <w:sz w:val="20"/>
          <w:szCs w:val="20"/>
        </w:rPr>
      </w:pPr>
    </w:p>
    <w:p w14:paraId="58BA0822" w14:textId="7BE7E67A" w:rsidR="00BF5788" w:rsidRPr="006A0A3F" w:rsidRDefault="00BF5788" w:rsidP="00BF5788">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En la conversació</w:t>
      </w:r>
      <w:r w:rsidR="00D96D3F" w:rsidRPr="006A0A3F">
        <w:rPr>
          <w:rFonts w:ascii="Verdana" w:hAnsi="Verdana"/>
          <w:sz w:val="20"/>
          <w:szCs w:val="20"/>
        </w:rPr>
        <w:t>n entre Rocío San Miguel Sosa y la entonces c</w:t>
      </w:r>
      <w:r w:rsidRPr="006A0A3F">
        <w:rPr>
          <w:rFonts w:ascii="Verdana" w:hAnsi="Verdana"/>
          <w:sz w:val="20"/>
          <w:szCs w:val="20"/>
        </w:rPr>
        <w:t xml:space="preserve">onsultora </w:t>
      </w:r>
      <w:r w:rsidR="00D96D3F" w:rsidRPr="006A0A3F">
        <w:rPr>
          <w:rFonts w:ascii="Verdana" w:hAnsi="Verdana"/>
          <w:sz w:val="20"/>
          <w:szCs w:val="20"/>
        </w:rPr>
        <w:t>j</w:t>
      </w:r>
      <w:r w:rsidRPr="006A0A3F">
        <w:rPr>
          <w:rFonts w:ascii="Verdana" w:hAnsi="Verdana"/>
          <w:sz w:val="20"/>
          <w:szCs w:val="20"/>
        </w:rPr>
        <w:t xml:space="preserve">urídica de la Vicepresidencia, </w:t>
      </w:r>
      <w:r w:rsidR="00D96D3F" w:rsidRPr="006A0A3F">
        <w:rPr>
          <w:rFonts w:ascii="Verdana" w:hAnsi="Verdana"/>
          <w:sz w:val="20"/>
          <w:szCs w:val="20"/>
        </w:rPr>
        <w:t xml:space="preserve">aquélla </w:t>
      </w:r>
      <w:r w:rsidRPr="006A0A3F">
        <w:rPr>
          <w:rFonts w:ascii="Verdana" w:hAnsi="Verdana"/>
          <w:sz w:val="20"/>
          <w:szCs w:val="20"/>
        </w:rPr>
        <w:t>le manifestó su consternación por la terminación de su contrato indicándole que</w:t>
      </w:r>
      <w:r w:rsidR="00D96D3F" w:rsidRPr="006A0A3F">
        <w:rPr>
          <w:rFonts w:ascii="Verdana" w:hAnsi="Verdana"/>
          <w:sz w:val="20"/>
          <w:szCs w:val="20"/>
        </w:rPr>
        <w:t>,</w:t>
      </w:r>
      <w:r w:rsidRPr="006A0A3F">
        <w:rPr>
          <w:rFonts w:ascii="Verdana" w:hAnsi="Verdana"/>
          <w:sz w:val="20"/>
          <w:szCs w:val="20"/>
        </w:rPr>
        <w:t xml:space="preserve"> independientemente de haber suscrito </w:t>
      </w:r>
      <w:r w:rsidR="00D96D3F" w:rsidRPr="006A0A3F">
        <w:rPr>
          <w:rFonts w:ascii="Verdana" w:hAnsi="Verdana"/>
          <w:sz w:val="20"/>
          <w:szCs w:val="20"/>
        </w:rPr>
        <w:t>la solicitud de</w:t>
      </w:r>
      <w:r w:rsidRPr="006A0A3F">
        <w:rPr>
          <w:rFonts w:ascii="Verdana" w:hAnsi="Verdana"/>
          <w:sz w:val="20"/>
          <w:szCs w:val="20"/>
        </w:rPr>
        <w:t xml:space="preserve"> referendo, siempre cumplió con sus funciones, a lo que la segunda le manifestó que lo pondría en conocimiento del Vicepresidente, indicándole también que “yo creo que, te repito. Yo te considero una persona altamente profesional. Solo que entiende un poco, o sea, </w:t>
      </w:r>
      <w:proofErr w:type="spellStart"/>
      <w:r w:rsidRPr="006A0A3F">
        <w:rPr>
          <w:rFonts w:ascii="Verdana" w:hAnsi="Verdana"/>
          <w:sz w:val="20"/>
          <w:szCs w:val="20"/>
        </w:rPr>
        <w:t>tu</w:t>
      </w:r>
      <w:proofErr w:type="spellEnd"/>
      <w:r w:rsidRPr="006A0A3F">
        <w:rPr>
          <w:rFonts w:ascii="Verdana" w:hAnsi="Verdana"/>
          <w:sz w:val="20"/>
          <w:szCs w:val="20"/>
        </w:rPr>
        <w:t xml:space="preserve"> estás incluso en el Palacio Blanco, ¿no</w:t>
      </w:r>
      <w:proofErr w:type="gramStart"/>
      <w:r w:rsidRPr="006A0A3F">
        <w:rPr>
          <w:rFonts w:ascii="Verdana" w:hAnsi="Verdana"/>
          <w:sz w:val="20"/>
          <w:szCs w:val="20"/>
        </w:rPr>
        <w:t>?.</w:t>
      </w:r>
      <w:proofErr w:type="gramEnd"/>
      <w:r w:rsidRPr="006A0A3F">
        <w:rPr>
          <w:rFonts w:ascii="Verdana" w:hAnsi="Verdana"/>
          <w:sz w:val="20"/>
          <w:szCs w:val="20"/>
        </w:rPr>
        <w:t xml:space="preserve"> Eso es una cuestión, es paradójica ¿no</w:t>
      </w:r>
      <w:proofErr w:type="gramStart"/>
      <w:r w:rsidRPr="006A0A3F">
        <w:rPr>
          <w:rFonts w:ascii="Verdana" w:hAnsi="Verdana"/>
          <w:sz w:val="20"/>
          <w:szCs w:val="20"/>
        </w:rPr>
        <w:t>?.</w:t>
      </w:r>
      <w:proofErr w:type="gramEnd"/>
      <w:r w:rsidRPr="006A0A3F">
        <w:rPr>
          <w:rFonts w:ascii="Verdana" w:hAnsi="Verdana"/>
          <w:sz w:val="20"/>
          <w:szCs w:val="20"/>
        </w:rPr>
        <w:t xml:space="preserve"> Porque tu trabajo no tiene nada que ver si se quiere. Pero es paradójico. Pero ubícate nada más incluso en el lugar físico en el que trabajas”</w:t>
      </w:r>
      <w:r w:rsidRPr="006A0A3F">
        <w:rPr>
          <w:rStyle w:val="FootnoteReference"/>
          <w:rFonts w:ascii="Verdana" w:hAnsi="Verdana"/>
          <w:sz w:val="20"/>
          <w:szCs w:val="20"/>
        </w:rPr>
        <w:footnoteReference w:id="133"/>
      </w:r>
      <w:r w:rsidRPr="006A0A3F">
        <w:rPr>
          <w:rFonts w:ascii="Verdana" w:hAnsi="Verdana"/>
          <w:sz w:val="20"/>
          <w:szCs w:val="20"/>
        </w:rPr>
        <w:t xml:space="preserve">.  </w:t>
      </w:r>
    </w:p>
    <w:p w14:paraId="72FC7174" w14:textId="77777777" w:rsidR="00BF5788" w:rsidRPr="006A0A3F" w:rsidRDefault="00BF5788" w:rsidP="00BF5788">
      <w:pPr>
        <w:pBdr>
          <w:top w:val="nil"/>
        </w:pBdr>
        <w:spacing w:after="0" w:line="240" w:lineRule="auto"/>
        <w:jc w:val="both"/>
        <w:rPr>
          <w:rFonts w:ascii="Verdana" w:hAnsi="Verdana"/>
          <w:sz w:val="20"/>
          <w:szCs w:val="20"/>
        </w:rPr>
      </w:pPr>
    </w:p>
    <w:p w14:paraId="2188F87E" w14:textId="77777777"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29 de marzo de 2004 Rocío San Miguel Sosa remitió una comunicación al Presidente del Consejo Nacional de Fronteras manifestando su desacuerdo con el despido e indicando que “el despido lo realiza usted directamente, en su condición de Presidente del organismo; no sin antes haber enviado al Secretario Ejecutivo del Consejo, con diecinueve días de antelación al acto formal de notificación, para advertirme que las razones no son otras que mi firma solicitando el referéndum revocatorio presidencial”</w:t>
      </w:r>
      <w:r w:rsidRPr="006A0A3F">
        <w:rPr>
          <w:rFonts w:ascii="Verdana" w:hAnsi="Verdana"/>
          <w:sz w:val="20"/>
          <w:szCs w:val="20"/>
          <w:vertAlign w:val="superscript"/>
        </w:rPr>
        <w:footnoteReference w:id="134"/>
      </w:r>
      <w:r w:rsidRPr="006A0A3F">
        <w:rPr>
          <w:rFonts w:ascii="Verdana" w:hAnsi="Verdana"/>
          <w:sz w:val="20"/>
          <w:szCs w:val="20"/>
        </w:rPr>
        <w:t xml:space="preserve">.  </w:t>
      </w:r>
    </w:p>
    <w:p w14:paraId="1EB1BE09" w14:textId="77777777" w:rsidR="00E41D9C" w:rsidRPr="006A0A3F" w:rsidRDefault="00E41D9C" w:rsidP="00E41D9C">
      <w:pPr>
        <w:spacing w:after="0" w:line="240" w:lineRule="auto"/>
        <w:jc w:val="both"/>
        <w:rPr>
          <w:rFonts w:ascii="Verdana" w:hAnsi="Verdana"/>
          <w:sz w:val="20"/>
          <w:szCs w:val="20"/>
        </w:rPr>
      </w:pPr>
    </w:p>
    <w:p w14:paraId="1FF51F25" w14:textId="7A4E25C5" w:rsidR="00643845" w:rsidRPr="006A0A3F" w:rsidRDefault="00D01B08"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Mediante comunicaciones de 13 y 14 de julio de 2004, dirigidas a la Fiscalía y a la Defensoría del Pueblo en razón de denuncias interpuestas por las presuntas víctimas,</w:t>
      </w:r>
      <w:r w:rsidR="004214BF" w:rsidRPr="006A0A3F">
        <w:rPr>
          <w:rFonts w:ascii="Verdana" w:hAnsi="Verdana"/>
          <w:sz w:val="20"/>
          <w:szCs w:val="20"/>
        </w:rPr>
        <w:t xml:space="preserve"> así como en su comparecencia en la Fiscalía,</w:t>
      </w:r>
      <w:r w:rsidRPr="006A0A3F">
        <w:rPr>
          <w:rFonts w:ascii="Verdana" w:hAnsi="Verdana"/>
          <w:sz w:val="20"/>
          <w:szCs w:val="20"/>
        </w:rPr>
        <w:t xml:space="preserve"> el entonces Secretario Ejecutivo del Consejo Nacional de Fronteras, Feijoo </w:t>
      </w:r>
      <w:proofErr w:type="spellStart"/>
      <w:r w:rsidRPr="006A0A3F">
        <w:rPr>
          <w:rFonts w:ascii="Verdana" w:hAnsi="Verdana"/>
          <w:sz w:val="20"/>
          <w:szCs w:val="20"/>
        </w:rPr>
        <w:t>Colomine</w:t>
      </w:r>
      <w:proofErr w:type="spellEnd"/>
      <w:r w:rsidRPr="006A0A3F">
        <w:rPr>
          <w:rFonts w:ascii="Verdana" w:hAnsi="Verdana"/>
          <w:sz w:val="20"/>
          <w:szCs w:val="20"/>
        </w:rPr>
        <w:t xml:space="preserve"> Rincones, </w:t>
      </w:r>
      <w:r w:rsidR="00643845" w:rsidRPr="006A0A3F">
        <w:rPr>
          <w:rFonts w:ascii="Verdana" w:hAnsi="Verdana"/>
          <w:sz w:val="20"/>
          <w:szCs w:val="20"/>
        </w:rPr>
        <w:t xml:space="preserve">manifestó que el Presidente </w:t>
      </w:r>
      <w:r w:rsidR="005206EF">
        <w:rPr>
          <w:rFonts w:ascii="Verdana" w:hAnsi="Verdana"/>
          <w:sz w:val="20"/>
          <w:szCs w:val="20"/>
        </w:rPr>
        <w:t xml:space="preserve">de este Consejo </w:t>
      </w:r>
      <w:r w:rsidR="00643845" w:rsidRPr="006A0A3F">
        <w:rPr>
          <w:rFonts w:ascii="Verdana" w:hAnsi="Verdana"/>
          <w:sz w:val="20"/>
          <w:szCs w:val="20"/>
        </w:rPr>
        <w:t>decidió “dar por terminados estos tres contratos en aplicación de la cláusula séptima de los mismos”. Tal cláusula señalaba que “‘EL CONTRATANTE’ se reserva el derecho de dar por terminado el presente contrato cuando lo considere conveniente, previa notificación a ‘LA CONTRATADA’, hecha con un mes de anticipación, por lo menos. Igual derecho tendrá ‘LA CONTRATADA’ de disolver el contrato cuando a bien tenga […]”. Además, manifest</w:t>
      </w:r>
      <w:r w:rsidR="00AA45DF" w:rsidRPr="006A0A3F">
        <w:rPr>
          <w:rFonts w:ascii="Verdana" w:hAnsi="Verdana"/>
          <w:sz w:val="20"/>
          <w:szCs w:val="20"/>
        </w:rPr>
        <w:t>ó lo siguiente:</w:t>
      </w:r>
    </w:p>
    <w:p w14:paraId="23762852" w14:textId="77777777" w:rsidR="00AA45DF" w:rsidRPr="006A0A3F" w:rsidRDefault="00AA45DF" w:rsidP="00643845">
      <w:pPr>
        <w:pBdr>
          <w:top w:val="nil"/>
        </w:pBdr>
        <w:spacing w:after="0" w:line="240" w:lineRule="auto"/>
        <w:ind w:left="708"/>
        <w:jc w:val="both"/>
        <w:rPr>
          <w:rFonts w:ascii="Verdana" w:hAnsi="Verdana"/>
          <w:sz w:val="18"/>
          <w:szCs w:val="20"/>
        </w:rPr>
      </w:pPr>
    </w:p>
    <w:p w14:paraId="404DF92C" w14:textId="6FD7D9C5" w:rsidR="00643845" w:rsidRPr="006A0A3F" w:rsidRDefault="00643845" w:rsidP="00643845">
      <w:pPr>
        <w:pBdr>
          <w:top w:val="nil"/>
        </w:pBdr>
        <w:spacing w:after="0" w:line="240" w:lineRule="auto"/>
        <w:ind w:left="708"/>
        <w:jc w:val="both"/>
        <w:rPr>
          <w:rFonts w:ascii="Verdana" w:hAnsi="Verdana"/>
          <w:sz w:val="16"/>
          <w:szCs w:val="20"/>
        </w:rPr>
      </w:pPr>
      <w:r w:rsidRPr="006A0A3F">
        <w:rPr>
          <w:rFonts w:ascii="Verdana" w:hAnsi="Verdana"/>
          <w:sz w:val="16"/>
          <w:szCs w:val="20"/>
        </w:rPr>
        <w:t>“[…</w:t>
      </w:r>
      <w:r w:rsidR="00AA45DF" w:rsidRPr="006A0A3F">
        <w:rPr>
          <w:rFonts w:ascii="Verdana" w:hAnsi="Verdana"/>
          <w:sz w:val="16"/>
          <w:szCs w:val="20"/>
        </w:rPr>
        <w:t xml:space="preserve"> los 21 funcionarios del Consejo Nacional de Fronteras] </w:t>
      </w:r>
      <w:r w:rsidRPr="006A0A3F">
        <w:rPr>
          <w:rFonts w:ascii="Verdana" w:hAnsi="Verdana"/>
          <w:sz w:val="16"/>
          <w:szCs w:val="20"/>
        </w:rPr>
        <w:t>se encuentra</w:t>
      </w:r>
      <w:r w:rsidR="00AA45DF" w:rsidRPr="006A0A3F">
        <w:rPr>
          <w:rFonts w:ascii="Verdana" w:hAnsi="Verdana"/>
          <w:sz w:val="16"/>
          <w:szCs w:val="20"/>
        </w:rPr>
        <w:t>[n]</w:t>
      </w:r>
      <w:r w:rsidRPr="006A0A3F">
        <w:rPr>
          <w:rFonts w:ascii="Verdana" w:hAnsi="Verdana"/>
          <w:sz w:val="16"/>
          <w:szCs w:val="20"/>
        </w:rPr>
        <w:t xml:space="preserve"> en su totalidad contratado</w:t>
      </w:r>
      <w:r w:rsidR="00AA45DF" w:rsidRPr="006A0A3F">
        <w:rPr>
          <w:rFonts w:ascii="Verdana" w:hAnsi="Verdana"/>
          <w:sz w:val="16"/>
          <w:szCs w:val="20"/>
        </w:rPr>
        <w:t>[s]</w:t>
      </w:r>
      <w:r w:rsidRPr="006A0A3F">
        <w:rPr>
          <w:rFonts w:ascii="Verdana" w:hAnsi="Verdana"/>
          <w:sz w:val="16"/>
          <w:szCs w:val="20"/>
        </w:rPr>
        <w:t xml:space="preserve">, bajo la figura excepcional establecida en el Art 146 de la Constitución de la República Bolivariana de Venezuela. Al no ser cargos de carrera administrativa, no es aplicable en ellos la Ley del Estatuto de la Función Pública a los fines de una sanción de destitución, para lo cual se requiere la formación de un expediente que deje constancia de las faltas o delitos cometidos en el desempeño de la función, así como los cargos y descargos, en la preservación de los derechos constitucionales del funcionario público de carrera. </w:t>
      </w:r>
    </w:p>
    <w:p w14:paraId="0A59224A" w14:textId="0FCEC34D" w:rsidR="00AA45DF" w:rsidRPr="006A0A3F" w:rsidRDefault="00643845" w:rsidP="00643845">
      <w:pPr>
        <w:pBdr>
          <w:top w:val="nil"/>
        </w:pBdr>
        <w:spacing w:after="0" w:line="240" w:lineRule="auto"/>
        <w:ind w:left="708"/>
        <w:jc w:val="both"/>
        <w:rPr>
          <w:rFonts w:ascii="Verdana" w:hAnsi="Verdana"/>
          <w:sz w:val="18"/>
          <w:szCs w:val="20"/>
        </w:rPr>
      </w:pPr>
      <w:r w:rsidRPr="006A0A3F">
        <w:rPr>
          <w:rFonts w:ascii="Verdana" w:hAnsi="Verdana"/>
          <w:sz w:val="16"/>
          <w:szCs w:val="20"/>
        </w:rPr>
        <w:t xml:space="preserve">La </w:t>
      </w:r>
      <w:r w:rsidRPr="006A0A3F">
        <w:rPr>
          <w:rFonts w:ascii="Verdana" w:eastAsia="Arial Unicode MS" w:hAnsi="Verdana" w:cs="Times New Roman"/>
          <w:sz w:val="16"/>
          <w:szCs w:val="20"/>
          <w:bdr w:val="nil"/>
        </w:rPr>
        <w:t>decisión de dar por terminado el contrato de trabajo, obedeció</w:t>
      </w:r>
      <w:r w:rsidRPr="006A0A3F">
        <w:rPr>
          <w:rFonts w:ascii="Verdana" w:hAnsi="Verdana"/>
          <w:sz w:val="16"/>
          <w:szCs w:val="20"/>
        </w:rPr>
        <w:t xml:space="preserve"> </w:t>
      </w:r>
      <w:r w:rsidRPr="006A0A3F">
        <w:rPr>
          <w:rFonts w:ascii="Verdana" w:eastAsia="Arial Unicode MS" w:hAnsi="Verdana" w:cs="Times New Roman"/>
          <w:sz w:val="16"/>
          <w:szCs w:val="20"/>
          <w:bdr w:val="nil"/>
        </w:rPr>
        <w:t>al respetable criterio de quien preside el organismo, al invocar</w:t>
      </w:r>
      <w:r w:rsidRPr="006A0A3F">
        <w:rPr>
          <w:rFonts w:ascii="Verdana" w:hAnsi="Verdana"/>
          <w:sz w:val="16"/>
          <w:szCs w:val="20"/>
        </w:rPr>
        <w:t xml:space="preserve"> </w:t>
      </w:r>
      <w:r w:rsidRPr="006A0A3F">
        <w:rPr>
          <w:rFonts w:ascii="Verdana" w:eastAsia="Arial Unicode MS" w:hAnsi="Verdana" w:cs="Times New Roman"/>
          <w:sz w:val="16"/>
          <w:szCs w:val="20"/>
          <w:bdr w:val="nil"/>
        </w:rPr>
        <w:t>un derecho contractual para tomar esta decisión sin</w:t>
      </w:r>
      <w:r w:rsidRPr="006A0A3F">
        <w:rPr>
          <w:rFonts w:ascii="Verdana" w:hAnsi="Verdana"/>
          <w:sz w:val="16"/>
          <w:szCs w:val="20"/>
        </w:rPr>
        <w:t xml:space="preserve"> </w:t>
      </w:r>
      <w:r w:rsidRPr="006A0A3F">
        <w:rPr>
          <w:rFonts w:ascii="Verdana" w:eastAsia="Arial Unicode MS" w:hAnsi="Verdana" w:cs="Times New Roman"/>
          <w:sz w:val="16"/>
          <w:szCs w:val="20"/>
          <w:bdr w:val="nil"/>
        </w:rPr>
        <w:t>tener que instaurar un proceso de despido como el</w:t>
      </w:r>
      <w:r w:rsidRPr="006A0A3F">
        <w:rPr>
          <w:rFonts w:ascii="Verdana" w:hAnsi="Verdana"/>
          <w:sz w:val="16"/>
          <w:szCs w:val="20"/>
        </w:rPr>
        <w:t xml:space="preserve"> </w:t>
      </w:r>
      <w:r w:rsidRPr="006A0A3F">
        <w:rPr>
          <w:rFonts w:ascii="Verdana" w:eastAsia="Arial Unicode MS" w:hAnsi="Verdana" w:cs="Times New Roman"/>
          <w:sz w:val="16"/>
          <w:szCs w:val="20"/>
          <w:bdr w:val="nil"/>
        </w:rPr>
        <w:t>contemplado en la Ley Orgánica del Trabajo, ya que este máximo instrumento de legislación laboral establece la figura jurídica del contrato como ‘ley entre las partes’</w:t>
      </w:r>
      <w:r w:rsidRPr="006A0A3F">
        <w:rPr>
          <w:rFonts w:ascii="Verdana" w:hAnsi="Verdana"/>
          <w:sz w:val="16"/>
          <w:szCs w:val="20"/>
        </w:rPr>
        <w:t>.</w:t>
      </w:r>
      <w:r w:rsidR="00AA45DF" w:rsidRPr="006A0A3F">
        <w:rPr>
          <w:rFonts w:ascii="Verdana" w:hAnsi="Verdana"/>
          <w:sz w:val="18"/>
          <w:szCs w:val="20"/>
        </w:rPr>
        <w:t xml:space="preserve"> </w:t>
      </w:r>
    </w:p>
    <w:p w14:paraId="3E30F860" w14:textId="0187B2F7" w:rsidR="00D01B08" w:rsidRPr="006A0A3F" w:rsidRDefault="00AA45DF" w:rsidP="00AA45DF">
      <w:pPr>
        <w:pBdr>
          <w:top w:val="nil"/>
        </w:pBdr>
        <w:spacing w:after="0" w:line="240" w:lineRule="auto"/>
        <w:ind w:left="708"/>
        <w:jc w:val="both"/>
        <w:rPr>
          <w:rFonts w:ascii="Verdana" w:hAnsi="Verdana"/>
          <w:sz w:val="18"/>
          <w:szCs w:val="20"/>
        </w:rPr>
      </w:pPr>
      <w:r w:rsidRPr="006A0A3F">
        <w:rPr>
          <w:rFonts w:ascii="Verdana" w:eastAsia="Arial Unicode MS" w:hAnsi="Verdana" w:cs="Times New Roman"/>
          <w:sz w:val="16"/>
          <w:szCs w:val="20"/>
          <w:bdr w:val="nil"/>
        </w:rPr>
        <w:t>En ningún momento el Presidente del Organismo ha expresado que la motivación de la finalización de los contratos en referencia haya tenido como causa un supuesto ‘gesto de desconfianza’, en el que habrían incurrido San Miguel Sosa, Chang Girón y Peña, por ‘suscribir la solicitud para la realización del referéndum revocatorio presidencial’ y no tiene por tanto fundamento una temeraria interpretación sobre la decisión</w:t>
      </w:r>
      <w:r w:rsidRPr="006A0A3F">
        <w:rPr>
          <w:rFonts w:ascii="Verdana" w:eastAsia="Arial Unicode MS" w:hAnsi="Verdana" w:cs="Times New Roman"/>
          <w:sz w:val="16"/>
          <w:szCs w:val="18"/>
          <w:bdr w:val="nil"/>
        </w:rPr>
        <w:t>.</w:t>
      </w:r>
      <w:r w:rsidR="00643845" w:rsidRPr="006A0A3F">
        <w:rPr>
          <w:rFonts w:ascii="Verdana" w:hAnsi="Verdana"/>
          <w:sz w:val="16"/>
          <w:szCs w:val="18"/>
          <w:vertAlign w:val="superscript"/>
        </w:rPr>
        <w:footnoteReference w:id="135"/>
      </w:r>
      <w:r w:rsidR="00643845" w:rsidRPr="006A0A3F">
        <w:rPr>
          <w:rFonts w:ascii="Verdana" w:hAnsi="Verdana"/>
          <w:sz w:val="16"/>
          <w:szCs w:val="18"/>
          <w:vertAlign w:val="superscript"/>
        </w:rPr>
        <w:t>.</w:t>
      </w:r>
    </w:p>
    <w:p w14:paraId="77B549EC" w14:textId="77777777" w:rsidR="00D01B08" w:rsidRPr="006A0A3F" w:rsidRDefault="00D01B08" w:rsidP="00D01B08">
      <w:pPr>
        <w:pStyle w:val="ListParagraph"/>
        <w:rPr>
          <w:rFonts w:ascii="Verdana" w:hAnsi="Verdana"/>
          <w:sz w:val="20"/>
          <w:lang w:val="es-CR"/>
        </w:rPr>
      </w:pPr>
    </w:p>
    <w:p w14:paraId="724B249C" w14:textId="645F06C9" w:rsidR="00AC6AFB" w:rsidRPr="006A0A3F" w:rsidRDefault="00AC6AFB" w:rsidP="00AC6AF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Posteriormente, en declaraciones dadas a medios de comunicación en agosto de 2004</w:t>
      </w:r>
      <w:r w:rsidR="00C571BF" w:rsidRPr="006A0A3F">
        <w:rPr>
          <w:rFonts w:ascii="Verdana" w:hAnsi="Verdana"/>
          <w:sz w:val="20"/>
          <w:szCs w:val="20"/>
        </w:rPr>
        <w:t>,</w:t>
      </w:r>
      <w:r w:rsidRPr="006A0A3F">
        <w:rPr>
          <w:rFonts w:ascii="Verdana" w:hAnsi="Verdana"/>
          <w:sz w:val="20"/>
          <w:szCs w:val="20"/>
        </w:rPr>
        <w:t xml:space="preserve"> el referido Secretario Ejecutivo del Consejo Nacional de Fronteras manifestó que el Presidente de </w:t>
      </w:r>
      <w:r w:rsidR="000A235B" w:rsidRPr="006A0A3F">
        <w:rPr>
          <w:rFonts w:ascii="Verdana" w:hAnsi="Verdana"/>
          <w:sz w:val="20"/>
          <w:szCs w:val="20"/>
        </w:rPr>
        <w:t>e</w:t>
      </w:r>
      <w:r w:rsidRPr="006A0A3F">
        <w:rPr>
          <w:rFonts w:ascii="Verdana" w:hAnsi="Verdana"/>
          <w:sz w:val="20"/>
          <w:szCs w:val="20"/>
        </w:rPr>
        <w:t>ste</w:t>
      </w:r>
      <w:r w:rsidR="000A235B" w:rsidRPr="006A0A3F">
        <w:rPr>
          <w:rFonts w:ascii="Verdana" w:hAnsi="Verdana"/>
          <w:sz w:val="20"/>
          <w:szCs w:val="20"/>
        </w:rPr>
        <w:t xml:space="preserve"> organismo</w:t>
      </w:r>
      <w:r w:rsidRPr="006A0A3F">
        <w:rPr>
          <w:rFonts w:ascii="Verdana" w:hAnsi="Verdana"/>
          <w:sz w:val="20"/>
          <w:szCs w:val="20"/>
        </w:rPr>
        <w:t xml:space="preserve"> le </w:t>
      </w:r>
      <w:r w:rsidR="000A235B" w:rsidRPr="006A0A3F">
        <w:rPr>
          <w:rFonts w:ascii="Verdana" w:hAnsi="Verdana"/>
          <w:sz w:val="20"/>
          <w:szCs w:val="20"/>
        </w:rPr>
        <w:t>había explicado</w:t>
      </w:r>
      <w:r w:rsidRPr="006A0A3F">
        <w:rPr>
          <w:rFonts w:ascii="Verdana" w:hAnsi="Verdana"/>
          <w:sz w:val="20"/>
          <w:szCs w:val="20"/>
        </w:rPr>
        <w:t xml:space="preserve"> que ya no requería los servicios de </w:t>
      </w:r>
      <w:r w:rsidR="000A235B" w:rsidRPr="006A0A3F">
        <w:rPr>
          <w:rFonts w:ascii="Verdana" w:hAnsi="Verdana"/>
          <w:sz w:val="20"/>
          <w:szCs w:val="20"/>
        </w:rPr>
        <w:t>las presuntas víctimas</w:t>
      </w:r>
      <w:r w:rsidRPr="006A0A3F">
        <w:rPr>
          <w:rFonts w:ascii="Verdana" w:hAnsi="Verdana"/>
          <w:sz w:val="20"/>
          <w:szCs w:val="20"/>
        </w:rPr>
        <w:t xml:space="preserve"> </w:t>
      </w:r>
      <w:r w:rsidRPr="006A0A3F">
        <w:rPr>
          <w:rFonts w:ascii="Verdana" w:hAnsi="Verdana"/>
          <w:sz w:val="20"/>
          <w:szCs w:val="20"/>
        </w:rPr>
        <w:lastRenderedPageBreak/>
        <w:t>“porque estaba prevista una reestructuración” del Consejo y “de alguna manera el organismo sería absorbido por la Vicepresidencia”; que la propia Rocío San Miguel había redactado sus contratos; que se trató de “una simple reducción de personal”; y que “definitivamente sí” fue una simple coincidencia que hayan despedido a tres personas que firmaron a favor del revocatorio presidencial</w:t>
      </w:r>
      <w:r w:rsidRPr="006A0A3F">
        <w:rPr>
          <w:rStyle w:val="FootnoteReference"/>
          <w:rFonts w:ascii="Verdana" w:hAnsi="Verdana"/>
          <w:sz w:val="20"/>
          <w:szCs w:val="20"/>
        </w:rPr>
        <w:footnoteReference w:id="136"/>
      </w:r>
      <w:r w:rsidRPr="006A0A3F">
        <w:rPr>
          <w:rFonts w:ascii="Verdana" w:hAnsi="Verdana"/>
          <w:sz w:val="20"/>
          <w:szCs w:val="20"/>
        </w:rPr>
        <w:t>.</w:t>
      </w:r>
    </w:p>
    <w:p w14:paraId="30A136DF" w14:textId="77777777" w:rsidR="00E41D9C" w:rsidRPr="006A0A3F" w:rsidRDefault="00E41D9C" w:rsidP="00E41D9C">
      <w:pPr>
        <w:spacing w:after="0" w:line="240" w:lineRule="auto"/>
        <w:jc w:val="both"/>
        <w:rPr>
          <w:rFonts w:ascii="Verdana" w:hAnsi="Verdana"/>
          <w:sz w:val="20"/>
          <w:szCs w:val="20"/>
        </w:rPr>
      </w:pPr>
    </w:p>
    <w:p w14:paraId="33C2CE2C" w14:textId="06D85465"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Según el listado publicado en un diario nacional venezolano, del total de empleados del Consejo Nacional de Fronteras que consta</w:t>
      </w:r>
      <w:r w:rsidR="00871D81" w:rsidRPr="006A0A3F">
        <w:rPr>
          <w:rFonts w:ascii="Verdana" w:hAnsi="Verdana"/>
          <w:sz w:val="20"/>
          <w:szCs w:val="20"/>
        </w:rPr>
        <w:t>ba</w:t>
      </w:r>
      <w:r w:rsidRPr="006A0A3F">
        <w:rPr>
          <w:rFonts w:ascii="Verdana" w:hAnsi="Verdana"/>
          <w:sz w:val="20"/>
          <w:szCs w:val="20"/>
        </w:rPr>
        <w:t>n en la nómina de personal hasta 2003</w:t>
      </w:r>
      <w:r w:rsidRPr="006A0A3F">
        <w:rPr>
          <w:rFonts w:ascii="Verdana" w:hAnsi="Verdana"/>
          <w:sz w:val="20"/>
          <w:szCs w:val="20"/>
          <w:vertAlign w:val="superscript"/>
        </w:rPr>
        <w:footnoteReference w:id="137"/>
      </w:r>
      <w:r w:rsidR="00A03718" w:rsidRPr="006A0A3F">
        <w:rPr>
          <w:rFonts w:ascii="Verdana" w:hAnsi="Verdana"/>
          <w:sz w:val="20"/>
          <w:szCs w:val="20"/>
        </w:rPr>
        <w:t xml:space="preserve">, cuatro personas identificadas con las cédulas 3.247.646, 4.421.705, 6.974.789 y 11.928.963 (correspondientes respectivamente a </w:t>
      </w:r>
      <w:proofErr w:type="spellStart"/>
      <w:r w:rsidR="00A03718" w:rsidRPr="006A0A3F">
        <w:rPr>
          <w:rFonts w:ascii="Verdana" w:hAnsi="Verdana"/>
          <w:sz w:val="20"/>
          <w:szCs w:val="20"/>
        </w:rPr>
        <w:t>Magally</w:t>
      </w:r>
      <w:proofErr w:type="spellEnd"/>
      <w:r w:rsidR="00A03718" w:rsidRPr="006A0A3F">
        <w:rPr>
          <w:rFonts w:ascii="Verdana" w:hAnsi="Verdana"/>
          <w:sz w:val="20"/>
          <w:szCs w:val="20"/>
        </w:rPr>
        <w:t xml:space="preserve"> Chang Girón, Thais Coromoto Peña, Rocío San Miguel Sosa</w:t>
      </w:r>
      <w:r w:rsidR="00944DD1" w:rsidRPr="006A0A3F">
        <w:rPr>
          <w:rFonts w:ascii="Verdana" w:hAnsi="Verdana"/>
          <w:sz w:val="20"/>
          <w:szCs w:val="20"/>
        </w:rPr>
        <w:t xml:space="preserve"> y una persona más</w:t>
      </w:r>
      <w:r w:rsidR="00A03718" w:rsidRPr="006A0A3F">
        <w:rPr>
          <w:rFonts w:ascii="Verdana" w:hAnsi="Verdana"/>
          <w:sz w:val="20"/>
          <w:szCs w:val="20"/>
        </w:rPr>
        <w:t xml:space="preserve">) </w:t>
      </w:r>
      <w:r w:rsidRPr="006A0A3F">
        <w:rPr>
          <w:rFonts w:ascii="Verdana" w:hAnsi="Verdana"/>
          <w:sz w:val="20"/>
          <w:szCs w:val="20"/>
        </w:rPr>
        <w:t xml:space="preserve">firmaron la </w:t>
      </w:r>
      <w:r w:rsidR="00A03718" w:rsidRPr="006A0A3F">
        <w:rPr>
          <w:rFonts w:ascii="Verdana" w:hAnsi="Verdana"/>
          <w:sz w:val="20"/>
          <w:szCs w:val="20"/>
        </w:rPr>
        <w:t xml:space="preserve">referida </w:t>
      </w:r>
      <w:r w:rsidRPr="006A0A3F">
        <w:rPr>
          <w:rFonts w:ascii="Verdana" w:hAnsi="Verdana"/>
          <w:sz w:val="20"/>
          <w:szCs w:val="20"/>
        </w:rPr>
        <w:t>solicitud de referendo revocatorio</w:t>
      </w:r>
      <w:r w:rsidR="00944DD1" w:rsidRPr="006A0A3F">
        <w:rPr>
          <w:rFonts w:ascii="Verdana" w:hAnsi="Verdana"/>
          <w:sz w:val="20"/>
          <w:szCs w:val="20"/>
        </w:rPr>
        <w:t xml:space="preserve">. </w:t>
      </w:r>
    </w:p>
    <w:p w14:paraId="7A0F7236" w14:textId="77777777" w:rsidR="00E41D9C" w:rsidRDefault="00E41D9C" w:rsidP="00E41D9C">
      <w:pPr>
        <w:spacing w:after="0" w:line="240" w:lineRule="auto"/>
        <w:jc w:val="both"/>
        <w:rPr>
          <w:rFonts w:ascii="Verdana" w:hAnsi="Verdana"/>
          <w:sz w:val="20"/>
          <w:szCs w:val="20"/>
        </w:rPr>
      </w:pPr>
    </w:p>
    <w:p w14:paraId="2535586F" w14:textId="77777777" w:rsidR="00F44DD1" w:rsidRPr="006A0A3F" w:rsidRDefault="00F44DD1" w:rsidP="00E41D9C">
      <w:pPr>
        <w:spacing w:after="0" w:line="240" w:lineRule="auto"/>
        <w:jc w:val="both"/>
        <w:rPr>
          <w:rFonts w:ascii="Verdana" w:hAnsi="Verdana"/>
          <w:sz w:val="20"/>
          <w:szCs w:val="20"/>
        </w:rPr>
      </w:pPr>
    </w:p>
    <w:p w14:paraId="3D9D81E5" w14:textId="2029F325" w:rsidR="00E41D9C" w:rsidRPr="006A0A3F" w:rsidRDefault="00E41D9C" w:rsidP="00580289">
      <w:pPr>
        <w:pStyle w:val="Heading2"/>
        <w:rPr>
          <w:rFonts w:ascii="Verdana" w:hAnsi="Verdana"/>
          <w:smallCaps/>
          <w:lang w:val="es-CR"/>
        </w:rPr>
      </w:pPr>
      <w:bookmarkStart w:id="24" w:name="_Toc505876991"/>
      <w:bookmarkStart w:id="25" w:name="_Toc420680446"/>
      <w:bookmarkStart w:id="26" w:name="_Toc423514414"/>
      <w:bookmarkStart w:id="27" w:name="_Toc433308903"/>
      <w:r w:rsidRPr="006A0A3F">
        <w:rPr>
          <w:rFonts w:ascii="Verdana" w:hAnsi="Verdana"/>
          <w:smallCaps/>
          <w:lang w:val="es-CR"/>
        </w:rPr>
        <w:t>Denuncias y procesos internos</w:t>
      </w:r>
      <w:bookmarkEnd w:id="24"/>
      <w:r w:rsidRPr="006A0A3F">
        <w:rPr>
          <w:rFonts w:ascii="Verdana" w:hAnsi="Verdana"/>
          <w:smallCaps/>
          <w:lang w:val="es-CR"/>
        </w:rPr>
        <w:t xml:space="preserve"> </w:t>
      </w:r>
      <w:bookmarkStart w:id="28" w:name="_Toc420680447"/>
      <w:bookmarkEnd w:id="25"/>
      <w:bookmarkEnd w:id="26"/>
      <w:bookmarkEnd w:id="27"/>
    </w:p>
    <w:p w14:paraId="5E8D06D4" w14:textId="77777777" w:rsidR="00E41D9C" w:rsidRPr="006A0A3F" w:rsidRDefault="00E41D9C" w:rsidP="00E41D9C">
      <w:pPr>
        <w:spacing w:after="0" w:line="240" w:lineRule="auto"/>
        <w:jc w:val="both"/>
        <w:rPr>
          <w:rFonts w:ascii="Verdana" w:hAnsi="Verdana"/>
          <w:sz w:val="20"/>
          <w:szCs w:val="20"/>
        </w:rPr>
      </w:pPr>
    </w:p>
    <w:p w14:paraId="634BEEA5" w14:textId="6E198588"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w:t>
      </w:r>
      <w:r w:rsidR="005206EF">
        <w:rPr>
          <w:rFonts w:ascii="Verdana" w:hAnsi="Verdana"/>
          <w:sz w:val="20"/>
          <w:szCs w:val="20"/>
        </w:rPr>
        <w:t>razón</w:t>
      </w:r>
      <w:r w:rsidRPr="006A0A3F">
        <w:rPr>
          <w:rFonts w:ascii="Verdana" w:hAnsi="Verdana"/>
          <w:sz w:val="20"/>
          <w:szCs w:val="20"/>
        </w:rPr>
        <w:t xml:space="preserve"> de los hechos descritos anteriormente las presuntas víctimas iniciaron e impulsaron las </w:t>
      </w:r>
      <w:r w:rsidR="00342944" w:rsidRPr="006A0A3F">
        <w:rPr>
          <w:rFonts w:ascii="Verdana" w:hAnsi="Verdana"/>
          <w:sz w:val="20"/>
          <w:szCs w:val="20"/>
        </w:rPr>
        <w:t xml:space="preserve">denuncias y </w:t>
      </w:r>
      <w:r w:rsidRPr="006A0A3F">
        <w:rPr>
          <w:rFonts w:ascii="Verdana" w:hAnsi="Verdana"/>
          <w:sz w:val="20"/>
          <w:szCs w:val="20"/>
        </w:rPr>
        <w:t>acciones judiciales que se describen a continuación.</w:t>
      </w:r>
    </w:p>
    <w:p w14:paraId="78E93223" w14:textId="77777777" w:rsidR="00F44DD1" w:rsidRPr="006A0A3F" w:rsidRDefault="00F44DD1" w:rsidP="00E41D9C">
      <w:pPr>
        <w:spacing w:after="0" w:line="240" w:lineRule="auto"/>
        <w:jc w:val="both"/>
        <w:rPr>
          <w:rFonts w:ascii="Verdana" w:hAnsi="Verdana"/>
          <w:sz w:val="20"/>
          <w:szCs w:val="20"/>
        </w:rPr>
      </w:pPr>
    </w:p>
    <w:p w14:paraId="2707A084" w14:textId="340BE178" w:rsidR="00E41D9C" w:rsidRPr="006A0A3F" w:rsidRDefault="00E41D9C" w:rsidP="00AB56AF">
      <w:pPr>
        <w:pStyle w:val="ListParagraph"/>
        <w:numPr>
          <w:ilvl w:val="0"/>
          <w:numId w:val="11"/>
        </w:numPr>
        <w:pBdr>
          <w:top w:val="nil"/>
        </w:pBdr>
        <w:ind w:hanging="720"/>
        <w:jc w:val="both"/>
        <w:rPr>
          <w:rFonts w:ascii="Verdana" w:hAnsi="Verdana"/>
          <w:b/>
          <w:i/>
          <w:sz w:val="20"/>
          <w:lang w:val="es-CR"/>
        </w:rPr>
      </w:pPr>
      <w:r w:rsidRPr="006A0A3F">
        <w:rPr>
          <w:rFonts w:ascii="Verdana" w:hAnsi="Verdana"/>
          <w:b/>
          <w:i/>
          <w:sz w:val="20"/>
          <w:lang w:val="es-CR"/>
        </w:rPr>
        <w:t xml:space="preserve">Denuncia ante la Defensoría del Pueblo </w:t>
      </w:r>
    </w:p>
    <w:p w14:paraId="6AA59F53" w14:textId="77777777" w:rsidR="00E41D9C" w:rsidRPr="006A0A3F" w:rsidRDefault="00E41D9C" w:rsidP="00E41D9C">
      <w:pPr>
        <w:spacing w:after="0" w:line="240" w:lineRule="auto"/>
        <w:jc w:val="both"/>
        <w:rPr>
          <w:rFonts w:ascii="Verdana" w:hAnsi="Verdana"/>
          <w:sz w:val="20"/>
          <w:szCs w:val="20"/>
        </w:rPr>
      </w:pPr>
    </w:p>
    <w:p w14:paraId="6EDE15E8" w14:textId="2B2C9F78"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27 mayo de 2004 </w:t>
      </w:r>
      <w:r w:rsidR="000F1993" w:rsidRPr="006A0A3F">
        <w:rPr>
          <w:rFonts w:ascii="Verdana" w:hAnsi="Verdana"/>
          <w:sz w:val="20"/>
          <w:szCs w:val="20"/>
        </w:rPr>
        <w:t>las presuntas víctimas</w:t>
      </w:r>
      <w:r w:rsidRPr="006A0A3F">
        <w:rPr>
          <w:rFonts w:ascii="Verdana" w:hAnsi="Verdana"/>
          <w:sz w:val="20"/>
          <w:szCs w:val="20"/>
        </w:rPr>
        <w:t xml:space="preserve"> interpusieron denuncia ante la Defensoría del Pueblo, alegando despido injustificado y discriminatorio del </w:t>
      </w:r>
      <w:r w:rsidR="000F1993" w:rsidRPr="006A0A3F">
        <w:rPr>
          <w:rFonts w:ascii="Verdana" w:hAnsi="Verdana"/>
          <w:sz w:val="20"/>
          <w:szCs w:val="20"/>
        </w:rPr>
        <w:t>CNF</w:t>
      </w:r>
      <w:r w:rsidRPr="006A0A3F">
        <w:rPr>
          <w:rFonts w:ascii="Verdana" w:hAnsi="Verdana"/>
          <w:sz w:val="20"/>
          <w:szCs w:val="20"/>
        </w:rPr>
        <w:t>, ejercido como represalia a sus firmas en la solicitud de referendo revocatorio</w:t>
      </w:r>
      <w:r w:rsidRPr="006A0A3F">
        <w:rPr>
          <w:rFonts w:ascii="Verdana" w:hAnsi="Verdana"/>
          <w:sz w:val="20"/>
          <w:szCs w:val="20"/>
          <w:vertAlign w:val="superscript"/>
        </w:rPr>
        <w:footnoteReference w:id="138"/>
      </w:r>
      <w:r w:rsidRPr="006A0A3F">
        <w:rPr>
          <w:rFonts w:ascii="Verdana" w:hAnsi="Verdana"/>
          <w:sz w:val="20"/>
          <w:szCs w:val="20"/>
        </w:rPr>
        <w:t>. El 29 de junio de 2004 la Defensoría Delegada del Área Metropolitana de Caracas dictó</w:t>
      </w:r>
      <w:r w:rsidR="00A03718" w:rsidRPr="006A0A3F">
        <w:rPr>
          <w:rFonts w:ascii="Verdana" w:hAnsi="Verdana"/>
          <w:sz w:val="20"/>
          <w:szCs w:val="20"/>
        </w:rPr>
        <w:t xml:space="preserve"> un</w:t>
      </w:r>
      <w:r w:rsidRPr="006A0A3F">
        <w:rPr>
          <w:rFonts w:ascii="Verdana" w:hAnsi="Verdana"/>
          <w:sz w:val="20"/>
          <w:szCs w:val="20"/>
        </w:rPr>
        <w:t xml:space="preserve"> auto </w:t>
      </w:r>
      <w:r w:rsidR="00A03718" w:rsidRPr="006A0A3F">
        <w:rPr>
          <w:rFonts w:ascii="Verdana" w:hAnsi="Verdana"/>
          <w:sz w:val="20"/>
          <w:szCs w:val="20"/>
        </w:rPr>
        <w:t>en que admitió la denuncia y ordenó</w:t>
      </w:r>
      <w:r w:rsidRPr="006A0A3F">
        <w:rPr>
          <w:rFonts w:ascii="Verdana" w:hAnsi="Verdana"/>
          <w:sz w:val="20"/>
          <w:szCs w:val="20"/>
        </w:rPr>
        <w:t xml:space="preserve"> la realización de todas las diligencias necesarias para investigar los hechos denunciados</w:t>
      </w:r>
      <w:r w:rsidRPr="006A0A3F">
        <w:rPr>
          <w:rFonts w:ascii="Verdana" w:hAnsi="Verdana"/>
          <w:sz w:val="20"/>
          <w:szCs w:val="20"/>
          <w:vertAlign w:val="superscript"/>
        </w:rPr>
        <w:footnoteReference w:id="139"/>
      </w:r>
      <w:r w:rsidRPr="006A0A3F">
        <w:rPr>
          <w:rFonts w:ascii="Verdana" w:hAnsi="Verdana"/>
          <w:sz w:val="20"/>
          <w:szCs w:val="20"/>
        </w:rPr>
        <w:t>.</w:t>
      </w:r>
    </w:p>
    <w:p w14:paraId="58FB4E8E" w14:textId="77777777" w:rsidR="00E41D9C" w:rsidRPr="006A0A3F" w:rsidRDefault="00E41D9C" w:rsidP="00E41D9C">
      <w:pPr>
        <w:spacing w:after="0" w:line="240" w:lineRule="auto"/>
        <w:jc w:val="both"/>
        <w:rPr>
          <w:rFonts w:ascii="Verdana" w:hAnsi="Verdana"/>
          <w:sz w:val="20"/>
          <w:szCs w:val="20"/>
        </w:rPr>
      </w:pPr>
    </w:p>
    <w:p w14:paraId="3C017F5E" w14:textId="403045A5"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16 de julio de 2004 el Coordinador de Servicios Jurídicos de la Defensoría del Pueblo emitió un informe indicando que no era posible probar lo indicado por las </w:t>
      </w:r>
      <w:r w:rsidR="00582C59" w:rsidRPr="006A0A3F">
        <w:rPr>
          <w:rFonts w:ascii="Verdana" w:hAnsi="Verdana"/>
          <w:sz w:val="20"/>
          <w:szCs w:val="20"/>
        </w:rPr>
        <w:t xml:space="preserve">denunciantes, </w:t>
      </w:r>
      <w:r w:rsidR="00093356" w:rsidRPr="006A0A3F">
        <w:rPr>
          <w:rFonts w:ascii="Verdana" w:hAnsi="Verdana"/>
          <w:sz w:val="20"/>
          <w:szCs w:val="20"/>
        </w:rPr>
        <w:t>en el sentido de que fuera</w:t>
      </w:r>
      <w:r w:rsidRPr="006A0A3F">
        <w:rPr>
          <w:rFonts w:ascii="Verdana" w:hAnsi="Verdana"/>
          <w:sz w:val="20"/>
          <w:szCs w:val="20"/>
        </w:rPr>
        <w:t>n objeto de un acto discriminatorio por parte de</w:t>
      </w:r>
      <w:r w:rsidR="00093356" w:rsidRPr="006A0A3F">
        <w:rPr>
          <w:rFonts w:ascii="Verdana" w:hAnsi="Verdana"/>
          <w:sz w:val="20"/>
          <w:szCs w:val="20"/>
        </w:rPr>
        <w:t>l Consejo Nacional de Fronteras</w:t>
      </w:r>
      <w:r w:rsidRPr="006A0A3F">
        <w:rPr>
          <w:rFonts w:ascii="Verdana" w:hAnsi="Verdana"/>
          <w:sz w:val="20"/>
          <w:szCs w:val="20"/>
        </w:rPr>
        <w:t xml:space="preserve">. El informe señala que: </w:t>
      </w:r>
    </w:p>
    <w:p w14:paraId="20801490" w14:textId="77777777" w:rsidR="00E41D9C" w:rsidRPr="006A0A3F" w:rsidRDefault="00E41D9C" w:rsidP="00E41D9C">
      <w:pPr>
        <w:spacing w:after="0" w:line="240" w:lineRule="auto"/>
        <w:jc w:val="both"/>
        <w:rPr>
          <w:rFonts w:ascii="Verdana" w:hAnsi="Verdana"/>
          <w:sz w:val="20"/>
          <w:szCs w:val="20"/>
        </w:rPr>
      </w:pPr>
    </w:p>
    <w:p w14:paraId="6CA1A2DD" w14:textId="77777777" w:rsidR="00E41D9C" w:rsidRPr="006A0A3F" w:rsidRDefault="00E41D9C" w:rsidP="00E41D9C">
      <w:pPr>
        <w:spacing w:after="0" w:line="240" w:lineRule="auto"/>
        <w:ind w:left="709"/>
        <w:jc w:val="both"/>
        <w:rPr>
          <w:rFonts w:ascii="Verdana" w:hAnsi="Verdana"/>
          <w:sz w:val="16"/>
          <w:szCs w:val="20"/>
        </w:rPr>
      </w:pPr>
      <w:r w:rsidRPr="006A0A3F">
        <w:rPr>
          <w:rFonts w:ascii="Verdana" w:hAnsi="Verdana"/>
          <w:sz w:val="16"/>
          <w:szCs w:val="20"/>
        </w:rPr>
        <w:t>Nos encontramos ante el dicho no probado de las accionantes, contra la demostración fáctica de las potestades discrecionales de la administración actuante. Tal actuación, a todas luces, resulta insuficiente para probar que la causa del despido de las ciudadanas peticionarias sean motivos políticos y relativos a la participación ciudadana</w:t>
      </w:r>
      <w:r w:rsidRPr="006A0A3F">
        <w:rPr>
          <w:rFonts w:ascii="Verdana" w:hAnsi="Verdana"/>
          <w:sz w:val="16"/>
          <w:szCs w:val="20"/>
          <w:vertAlign w:val="superscript"/>
        </w:rPr>
        <w:footnoteReference w:id="140"/>
      </w:r>
      <w:r w:rsidRPr="006A0A3F">
        <w:rPr>
          <w:rFonts w:ascii="Verdana" w:hAnsi="Verdana"/>
          <w:sz w:val="16"/>
          <w:szCs w:val="20"/>
        </w:rPr>
        <w:t xml:space="preserve">.  </w:t>
      </w:r>
    </w:p>
    <w:p w14:paraId="0FF1EE3A" w14:textId="77777777" w:rsidR="00E41D9C" w:rsidRPr="006A0A3F" w:rsidRDefault="00E41D9C" w:rsidP="00E41D9C">
      <w:pPr>
        <w:spacing w:after="0" w:line="240" w:lineRule="auto"/>
        <w:jc w:val="both"/>
        <w:rPr>
          <w:rFonts w:ascii="Verdana" w:hAnsi="Verdana"/>
          <w:sz w:val="20"/>
          <w:szCs w:val="20"/>
        </w:rPr>
      </w:pPr>
    </w:p>
    <w:p w14:paraId="4F4CD6F3" w14:textId="533A68EC"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17 de agosto de 2004 </w:t>
      </w:r>
      <w:r w:rsidR="000F1993" w:rsidRPr="006A0A3F">
        <w:rPr>
          <w:rFonts w:ascii="Verdana" w:hAnsi="Verdana"/>
          <w:sz w:val="20"/>
          <w:szCs w:val="20"/>
        </w:rPr>
        <w:t>dicha</w:t>
      </w:r>
      <w:r w:rsidRPr="006A0A3F">
        <w:rPr>
          <w:rFonts w:ascii="Verdana" w:hAnsi="Verdana"/>
          <w:sz w:val="20"/>
          <w:szCs w:val="20"/>
        </w:rPr>
        <w:t xml:space="preserve"> Defensoría Delegada decidió archivar la denuncia al estimar que no resulta probado que la administración haya actuado con abuso de poder, sino que hizo uso del derecho contractual a rescindir los contratos</w:t>
      </w:r>
      <w:r w:rsidRPr="006A0A3F">
        <w:rPr>
          <w:rFonts w:ascii="Verdana" w:hAnsi="Verdana"/>
          <w:sz w:val="20"/>
          <w:szCs w:val="20"/>
          <w:vertAlign w:val="superscript"/>
        </w:rPr>
        <w:footnoteReference w:id="141"/>
      </w:r>
      <w:r w:rsidRPr="006A0A3F">
        <w:rPr>
          <w:rFonts w:ascii="Verdana" w:hAnsi="Verdana"/>
          <w:sz w:val="20"/>
          <w:szCs w:val="20"/>
        </w:rPr>
        <w:t xml:space="preserve">. </w:t>
      </w:r>
    </w:p>
    <w:p w14:paraId="53F557A6" w14:textId="77777777" w:rsidR="0064741F" w:rsidRPr="006A0A3F" w:rsidRDefault="0064741F" w:rsidP="00E41D9C">
      <w:pPr>
        <w:spacing w:after="0" w:line="240" w:lineRule="auto"/>
        <w:jc w:val="both"/>
        <w:rPr>
          <w:rFonts w:ascii="Verdana" w:hAnsi="Verdana"/>
          <w:sz w:val="20"/>
          <w:szCs w:val="20"/>
        </w:rPr>
      </w:pPr>
    </w:p>
    <w:bookmarkEnd w:id="28"/>
    <w:p w14:paraId="73C5A60B" w14:textId="302F6007" w:rsidR="00E41D9C" w:rsidRPr="006A0A3F" w:rsidRDefault="0070519D" w:rsidP="00AB56AF">
      <w:pPr>
        <w:pStyle w:val="ListParagraph"/>
        <w:numPr>
          <w:ilvl w:val="0"/>
          <w:numId w:val="11"/>
        </w:numPr>
        <w:pBdr>
          <w:top w:val="nil"/>
        </w:pBdr>
        <w:ind w:hanging="720"/>
        <w:jc w:val="both"/>
        <w:rPr>
          <w:rFonts w:ascii="Verdana" w:hAnsi="Verdana"/>
          <w:b/>
          <w:i/>
          <w:sz w:val="20"/>
          <w:lang w:val="es-CR"/>
        </w:rPr>
      </w:pPr>
      <w:r w:rsidRPr="006A0A3F">
        <w:rPr>
          <w:rFonts w:ascii="Verdana" w:hAnsi="Verdana"/>
          <w:b/>
          <w:i/>
          <w:sz w:val="20"/>
          <w:lang w:val="es-CR"/>
        </w:rPr>
        <w:t xml:space="preserve">Acción </w:t>
      </w:r>
      <w:r w:rsidR="00E41D9C" w:rsidRPr="006A0A3F">
        <w:rPr>
          <w:rFonts w:ascii="Verdana" w:hAnsi="Verdana"/>
          <w:b/>
          <w:i/>
          <w:sz w:val="20"/>
          <w:lang w:val="es-CR"/>
        </w:rPr>
        <w:t xml:space="preserve">de amparo constitucional </w:t>
      </w:r>
    </w:p>
    <w:p w14:paraId="007FD69B" w14:textId="77777777" w:rsidR="00E41D9C" w:rsidRPr="006A0A3F" w:rsidRDefault="00E41D9C" w:rsidP="00E41D9C">
      <w:pPr>
        <w:spacing w:after="0" w:line="240" w:lineRule="auto"/>
        <w:jc w:val="both"/>
        <w:rPr>
          <w:rFonts w:ascii="Verdana" w:hAnsi="Verdana"/>
          <w:sz w:val="20"/>
          <w:szCs w:val="20"/>
        </w:rPr>
      </w:pPr>
    </w:p>
    <w:p w14:paraId="4358AD48" w14:textId="54DDCF59"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22 de julio de 2004 las presuntas víctimas interpusieron </w:t>
      </w:r>
      <w:r w:rsidR="00554441" w:rsidRPr="006A0A3F">
        <w:rPr>
          <w:rFonts w:ascii="Verdana" w:hAnsi="Verdana"/>
          <w:sz w:val="20"/>
          <w:szCs w:val="20"/>
        </w:rPr>
        <w:t xml:space="preserve">una demanda de </w:t>
      </w:r>
      <w:r w:rsidRPr="006A0A3F">
        <w:rPr>
          <w:rFonts w:ascii="Verdana" w:hAnsi="Verdana"/>
          <w:sz w:val="20"/>
          <w:szCs w:val="20"/>
        </w:rPr>
        <w:t>amparo constitucional contra el Consejo Nacional de Fronteras</w:t>
      </w:r>
      <w:r w:rsidR="00554441" w:rsidRPr="006A0A3F">
        <w:rPr>
          <w:rFonts w:ascii="Verdana" w:hAnsi="Verdana"/>
          <w:sz w:val="20"/>
          <w:szCs w:val="20"/>
        </w:rPr>
        <w:t xml:space="preserve">, en la persona de su entonces Presidente </w:t>
      </w:r>
      <w:r w:rsidR="00554441" w:rsidRPr="006A0A3F">
        <w:rPr>
          <w:rFonts w:ascii="Verdana" w:hAnsi="Verdana"/>
          <w:sz w:val="20"/>
          <w:szCs w:val="20"/>
        </w:rPr>
        <w:lastRenderedPageBreak/>
        <w:t xml:space="preserve">José Vicente Rangel Vale, ante el Juez de Sustanciación, Mediación y Ejecución del Área </w:t>
      </w:r>
      <w:r w:rsidR="006B7AD9" w:rsidRPr="006A0A3F">
        <w:rPr>
          <w:rFonts w:ascii="Verdana" w:hAnsi="Verdana"/>
          <w:sz w:val="20"/>
          <w:szCs w:val="20"/>
        </w:rPr>
        <w:t>Metropolitana</w:t>
      </w:r>
      <w:r w:rsidR="00554441" w:rsidRPr="006A0A3F">
        <w:rPr>
          <w:rFonts w:ascii="Verdana" w:hAnsi="Verdana"/>
          <w:sz w:val="20"/>
          <w:szCs w:val="20"/>
        </w:rPr>
        <w:t xml:space="preserve"> de Caracas,</w:t>
      </w:r>
      <w:r w:rsidRPr="006A0A3F">
        <w:rPr>
          <w:rFonts w:ascii="Verdana" w:hAnsi="Verdana"/>
          <w:sz w:val="20"/>
          <w:szCs w:val="20"/>
        </w:rPr>
        <w:t xml:space="preserve"> argumentando que fueron objeto de discriminación laboral al ser despedidas </w:t>
      </w:r>
      <w:r w:rsidR="000F1993" w:rsidRPr="006A0A3F">
        <w:rPr>
          <w:rFonts w:ascii="Verdana" w:hAnsi="Verdana"/>
          <w:sz w:val="20"/>
          <w:szCs w:val="20"/>
        </w:rPr>
        <w:t>por haber firmado</w:t>
      </w:r>
      <w:r w:rsidRPr="006A0A3F">
        <w:rPr>
          <w:rFonts w:ascii="Verdana" w:hAnsi="Verdana"/>
          <w:sz w:val="20"/>
          <w:szCs w:val="20"/>
        </w:rPr>
        <w:t xml:space="preserve"> la solicitud de referendo</w:t>
      </w:r>
      <w:r w:rsidR="00C5485B" w:rsidRPr="006A0A3F">
        <w:rPr>
          <w:rStyle w:val="FootnoteReference"/>
          <w:rFonts w:ascii="Verdana" w:hAnsi="Verdana"/>
          <w:sz w:val="20"/>
          <w:szCs w:val="20"/>
        </w:rPr>
        <w:footnoteReference w:id="142"/>
      </w:r>
      <w:r w:rsidR="00554441" w:rsidRPr="006A0A3F">
        <w:rPr>
          <w:rFonts w:ascii="Verdana" w:hAnsi="Verdana"/>
          <w:sz w:val="20"/>
          <w:szCs w:val="20"/>
        </w:rPr>
        <w:t>.</w:t>
      </w:r>
      <w:r w:rsidRPr="006A0A3F">
        <w:rPr>
          <w:rFonts w:ascii="Verdana" w:hAnsi="Verdana"/>
          <w:sz w:val="20"/>
          <w:szCs w:val="20"/>
        </w:rPr>
        <w:t xml:space="preserve"> </w:t>
      </w:r>
    </w:p>
    <w:p w14:paraId="3BFC8D1B" w14:textId="77777777" w:rsidR="00E41D9C" w:rsidRPr="006A0A3F" w:rsidRDefault="00E41D9C" w:rsidP="00E41D9C">
      <w:pPr>
        <w:spacing w:after="0" w:line="240" w:lineRule="auto"/>
        <w:jc w:val="both"/>
        <w:rPr>
          <w:rFonts w:ascii="Verdana" w:hAnsi="Verdana"/>
          <w:sz w:val="20"/>
          <w:szCs w:val="20"/>
        </w:rPr>
      </w:pPr>
    </w:p>
    <w:p w14:paraId="62BE23F7" w14:textId="0C507F82"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4 de agosto de 2004 el Juzgado Cuarto de Primera Instancia de Juicio del Circuito Judicial del Trabajo se declaró incompetente para conocer la acción de amparo, al estimar que el c</w:t>
      </w:r>
      <w:r w:rsidR="00DB0EB6" w:rsidRPr="006A0A3F">
        <w:rPr>
          <w:rFonts w:ascii="Verdana" w:hAnsi="Verdana"/>
          <w:sz w:val="20"/>
          <w:szCs w:val="20"/>
        </w:rPr>
        <w:t>onocimiento del caso correspondía</w:t>
      </w:r>
      <w:r w:rsidRPr="006A0A3F">
        <w:rPr>
          <w:rFonts w:ascii="Verdana" w:hAnsi="Verdana"/>
          <w:sz w:val="20"/>
          <w:szCs w:val="20"/>
        </w:rPr>
        <w:t xml:space="preserve"> a la Sala Constitucional del Tribunal Supremo de Justicia, toda vez que el </w:t>
      </w:r>
      <w:r w:rsidR="000D0C17" w:rsidRPr="006A0A3F">
        <w:rPr>
          <w:rFonts w:ascii="Verdana" w:hAnsi="Verdana"/>
          <w:sz w:val="20"/>
          <w:szCs w:val="20"/>
        </w:rPr>
        <w:t xml:space="preserve">funcionario recurrido </w:t>
      </w:r>
      <w:r w:rsidRPr="006A0A3F">
        <w:rPr>
          <w:rFonts w:ascii="Verdana" w:hAnsi="Verdana"/>
          <w:sz w:val="20"/>
          <w:szCs w:val="20"/>
        </w:rPr>
        <w:t>también se desempeñaba para la fecha como Ministro de Relaciones Exteriores, por lo que se trata</w:t>
      </w:r>
      <w:r w:rsidR="00DB0EB6" w:rsidRPr="006A0A3F">
        <w:rPr>
          <w:rFonts w:ascii="Verdana" w:hAnsi="Verdana"/>
          <w:sz w:val="20"/>
          <w:szCs w:val="20"/>
        </w:rPr>
        <w:t>ba</w:t>
      </w:r>
      <w:r w:rsidRPr="006A0A3F">
        <w:rPr>
          <w:rFonts w:ascii="Verdana" w:hAnsi="Verdana"/>
          <w:sz w:val="20"/>
          <w:szCs w:val="20"/>
        </w:rPr>
        <w:t xml:space="preserve"> de un alto funcionario conforme el artículo 8 de la Ley Orgánica de Amparo sobre Derechos y Garantías Constitucionales</w:t>
      </w:r>
      <w:r w:rsidRPr="006A0A3F">
        <w:rPr>
          <w:rFonts w:ascii="Verdana" w:hAnsi="Verdana"/>
          <w:sz w:val="20"/>
          <w:szCs w:val="20"/>
          <w:vertAlign w:val="superscript"/>
        </w:rPr>
        <w:footnoteReference w:id="143"/>
      </w:r>
      <w:r w:rsidRPr="006A0A3F">
        <w:rPr>
          <w:rFonts w:ascii="Verdana" w:hAnsi="Verdana"/>
          <w:sz w:val="20"/>
          <w:szCs w:val="20"/>
        </w:rPr>
        <w:t>.</w:t>
      </w:r>
    </w:p>
    <w:p w14:paraId="3376AECC" w14:textId="77777777" w:rsidR="00E41D9C" w:rsidRPr="006A0A3F" w:rsidRDefault="00E41D9C" w:rsidP="00E41D9C">
      <w:pPr>
        <w:spacing w:after="0" w:line="240" w:lineRule="auto"/>
        <w:jc w:val="both"/>
        <w:rPr>
          <w:rFonts w:ascii="Verdana" w:hAnsi="Verdana"/>
          <w:sz w:val="20"/>
          <w:szCs w:val="20"/>
        </w:rPr>
      </w:pPr>
    </w:p>
    <w:p w14:paraId="6B1C8972" w14:textId="7473ECD8"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23 de noviembre de 2004 las presuntas víctimas presentaron un escrito ante la Sala Constitucional del Tribunal Supremo de Justicia solicitando que </w:t>
      </w:r>
      <w:r w:rsidR="00DB0EB6" w:rsidRPr="006A0A3F">
        <w:rPr>
          <w:rFonts w:ascii="Verdana" w:hAnsi="Verdana"/>
          <w:sz w:val="20"/>
          <w:szCs w:val="20"/>
        </w:rPr>
        <w:t>se pronunciara</w:t>
      </w:r>
      <w:r w:rsidRPr="006A0A3F">
        <w:rPr>
          <w:rFonts w:ascii="Verdana" w:hAnsi="Verdana"/>
          <w:sz w:val="20"/>
          <w:szCs w:val="20"/>
        </w:rPr>
        <w:t xml:space="preserve"> sobre el amparo, pues no se </w:t>
      </w:r>
      <w:r w:rsidR="00DB0EB6" w:rsidRPr="006A0A3F">
        <w:rPr>
          <w:rFonts w:ascii="Verdana" w:hAnsi="Verdana"/>
          <w:sz w:val="20"/>
          <w:szCs w:val="20"/>
        </w:rPr>
        <w:t>contaba</w:t>
      </w:r>
      <w:r w:rsidRPr="006A0A3F">
        <w:rPr>
          <w:rFonts w:ascii="Verdana" w:hAnsi="Verdana"/>
          <w:sz w:val="20"/>
          <w:szCs w:val="20"/>
        </w:rPr>
        <w:t xml:space="preserve"> con una decisión sobre la declinatoria de competencia luego de transcurridos 104 días</w:t>
      </w:r>
      <w:r w:rsidRPr="006A0A3F">
        <w:rPr>
          <w:rFonts w:ascii="Verdana" w:hAnsi="Verdana"/>
          <w:sz w:val="20"/>
          <w:szCs w:val="20"/>
          <w:vertAlign w:val="superscript"/>
        </w:rPr>
        <w:footnoteReference w:id="144"/>
      </w:r>
      <w:r w:rsidRPr="006A0A3F">
        <w:rPr>
          <w:rFonts w:ascii="Verdana" w:hAnsi="Verdana"/>
          <w:sz w:val="20"/>
          <w:szCs w:val="20"/>
        </w:rPr>
        <w:t xml:space="preserve">.  Dicha solicitud </w:t>
      </w:r>
      <w:r w:rsidR="00DB0EB6" w:rsidRPr="006A0A3F">
        <w:rPr>
          <w:rFonts w:ascii="Verdana" w:hAnsi="Verdana"/>
          <w:sz w:val="20"/>
          <w:szCs w:val="20"/>
        </w:rPr>
        <w:t>fue reiterada</w:t>
      </w:r>
      <w:r w:rsidRPr="006A0A3F">
        <w:rPr>
          <w:rFonts w:ascii="Verdana" w:hAnsi="Verdana"/>
          <w:sz w:val="20"/>
          <w:szCs w:val="20"/>
        </w:rPr>
        <w:t xml:space="preserve"> </w:t>
      </w:r>
      <w:r w:rsidR="000F1993" w:rsidRPr="006A0A3F">
        <w:rPr>
          <w:rFonts w:ascii="Verdana" w:hAnsi="Verdana"/>
          <w:sz w:val="20"/>
          <w:szCs w:val="20"/>
        </w:rPr>
        <w:t xml:space="preserve">los días </w:t>
      </w:r>
      <w:r w:rsidRPr="006A0A3F">
        <w:rPr>
          <w:rFonts w:ascii="Verdana" w:hAnsi="Verdana"/>
          <w:sz w:val="20"/>
          <w:szCs w:val="20"/>
        </w:rPr>
        <w:t>el 3 de febrero</w:t>
      </w:r>
      <w:r w:rsidR="000F1993" w:rsidRPr="006A0A3F">
        <w:rPr>
          <w:rFonts w:ascii="Verdana" w:hAnsi="Verdana"/>
          <w:sz w:val="20"/>
          <w:szCs w:val="20"/>
        </w:rPr>
        <w:t xml:space="preserve"> y </w:t>
      </w:r>
      <w:r w:rsidRPr="006A0A3F">
        <w:rPr>
          <w:rFonts w:ascii="Verdana" w:hAnsi="Verdana"/>
          <w:sz w:val="20"/>
          <w:szCs w:val="20"/>
        </w:rPr>
        <w:t xml:space="preserve">3 </w:t>
      </w:r>
      <w:r w:rsidR="000F1993" w:rsidRPr="006A0A3F">
        <w:rPr>
          <w:rFonts w:ascii="Verdana" w:hAnsi="Verdana"/>
          <w:sz w:val="20"/>
          <w:szCs w:val="20"/>
        </w:rPr>
        <w:t xml:space="preserve">y 11 </w:t>
      </w:r>
      <w:r w:rsidRPr="006A0A3F">
        <w:rPr>
          <w:rFonts w:ascii="Verdana" w:hAnsi="Verdana"/>
          <w:sz w:val="20"/>
          <w:szCs w:val="20"/>
        </w:rPr>
        <w:t>de mayo de 2005</w:t>
      </w:r>
      <w:r w:rsidR="000F1993" w:rsidRPr="006A0A3F">
        <w:rPr>
          <w:rFonts w:ascii="Verdana" w:hAnsi="Verdana"/>
          <w:sz w:val="20"/>
          <w:szCs w:val="20"/>
          <w:vertAlign w:val="superscript"/>
        </w:rPr>
        <w:footnoteReference w:id="145"/>
      </w:r>
      <w:r w:rsidRPr="006A0A3F">
        <w:rPr>
          <w:rFonts w:ascii="Verdana" w:hAnsi="Verdana"/>
          <w:sz w:val="20"/>
          <w:szCs w:val="20"/>
        </w:rPr>
        <w:t>.</w:t>
      </w:r>
    </w:p>
    <w:p w14:paraId="40D1C33D" w14:textId="77777777" w:rsidR="00E41D9C" w:rsidRPr="006A0A3F" w:rsidRDefault="00E41D9C" w:rsidP="00E41D9C">
      <w:pPr>
        <w:spacing w:after="0" w:line="240" w:lineRule="auto"/>
        <w:jc w:val="both"/>
        <w:rPr>
          <w:rFonts w:ascii="Verdana" w:hAnsi="Verdana"/>
          <w:sz w:val="20"/>
          <w:szCs w:val="20"/>
        </w:rPr>
      </w:pPr>
    </w:p>
    <w:p w14:paraId="4A3BD97F" w14:textId="34CB4507"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26 de mayo de 2005 la Sala Constitucional del Tribunal Supre</w:t>
      </w:r>
      <w:r w:rsidR="000D0C17" w:rsidRPr="006A0A3F">
        <w:rPr>
          <w:rFonts w:ascii="Verdana" w:hAnsi="Verdana"/>
          <w:sz w:val="20"/>
          <w:szCs w:val="20"/>
        </w:rPr>
        <w:t xml:space="preserve">mo de Justicia emitió sentencia, en la que resolvió </w:t>
      </w:r>
      <w:r w:rsidRPr="006A0A3F">
        <w:rPr>
          <w:rFonts w:ascii="Verdana" w:hAnsi="Verdana"/>
          <w:sz w:val="20"/>
          <w:szCs w:val="20"/>
        </w:rPr>
        <w:t>que no acepta</w:t>
      </w:r>
      <w:r w:rsidR="00DB0EB6" w:rsidRPr="006A0A3F">
        <w:rPr>
          <w:rFonts w:ascii="Verdana" w:hAnsi="Verdana"/>
          <w:sz w:val="20"/>
          <w:szCs w:val="20"/>
        </w:rPr>
        <w:t>ba la declinatoria de competencia</w:t>
      </w:r>
      <w:r w:rsidRPr="006A0A3F">
        <w:rPr>
          <w:rFonts w:ascii="Verdana" w:hAnsi="Verdana"/>
          <w:sz w:val="20"/>
          <w:szCs w:val="20"/>
        </w:rPr>
        <w:t xml:space="preserve"> del </w:t>
      </w:r>
      <w:r w:rsidR="000D0C17" w:rsidRPr="006A0A3F">
        <w:rPr>
          <w:rFonts w:ascii="Verdana" w:hAnsi="Verdana"/>
          <w:sz w:val="20"/>
          <w:szCs w:val="20"/>
        </w:rPr>
        <w:t xml:space="preserve">referido </w:t>
      </w:r>
      <w:r w:rsidRPr="006A0A3F">
        <w:rPr>
          <w:rFonts w:ascii="Verdana" w:hAnsi="Verdana"/>
          <w:sz w:val="20"/>
          <w:szCs w:val="20"/>
        </w:rPr>
        <w:t xml:space="preserve">Juzgado </w:t>
      </w:r>
      <w:r w:rsidR="000D0C17" w:rsidRPr="006A0A3F">
        <w:rPr>
          <w:rFonts w:ascii="Verdana" w:hAnsi="Verdana"/>
          <w:sz w:val="20"/>
          <w:szCs w:val="20"/>
        </w:rPr>
        <w:t xml:space="preserve">pues </w:t>
      </w:r>
      <w:r w:rsidRPr="006A0A3F">
        <w:rPr>
          <w:rFonts w:ascii="Verdana" w:hAnsi="Verdana"/>
          <w:sz w:val="20"/>
          <w:szCs w:val="20"/>
        </w:rPr>
        <w:t xml:space="preserve">en </w:t>
      </w:r>
      <w:r w:rsidR="000D0C17" w:rsidRPr="006A0A3F">
        <w:rPr>
          <w:rFonts w:ascii="Verdana" w:hAnsi="Verdana"/>
          <w:sz w:val="20"/>
          <w:szCs w:val="20"/>
        </w:rPr>
        <w:t xml:space="preserve">ese </w:t>
      </w:r>
      <w:r w:rsidRPr="006A0A3F">
        <w:rPr>
          <w:rFonts w:ascii="Verdana" w:hAnsi="Verdana"/>
          <w:sz w:val="20"/>
          <w:szCs w:val="20"/>
        </w:rPr>
        <w:t>caso la relación es del tipo patrono-empleado</w:t>
      </w:r>
      <w:r w:rsidR="000D0C17" w:rsidRPr="006A0A3F">
        <w:rPr>
          <w:rFonts w:ascii="Verdana" w:hAnsi="Verdana"/>
          <w:sz w:val="20"/>
          <w:szCs w:val="20"/>
        </w:rPr>
        <w:t xml:space="preserve"> y el funcionario actuaba en calidad de Presidente del CNF y no como Ministro</w:t>
      </w:r>
      <w:r w:rsidRPr="006A0A3F">
        <w:rPr>
          <w:rFonts w:ascii="Verdana" w:hAnsi="Verdana"/>
          <w:sz w:val="20"/>
          <w:szCs w:val="20"/>
          <w:vertAlign w:val="superscript"/>
        </w:rPr>
        <w:footnoteReference w:id="146"/>
      </w:r>
      <w:r w:rsidRPr="006A0A3F">
        <w:rPr>
          <w:rFonts w:ascii="Verdana" w:hAnsi="Verdana"/>
          <w:sz w:val="20"/>
          <w:szCs w:val="20"/>
        </w:rPr>
        <w:t xml:space="preserve">.  En virtud de ello, el 17 de junio de 2005 el </w:t>
      </w:r>
      <w:r w:rsidR="000D0C17" w:rsidRPr="006A0A3F">
        <w:rPr>
          <w:rFonts w:ascii="Verdana" w:hAnsi="Verdana"/>
          <w:sz w:val="20"/>
          <w:szCs w:val="20"/>
        </w:rPr>
        <w:t>Juzgado</w:t>
      </w:r>
      <w:r w:rsidRPr="006A0A3F">
        <w:rPr>
          <w:rFonts w:ascii="Verdana" w:hAnsi="Verdana"/>
          <w:sz w:val="20"/>
          <w:szCs w:val="20"/>
        </w:rPr>
        <w:t xml:space="preserve"> Cuarto de Primera Instancia admitió la acción de amparo</w:t>
      </w:r>
      <w:r w:rsidRPr="006A0A3F">
        <w:rPr>
          <w:rFonts w:ascii="Verdana" w:hAnsi="Verdana"/>
          <w:sz w:val="20"/>
          <w:szCs w:val="20"/>
          <w:vertAlign w:val="superscript"/>
        </w:rPr>
        <w:footnoteReference w:id="147"/>
      </w:r>
      <w:r w:rsidRPr="006A0A3F">
        <w:rPr>
          <w:rFonts w:ascii="Verdana" w:hAnsi="Verdana"/>
          <w:sz w:val="20"/>
          <w:szCs w:val="20"/>
        </w:rPr>
        <w:t xml:space="preserve">.  </w:t>
      </w:r>
    </w:p>
    <w:p w14:paraId="7513AAE9" w14:textId="77777777" w:rsidR="00E41D9C" w:rsidRPr="006A0A3F" w:rsidRDefault="00E41D9C" w:rsidP="00E41D9C">
      <w:pPr>
        <w:spacing w:after="0" w:line="240" w:lineRule="auto"/>
        <w:jc w:val="both"/>
        <w:rPr>
          <w:rFonts w:ascii="Verdana" w:hAnsi="Verdana"/>
          <w:sz w:val="20"/>
          <w:szCs w:val="20"/>
        </w:rPr>
      </w:pPr>
    </w:p>
    <w:p w14:paraId="0E909B51" w14:textId="147E8EC3"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20 de julio de 2005 el Fiscal del Ministerio Público emitió su opinión respecto de la acción de amparo, sol</w:t>
      </w:r>
      <w:r w:rsidR="00033BCB" w:rsidRPr="006A0A3F">
        <w:rPr>
          <w:rFonts w:ascii="Verdana" w:hAnsi="Verdana"/>
          <w:sz w:val="20"/>
          <w:szCs w:val="20"/>
        </w:rPr>
        <w:t>icitando que la misma se declarara</w:t>
      </w:r>
      <w:r w:rsidRPr="006A0A3F">
        <w:rPr>
          <w:rFonts w:ascii="Verdana" w:hAnsi="Verdana"/>
          <w:sz w:val="20"/>
          <w:szCs w:val="20"/>
        </w:rPr>
        <w:t xml:space="preserve"> inadmisible </w:t>
      </w:r>
      <w:r w:rsidR="00033BCB" w:rsidRPr="006A0A3F">
        <w:rPr>
          <w:rFonts w:ascii="Verdana" w:hAnsi="Verdana"/>
          <w:sz w:val="20"/>
          <w:szCs w:val="20"/>
        </w:rPr>
        <w:t xml:space="preserve">por considerar, entre otras razones, </w:t>
      </w:r>
      <w:r w:rsidRPr="006A0A3F">
        <w:rPr>
          <w:rFonts w:ascii="Verdana" w:hAnsi="Verdana"/>
          <w:sz w:val="20"/>
          <w:szCs w:val="20"/>
        </w:rPr>
        <w:t xml:space="preserve">que la vía de amparo no era idónea para demostrar si </w:t>
      </w:r>
      <w:r w:rsidR="00033BCB" w:rsidRPr="006A0A3F">
        <w:rPr>
          <w:rFonts w:ascii="Verdana" w:hAnsi="Verdana"/>
          <w:sz w:val="20"/>
          <w:szCs w:val="20"/>
        </w:rPr>
        <w:t xml:space="preserve">un despido es justificado o no </w:t>
      </w:r>
      <w:r w:rsidRPr="006A0A3F">
        <w:rPr>
          <w:rFonts w:ascii="Verdana" w:hAnsi="Verdana"/>
          <w:sz w:val="20"/>
          <w:szCs w:val="20"/>
        </w:rPr>
        <w:t xml:space="preserve">y </w:t>
      </w:r>
      <w:r w:rsidR="00033BCB" w:rsidRPr="006A0A3F">
        <w:rPr>
          <w:rFonts w:ascii="Verdana" w:hAnsi="Verdana"/>
          <w:sz w:val="20"/>
          <w:szCs w:val="20"/>
        </w:rPr>
        <w:t xml:space="preserve">que </w:t>
      </w:r>
      <w:r w:rsidRPr="006A0A3F">
        <w:rPr>
          <w:rFonts w:ascii="Verdana" w:hAnsi="Verdana"/>
          <w:sz w:val="20"/>
          <w:szCs w:val="20"/>
        </w:rPr>
        <w:t>no se ha</w:t>
      </w:r>
      <w:r w:rsidR="00033BCB" w:rsidRPr="006A0A3F">
        <w:rPr>
          <w:rFonts w:ascii="Verdana" w:hAnsi="Verdana"/>
          <w:sz w:val="20"/>
          <w:szCs w:val="20"/>
        </w:rPr>
        <w:t>bía</w:t>
      </w:r>
      <w:r w:rsidRPr="006A0A3F">
        <w:rPr>
          <w:rFonts w:ascii="Verdana" w:hAnsi="Verdana"/>
          <w:sz w:val="20"/>
          <w:szCs w:val="20"/>
        </w:rPr>
        <w:t xml:space="preserve"> demostrado la </w:t>
      </w:r>
      <w:r w:rsidR="00033BCB" w:rsidRPr="006A0A3F">
        <w:rPr>
          <w:rFonts w:ascii="Verdana" w:hAnsi="Verdana"/>
          <w:sz w:val="20"/>
          <w:szCs w:val="20"/>
        </w:rPr>
        <w:t xml:space="preserve">alegada </w:t>
      </w:r>
      <w:r w:rsidRPr="006A0A3F">
        <w:rPr>
          <w:rFonts w:ascii="Verdana" w:hAnsi="Verdana"/>
          <w:sz w:val="20"/>
          <w:szCs w:val="20"/>
        </w:rPr>
        <w:t>discriminación política</w:t>
      </w:r>
      <w:r w:rsidRPr="006A0A3F">
        <w:rPr>
          <w:rFonts w:ascii="Verdana" w:hAnsi="Verdana"/>
          <w:sz w:val="20"/>
          <w:szCs w:val="20"/>
          <w:vertAlign w:val="superscript"/>
        </w:rPr>
        <w:footnoteReference w:id="148"/>
      </w:r>
      <w:r w:rsidRPr="006A0A3F">
        <w:rPr>
          <w:rFonts w:ascii="Verdana" w:hAnsi="Verdana"/>
          <w:sz w:val="20"/>
          <w:szCs w:val="20"/>
        </w:rPr>
        <w:t xml:space="preserve">. </w:t>
      </w:r>
      <w:r w:rsidR="00033BCB" w:rsidRPr="006A0A3F">
        <w:rPr>
          <w:rFonts w:ascii="Verdana" w:hAnsi="Verdana"/>
          <w:sz w:val="20"/>
          <w:szCs w:val="20"/>
        </w:rPr>
        <w:t xml:space="preserve">Además, </w:t>
      </w:r>
      <w:r w:rsidRPr="006A0A3F">
        <w:rPr>
          <w:rFonts w:ascii="Verdana" w:hAnsi="Verdana"/>
          <w:sz w:val="20"/>
          <w:szCs w:val="20"/>
        </w:rPr>
        <w:t xml:space="preserve">el 20 de julio de 2005 el </w:t>
      </w:r>
      <w:r w:rsidR="00033BCB" w:rsidRPr="006A0A3F">
        <w:rPr>
          <w:rFonts w:ascii="Verdana" w:hAnsi="Verdana"/>
          <w:sz w:val="20"/>
          <w:szCs w:val="20"/>
        </w:rPr>
        <w:t xml:space="preserve">entonces </w:t>
      </w:r>
      <w:r w:rsidRPr="006A0A3F">
        <w:rPr>
          <w:rFonts w:ascii="Verdana" w:hAnsi="Verdana"/>
          <w:sz w:val="20"/>
          <w:szCs w:val="20"/>
        </w:rPr>
        <w:t xml:space="preserve">Presidente del </w:t>
      </w:r>
      <w:r w:rsidR="00033BCB" w:rsidRPr="006A0A3F">
        <w:rPr>
          <w:rFonts w:ascii="Verdana" w:hAnsi="Verdana"/>
          <w:sz w:val="20"/>
          <w:szCs w:val="20"/>
        </w:rPr>
        <w:t xml:space="preserve">CNF, </w:t>
      </w:r>
      <w:r w:rsidRPr="006A0A3F">
        <w:rPr>
          <w:rFonts w:ascii="Verdana" w:hAnsi="Verdana"/>
          <w:sz w:val="20"/>
          <w:szCs w:val="20"/>
        </w:rPr>
        <w:t>José Vicente Rangel</w:t>
      </w:r>
      <w:r w:rsidR="00033BCB" w:rsidRPr="006A0A3F">
        <w:rPr>
          <w:rFonts w:ascii="Verdana" w:hAnsi="Verdana"/>
          <w:sz w:val="20"/>
          <w:szCs w:val="20"/>
        </w:rPr>
        <w:t>,</w:t>
      </w:r>
      <w:r w:rsidRPr="006A0A3F">
        <w:rPr>
          <w:rFonts w:ascii="Verdana" w:hAnsi="Verdana"/>
          <w:sz w:val="20"/>
          <w:szCs w:val="20"/>
        </w:rPr>
        <w:t xml:space="preserve"> </w:t>
      </w:r>
      <w:r w:rsidR="00033BCB" w:rsidRPr="006A0A3F">
        <w:rPr>
          <w:rFonts w:ascii="Verdana" w:hAnsi="Verdana"/>
          <w:sz w:val="20"/>
          <w:szCs w:val="20"/>
        </w:rPr>
        <w:t>solicitó que se declarara</w:t>
      </w:r>
      <w:r w:rsidRPr="006A0A3F">
        <w:rPr>
          <w:rFonts w:ascii="Verdana" w:hAnsi="Verdana"/>
          <w:sz w:val="20"/>
          <w:szCs w:val="20"/>
        </w:rPr>
        <w:t xml:space="preserve"> improcedente la acción</w:t>
      </w:r>
      <w:r w:rsidR="00F44DD1">
        <w:rPr>
          <w:rFonts w:ascii="Verdana" w:hAnsi="Verdana"/>
          <w:sz w:val="20"/>
          <w:szCs w:val="20"/>
        </w:rPr>
        <w:t>,</w:t>
      </w:r>
      <w:r w:rsidRPr="006A0A3F">
        <w:rPr>
          <w:rFonts w:ascii="Verdana" w:hAnsi="Verdana"/>
          <w:sz w:val="20"/>
          <w:szCs w:val="20"/>
        </w:rPr>
        <w:t xml:space="preserve"> por considerar que debió acudirse a la vía ordinaria </w:t>
      </w:r>
      <w:r w:rsidR="00033BCB" w:rsidRPr="006A0A3F">
        <w:rPr>
          <w:rFonts w:ascii="Verdana" w:hAnsi="Verdana"/>
          <w:sz w:val="20"/>
          <w:szCs w:val="20"/>
        </w:rPr>
        <w:t xml:space="preserve">laboral y que, </w:t>
      </w:r>
      <w:r w:rsidRPr="006A0A3F">
        <w:rPr>
          <w:rFonts w:ascii="Verdana" w:hAnsi="Verdana"/>
          <w:sz w:val="20"/>
          <w:szCs w:val="20"/>
        </w:rPr>
        <w:t xml:space="preserve">conforme a la cláusula séptima </w:t>
      </w:r>
      <w:r w:rsidR="00033BCB" w:rsidRPr="006A0A3F">
        <w:rPr>
          <w:rFonts w:ascii="Verdana" w:hAnsi="Verdana"/>
          <w:sz w:val="20"/>
          <w:szCs w:val="20"/>
        </w:rPr>
        <w:t xml:space="preserve">de </w:t>
      </w:r>
      <w:r w:rsidRPr="006A0A3F">
        <w:rPr>
          <w:rFonts w:ascii="Verdana" w:hAnsi="Verdana"/>
          <w:sz w:val="20"/>
          <w:szCs w:val="20"/>
        </w:rPr>
        <w:t xml:space="preserve">los contratos </w:t>
      </w:r>
      <w:r w:rsidR="00033BCB" w:rsidRPr="006A0A3F">
        <w:rPr>
          <w:rFonts w:ascii="Verdana" w:hAnsi="Verdana"/>
          <w:sz w:val="20"/>
          <w:szCs w:val="20"/>
        </w:rPr>
        <w:t xml:space="preserve">con las tres presuntas víctimas, </w:t>
      </w:r>
      <w:r w:rsidRPr="006A0A3F">
        <w:rPr>
          <w:rFonts w:ascii="Verdana" w:hAnsi="Verdana"/>
          <w:sz w:val="20"/>
          <w:szCs w:val="20"/>
        </w:rPr>
        <w:t>no se n</w:t>
      </w:r>
      <w:r w:rsidR="00033BCB" w:rsidRPr="006A0A3F">
        <w:rPr>
          <w:rFonts w:ascii="Verdana" w:hAnsi="Verdana"/>
          <w:sz w:val="20"/>
          <w:szCs w:val="20"/>
        </w:rPr>
        <w:t>ecesitaba causa alguna para darlos por terminados</w:t>
      </w:r>
      <w:r w:rsidRPr="006A0A3F">
        <w:rPr>
          <w:rFonts w:ascii="Verdana" w:hAnsi="Verdana"/>
          <w:sz w:val="20"/>
          <w:szCs w:val="20"/>
        </w:rPr>
        <w:t xml:space="preserve"> independientemente que las accionantes cumplieran o no con las responsabilidades que les eran asignadas</w:t>
      </w:r>
      <w:r w:rsidRPr="006A0A3F">
        <w:rPr>
          <w:rFonts w:ascii="Verdana" w:hAnsi="Verdana"/>
          <w:sz w:val="20"/>
          <w:szCs w:val="20"/>
          <w:vertAlign w:val="superscript"/>
        </w:rPr>
        <w:footnoteReference w:id="149"/>
      </w:r>
      <w:r w:rsidRPr="006A0A3F">
        <w:rPr>
          <w:rFonts w:ascii="Verdana" w:hAnsi="Verdana"/>
          <w:sz w:val="20"/>
          <w:szCs w:val="20"/>
        </w:rPr>
        <w:t xml:space="preserve">.  </w:t>
      </w:r>
    </w:p>
    <w:p w14:paraId="5CA330D7" w14:textId="77777777" w:rsidR="00E41D9C" w:rsidRPr="006A0A3F" w:rsidRDefault="00E41D9C" w:rsidP="00E41D9C">
      <w:pPr>
        <w:spacing w:after="0" w:line="240" w:lineRule="auto"/>
        <w:jc w:val="both"/>
        <w:rPr>
          <w:rFonts w:ascii="Verdana" w:hAnsi="Verdana"/>
          <w:sz w:val="20"/>
          <w:szCs w:val="20"/>
        </w:rPr>
      </w:pPr>
    </w:p>
    <w:p w14:paraId="7B958DB4" w14:textId="1D05FF14"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20 de julio de 2005 </w:t>
      </w:r>
      <w:r w:rsidR="00460678" w:rsidRPr="006A0A3F">
        <w:rPr>
          <w:rFonts w:ascii="Verdana" w:hAnsi="Verdana"/>
          <w:sz w:val="20"/>
          <w:szCs w:val="20"/>
        </w:rPr>
        <w:t xml:space="preserve">el Juzgado Cuarto de Primera Instancia </w:t>
      </w:r>
      <w:r w:rsidRPr="006A0A3F">
        <w:rPr>
          <w:rFonts w:ascii="Verdana" w:hAnsi="Verdana"/>
          <w:sz w:val="20"/>
          <w:szCs w:val="20"/>
        </w:rPr>
        <w:t xml:space="preserve">celebró audiencia constitucional. En </w:t>
      </w:r>
      <w:r w:rsidR="00460678" w:rsidRPr="006A0A3F">
        <w:rPr>
          <w:rFonts w:ascii="Verdana" w:hAnsi="Verdana"/>
          <w:sz w:val="20"/>
          <w:szCs w:val="20"/>
        </w:rPr>
        <w:t xml:space="preserve">esa audiencia, </w:t>
      </w:r>
      <w:r w:rsidRPr="006A0A3F">
        <w:rPr>
          <w:rFonts w:ascii="Verdana" w:hAnsi="Verdana"/>
          <w:sz w:val="20"/>
          <w:szCs w:val="20"/>
        </w:rPr>
        <w:t xml:space="preserve">las presuntas víctimas solicitaron incorporar al expediente la grabación de conversaciones contenidas en una cinta, la transcripción de la entrevista radial realizada a Feijoo </w:t>
      </w:r>
      <w:proofErr w:type="spellStart"/>
      <w:r w:rsidRPr="006A0A3F">
        <w:rPr>
          <w:rFonts w:ascii="Verdana" w:hAnsi="Verdana"/>
          <w:sz w:val="20"/>
          <w:szCs w:val="20"/>
        </w:rPr>
        <w:t>Colomine</w:t>
      </w:r>
      <w:proofErr w:type="spellEnd"/>
      <w:r w:rsidRPr="006A0A3F">
        <w:rPr>
          <w:rFonts w:ascii="Verdana" w:hAnsi="Verdana"/>
          <w:sz w:val="20"/>
          <w:szCs w:val="20"/>
        </w:rPr>
        <w:t xml:space="preserve">, así como la transcripción de la conversación sostenida entre Rocío San Miguel e Ilia </w:t>
      </w:r>
      <w:proofErr w:type="spellStart"/>
      <w:r w:rsidRPr="006A0A3F">
        <w:rPr>
          <w:rFonts w:ascii="Verdana" w:hAnsi="Verdana"/>
          <w:sz w:val="20"/>
          <w:szCs w:val="20"/>
        </w:rPr>
        <w:t>Azpúrua</w:t>
      </w:r>
      <w:proofErr w:type="spellEnd"/>
      <w:r w:rsidRPr="006A0A3F">
        <w:rPr>
          <w:rStyle w:val="FootnoteReference"/>
          <w:rFonts w:ascii="Verdana" w:hAnsi="Verdana"/>
          <w:sz w:val="20"/>
          <w:szCs w:val="20"/>
        </w:rPr>
        <w:footnoteReference w:id="150"/>
      </w:r>
      <w:r w:rsidR="00460678" w:rsidRPr="006A0A3F">
        <w:rPr>
          <w:rFonts w:ascii="Verdana" w:hAnsi="Verdana"/>
          <w:sz w:val="20"/>
          <w:szCs w:val="20"/>
        </w:rPr>
        <w:t>.</w:t>
      </w:r>
      <w:r w:rsidRPr="006A0A3F">
        <w:rPr>
          <w:rFonts w:ascii="Verdana" w:hAnsi="Verdana"/>
          <w:sz w:val="20"/>
          <w:szCs w:val="20"/>
        </w:rPr>
        <w:t xml:space="preserve"> </w:t>
      </w:r>
      <w:r w:rsidR="00460678" w:rsidRPr="006A0A3F">
        <w:rPr>
          <w:rFonts w:ascii="Verdana" w:hAnsi="Verdana"/>
          <w:sz w:val="20"/>
          <w:szCs w:val="20"/>
        </w:rPr>
        <w:t>E</w:t>
      </w:r>
      <w:r w:rsidRPr="006A0A3F">
        <w:rPr>
          <w:rFonts w:ascii="Verdana" w:hAnsi="Verdana"/>
          <w:sz w:val="20"/>
          <w:szCs w:val="20"/>
        </w:rPr>
        <w:t xml:space="preserve">l Tribunal </w:t>
      </w:r>
      <w:r w:rsidR="00460678" w:rsidRPr="006A0A3F">
        <w:rPr>
          <w:rFonts w:ascii="Verdana" w:hAnsi="Verdana"/>
          <w:sz w:val="20"/>
          <w:szCs w:val="20"/>
        </w:rPr>
        <w:t xml:space="preserve">no </w:t>
      </w:r>
      <w:r w:rsidRPr="006A0A3F">
        <w:rPr>
          <w:rFonts w:ascii="Verdana" w:hAnsi="Verdana"/>
          <w:sz w:val="20"/>
          <w:szCs w:val="20"/>
        </w:rPr>
        <w:t>admitió dichos elementos como medios de prueba</w:t>
      </w:r>
      <w:r w:rsidRPr="006A0A3F">
        <w:rPr>
          <w:rFonts w:ascii="Verdana" w:hAnsi="Verdana"/>
          <w:sz w:val="20"/>
          <w:szCs w:val="20"/>
          <w:vertAlign w:val="superscript"/>
        </w:rPr>
        <w:footnoteReference w:id="151"/>
      </w:r>
      <w:r w:rsidRPr="006A0A3F">
        <w:rPr>
          <w:rFonts w:ascii="Verdana" w:hAnsi="Verdana"/>
          <w:sz w:val="20"/>
          <w:szCs w:val="20"/>
        </w:rPr>
        <w:t>.</w:t>
      </w:r>
    </w:p>
    <w:p w14:paraId="2889C0BD" w14:textId="77777777" w:rsidR="00E41D9C" w:rsidRPr="006A0A3F" w:rsidRDefault="00E41D9C" w:rsidP="00E41D9C">
      <w:pPr>
        <w:pBdr>
          <w:top w:val="nil"/>
        </w:pBdr>
        <w:spacing w:after="0" w:line="240" w:lineRule="auto"/>
        <w:jc w:val="both"/>
        <w:rPr>
          <w:rFonts w:ascii="Verdana" w:hAnsi="Verdana"/>
          <w:sz w:val="20"/>
          <w:szCs w:val="20"/>
        </w:rPr>
      </w:pPr>
    </w:p>
    <w:p w14:paraId="336A3E48" w14:textId="56378F94"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27 de julio de 2005 el Juzgado Cuarto de Primera Instancia dictó sentencia</w:t>
      </w:r>
      <w:r w:rsidR="00F44DD1">
        <w:rPr>
          <w:rFonts w:ascii="Verdana" w:hAnsi="Verdana"/>
          <w:sz w:val="20"/>
          <w:szCs w:val="20"/>
        </w:rPr>
        <w:t>,</w:t>
      </w:r>
      <w:r w:rsidRPr="006A0A3F">
        <w:rPr>
          <w:rFonts w:ascii="Verdana" w:hAnsi="Verdana"/>
          <w:sz w:val="20"/>
          <w:szCs w:val="20"/>
        </w:rPr>
        <w:t xml:space="preserve"> declarando sin lugar el amparo</w:t>
      </w:r>
      <w:r w:rsidR="00460678" w:rsidRPr="006A0A3F">
        <w:rPr>
          <w:rFonts w:ascii="Verdana" w:hAnsi="Verdana"/>
          <w:sz w:val="20"/>
          <w:szCs w:val="20"/>
        </w:rPr>
        <w:t>,</w:t>
      </w:r>
      <w:r w:rsidRPr="006A0A3F">
        <w:rPr>
          <w:rFonts w:ascii="Verdana" w:hAnsi="Verdana"/>
          <w:sz w:val="20"/>
          <w:szCs w:val="20"/>
        </w:rPr>
        <w:t xml:space="preserve"> por considerar</w:t>
      </w:r>
      <w:r w:rsidR="009B1FC9" w:rsidRPr="006A0A3F">
        <w:rPr>
          <w:rFonts w:ascii="Verdana" w:hAnsi="Verdana"/>
          <w:sz w:val="20"/>
          <w:szCs w:val="20"/>
        </w:rPr>
        <w:t>, entre otros,</w:t>
      </w:r>
      <w:r w:rsidRPr="006A0A3F">
        <w:rPr>
          <w:rFonts w:ascii="Verdana" w:hAnsi="Verdana"/>
          <w:sz w:val="20"/>
          <w:szCs w:val="20"/>
        </w:rPr>
        <w:t xml:space="preserve"> que las pruebas aportadas por la parte quejosa no permiten “establecer fehacientemente el nexo causal entre el pretendido trato discriminatorio por haber firmado y la decisión de poner fin a la relación de trabajo”</w:t>
      </w:r>
      <w:r w:rsidRPr="006A0A3F">
        <w:rPr>
          <w:rFonts w:ascii="Verdana" w:hAnsi="Verdana"/>
          <w:sz w:val="20"/>
          <w:szCs w:val="20"/>
          <w:vertAlign w:val="superscript"/>
        </w:rPr>
        <w:footnoteReference w:id="152"/>
      </w:r>
      <w:r w:rsidRPr="006A0A3F">
        <w:rPr>
          <w:rFonts w:ascii="Verdana" w:hAnsi="Verdana"/>
          <w:sz w:val="20"/>
          <w:szCs w:val="20"/>
        </w:rPr>
        <w:t xml:space="preserve">. </w:t>
      </w:r>
    </w:p>
    <w:p w14:paraId="0DE42ECB" w14:textId="77777777" w:rsidR="00E41D9C" w:rsidRPr="006A0A3F" w:rsidRDefault="00E41D9C" w:rsidP="00E41D9C">
      <w:pPr>
        <w:spacing w:after="0" w:line="240" w:lineRule="auto"/>
        <w:jc w:val="both"/>
        <w:rPr>
          <w:rFonts w:ascii="Verdana" w:hAnsi="Verdana"/>
          <w:sz w:val="20"/>
          <w:szCs w:val="20"/>
        </w:rPr>
      </w:pPr>
    </w:p>
    <w:p w14:paraId="05E3E509" w14:textId="5AF6CFC5"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29 de julio de 2005 las presuntas víctimas interpusieron recurso de apelación</w:t>
      </w:r>
      <w:r w:rsidR="009B1FC9" w:rsidRPr="006A0A3F">
        <w:rPr>
          <w:rFonts w:ascii="Verdana" w:hAnsi="Verdana"/>
          <w:sz w:val="20"/>
          <w:szCs w:val="20"/>
        </w:rPr>
        <w:t xml:space="preserve"> contra dicha sentencia, </w:t>
      </w:r>
      <w:r w:rsidRPr="006A0A3F">
        <w:rPr>
          <w:rFonts w:ascii="Verdana" w:hAnsi="Verdana"/>
          <w:sz w:val="20"/>
          <w:szCs w:val="20"/>
        </w:rPr>
        <w:t xml:space="preserve">argumentando </w:t>
      </w:r>
      <w:r w:rsidR="009B1FC9" w:rsidRPr="006A0A3F">
        <w:rPr>
          <w:rFonts w:ascii="Verdana" w:hAnsi="Verdana"/>
          <w:sz w:val="20"/>
          <w:szCs w:val="20"/>
        </w:rPr>
        <w:t xml:space="preserve">que el juzgado </w:t>
      </w:r>
      <w:r w:rsidRPr="006A0A3F">
        <w:rPr>
          <w:rFonts w:ascii="Verdana" w:hAnsi="Verdana"/>
          <w:sz w:val="20"/>
          <w:szCs w:val="20"/>
        </w:rPr>
        <w:t>incurrió en indebida valoración de algunos medios de prueba</w:t>
      </w:r>
      <w:r w:rsidR="009B1FC9" w:rsidRPr="006A0A3F">
        <w:rPr>
          <w:rFonts w:ascii="Verdana" w:hAnsi="Verdana"/>
          <w:sz w:val="20"/>
          <w:szCs w:val="20"/>
          <w:vertAlign w:val="superscript"/>
        </w:rPr>
        <w:footnoteReference w:id="153"/>
      </w:r>
      <w:r w:rsidRPr="006A0A3F">
        <w:rPr>
          <w:rFonts w:ascii="Verdana" w:hAnsi="Verdana"/>
          <w:sz w:val="20"/>
          <w:szCs w:val="20"/>
        </w:rPr>
        <w:t xml:space="preserve">. El 9 de septiembre de 2005 el Juzgado Tercero Superior del Trabajo del Circuito Judicial del Trabajo </w:t>
      </w:r>
      <w:r w:rsidR="009B1FC9" w:rsidRPr="006A0A3F">
        <w:rPr>
          <w:rFonts w:ascii="Verdana" w:hAnsi="Verdana"/>
          <w:sz w:val="20"/>
          <w:szCs w:val="20"/>
        </w:rPr>
        <w:t xml:space="preserve">de la Circunscripción Judicial del Área Metropolitana de Caracas </w:t>
      </w:r>
      <w:r w:rsidRPr="006A0A3F">
        <w:rPr>
          <w:rFonts w:ascii="Verdana" w:hAnsi="Verdana"/>
          <w:sz w:val="20"/>
          <w:szCs w:val="20"/>
        </w:rPr>
        <w:t>declaró sin lugar la apelación</w:t>
      </w:r>
      <w:r w:rsidR="009B1FC9" w:rsidRPr="006A0A3F">
        <w:rPr>
          <w:rFonts w:ascii="Verdana" w:hAnsi="Verdana"/>
          <w:sz w:val="20"/>
          <w:szCs w:val="20"/>
        </w:rPr>
        <w:t>,</w:t>
      </w:r>
      <w:r w:rsidRPr="006A0A3F">
        <w:rPr>
          <w:rFonts w:ascii="Verdana" w:hAnsi="Verdana"/>
          <w:sz w:val="20"/>
          <w:szCs w:val="20"/>
        </w:rPr>
        <w:t xml:space="preserve"> por considerar que las accionantes no demostraron que el ejercicio de la potestad con</w:t>
      </w:r>
      <w:r w:rsidR="009B1FC9" w:rsidRPr="006A0A3F">
        <w:rPr>
          <w:rFonts w:ascii="Verdana" w:hAnsi="Verdana"/>
          <w:sz w:val="20"/>
          <w:szCs w:val="20"/>
        </w:rPr>
        <w:t>tractual del empleador configurara</w:t>
      </w:r>
      <w:r w:rsidRPr="006A0A3F">
        <w:rPr>
          <w:rFonts w:ascii="Verdana" w:hAnsi="Verdana"/>
          <w:sz w:val="20"/>
          <w:szCs w:val="20"/>
        </w:rPr>
        <w:t xml:space="preserve"> una práctica discriminatoria</w:t>
      </w:r>
      <w:r w:rsidRPr="006A0A3F">
        <w:rPr>
          <w:rFonts w:ascii="Verdana" w:hAnsi="Verdana"/>
          <w:sz w:val="20"/>
          <w:szCs w:val="20"/>
          <w:vertAlign w:val="superscript"/>
        </w:rPr>
        <w:footnoteReference w:id="154"/>
      </w:r>
      <w:r w:rsidRPr="006A0A3F">
        <w:rPr>
          <w:rFonts w:ascii="Verdana" w:hAnsi="Verdana"/>
          <w:sz w:val="20"/>
          <w:szCs w:val="20"/>
        </w:rPr>
        <w:t xml:space="preserve">. </w:t>
      </w:r>
    </w:p>
    <w:p w14:paraId="1DC78C6D" w14:textId="77777777" w:rsidR="00EE41BE" w:rsidRPr="006A0A3F" w:rsidRDefault="00EE41BE" w:rsidP="00E41D9C">
      <w:pPr>
        <w:spacing w:after="0" w:line="240" w:lineRule="auto"/>
        <w:jc w:val="both"/>
        <w:rPr>
          <w:rFonts w:ascii="Verdana" w:hAnsi="Verdana"/>
          <w:sz w:val="20"/>
          <w:szCs w:val="20"/>
        </w:rPr>
      </w:pPr>
    </w:p>
    <w:p w14:paraId="40B2528F" w14:textId="251A309D" w:rsidR="00E41D9C" w:rsidRPr="006A0A3F" w:rsidRDefault="00E41D9C" w:rsidP="00AB56AF">
      <w:pPr>
        <w:pStyle w:val="ListParagraph"/>
        <w:numPr>
          <w:ilvl w:val="0"/>
          <w:numId w:val="11"/>
        </w:numPr>
        <w:pBdr>
          <w:top w:val="nil"/>
        </w:pBdr>
        <w:ind w:hanging="720"/>
        <w:jc w:val="both"/>
        <w:rPr>
          <w:rFonts w:ascii="Verdana" w:hAnsi="Verdana"/>
          <w:b/>
          <w:i/>
          <w:sz w:val="20"/>
          <w:lang w:val="es-CR"/>
        </w:rPr>
      </w:pPr>
      <w:r w:rsidRPr="006A0A3F">
        <w:rPr>
          <w:rFonts w:ascii="Verdana" w:hAnsi="Verdana"/>
          <w:b/>
          <w:i/>
          <w:sz w:val="20"/>
          <w:lang w:val="es-CR"/>
        </w:rPr>
        <w:t>Denuncia ante el Ministerio Público</w:t>
      </w:r>
    </w:p>
    <w:p w14:paraId="14160880" w14:textId="77777777" w:rsidR="00E41D9C" w:rsidRPr="006A0A3F" w:rsidRDefault="00E41D9C" w:rsidP="00E41D9C">
      <w:pPr>
        <w:spacing w:after="0" w:line="240" w:lineRule="auto"/>
        <w:jc w:val="both"/>
        <w:rPr>
          <w:rFonts w:ascii="Verdana" w:hAnsi="Verdana"/>
          <w:sz w:val="20"/>
          <w:szCs w:val="20"/>
        </w:rPr>
      </w:pPr>
      <w:r w:rsidRPr="006A0A3F">
        <w:rPr>
          <w:rFonts w:ascii="Verdana" w:hAnsi="Verdana"/>
          <w:sz w:val="20"/>
          <w:szCs w:val="20"/>
        </w:rPr>
        <w:t xml:space="preserve"> </w:t>
      </w:r>
    </w:p>
    <w:p w14:paraId="2C50D418" w14:textId="5CFE288D"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27 de mayo de 2004 </w:t>
      </w:r>
      <w:r w:rsidR="009B1FC9" w:rsidRPr="006A0A3F">
        <w:rPr>
          <w:rFonts w:ascii="Verdana" w:hAnsi="Verdana"/>
          <w:sz w:val="20"/>
          <w:szCs w:val="20"/>
        </w:rPr>
        <w:t xml:space="preserve">las presuntas víctimas </w:t>
      </w:r>
      <w:r w:rsidRPr="006A0A3F">
        <w:rPr>
          <w:rFonts w:ascii="Verdana" w:hAnsi="Verdana"/>
          <w:sz w:val="20"/>
          <w:szCs w:val="20"/>
        </w:rPr>
        <w:t xml:space="preserve">presentaron una denuncia </w:t>
      </w:r>
      <w:r w:rsidR="009B1FC9" w:rsidRPr="006A0A3F">
        <w:rPr>
          <w:rFonts w:ascii="Verdana" w:hAnsi="Verdana"/>
          <w:sz w:val="20"/>
          <w:szCs w:val="20"/>
        </w:rPr>
        <w:t xml:space="preserve">en la vía </w:t>
      </w:r>
      <w:r w:rsidRPr="006A0A3F">
        <w:rPr>
          <w:rFonts w:ascii="Verdana" w:hAnsi="Verdana"/>
          <w:sz w:val="20"/>
          <w:szCs w:val="20"/>
        </w:rPr>
        <w:t>penal ante la Fiscalía General de la República</w:t>
      </w:r>
      <w:r w:rsidR="009B1FC9" w:rsidRPr="006A0A3F">
        <w:rPr>
          <w:rFonts w:ascii="Verdana" w:hAnsi="Verdana"/>
          <w:sz w:val="20"/>
          <w:szCs w:val="20"/>
        </w:rPr>
        <w:t>,</w:t>
      </w:r>
      <w:r w:rsidRPr="006A0A3F">
        <w:rPr>
          <w:rFonts w:ascii="Verdana" w:hAnsi="Verdana"/>
          <w:sz w:val="20"/>
          <w:szCs w:val="20"/>
        </w:rPr>
        <w:t xml:space="preserve"> solicitando iniciar investigaciones contra los funcionarios que </w:t>
      </w:r>
      <w:r w:rsidR="009B1FC9" w:rsidRPr="006A0A3F">
        <w:rPr>
          <w:rFonts w:ascii="Verdana" w:hAnsi="Verdana"/>
          <w:sz w:val="20"/>
          <w:szCs w:val="20"/>
        </w:rPr>
        <w:t>decidieron</w:t>
      </w:r>
      <w:r w:rsidRPr="006A0A3F">
        <w:rPr>
          <w:rFonts w:ascii="Verdana" w:hAnsi="Verdana"/>
          <w:sz w:val="20"/>
          <w:szCs w:val="20"/>
        </w:rPr>
        <w:t xml:space="preserve"> </w:t>
      </w:r>
      <w:r w:rsidR="009B1FC9" w:rsidRPr="006A0A3F">
        <w:rPr>
          <w:rFonts w:ascii="Verdana" w:hAnsi="Verdana"/>
          <w:sz w:val="20"/>
          <w:szCs w:val="20"/>
        </w:rPr>
        <w:t>terminar sus contratos po</w:t>
      </w:r>
      <w:r w:rsidR="00FB5E93" w:rsidRPr="006A0A3F">
        <w:rPr>
          <w:rFonts w:ascii="Verdana" w:hAnsi="Verdana"/>
          <w:sz w:val="20"/>
          <w:szCs w:val="20"/>
        </w:rPr>
        <w:t xml:space="preserve">r haber suscrito la solicitud, refiriendo </w:t>
      </w:r>
      <w:r w:rsidRPr="006A0A3F">
        <w:rPr>
          <w:rFonts w:ascii="Verdana" w:hAnsi="Verdana"/>
          <w:sz w:val="20"/>
          <w:szCs w:val="20"/>
        </w:rPr>
        <w:t xml:space="preserve">el entonces Presidente </w:t>
      </w:r>
      <w:r w:rsidR="00FB5E93" w:rsidRPr="006A0A3F">
        <w:rPr>
          <w:rFonts w:ascii="Verdana" w:hAnsi="Verdana"/>
          <w:sz w:val="20"/>
          <w:szCs w:val="20"/>
        </w:rPr>
        <w:t xml:space="preserve">y Secretario </w:t>
      </w:r>
      <w:r w:rsidRPr="006A0A3F">
        <w:rPr>
          <w:rFonts w:ascii="Verdana" w:hAnsi="Verdana"/>
          <w:sz w:val="20"/>
          <w:szCs w:val="20"/>
        </w:rPr>
        <w:t>del</w:t>
      </w:r>
      <w:r w:rsidR="00FB5E93" w:rsidRPr="006A0A3F">
        <w:rPr>
          <w:rFonts w:ascii="Verdana" w:hAnsi="Verdana"/>
          <w:sz w:val="20"/>
          <w:szCs w:val="20"/>
        </w:rPr>
        <w:t xml:space="preserve"> CNF</w:t>
      </w:r>
      <w:r w:rsidRPr="006A0A3F">
        <w:rPr>
          <w:rFonts w:ascii="Verdana" w:hAnsi="Verdana"/>
          <w:sz w:val="20"/>
          <w:szCs w:val="20"/>
          <w:vertAlign w:val="superscript"/>
        </w:rPr>
        <w:footnoteReference w:id="155"/>
      </w:r>
      <w:r w:rsidRPr="006A0A3F">
        <w:rPr>
          <w:rFonts w:ascii="Verdana" w:hAnsi="Verdana"/>
          <w:sz w:val="20"/>
          <w:szCs w:val="20"/>
        </w:rPr>
        <w:t>.</w:t>
      </w:r>
    </w:p>
    <w:p w14:paraId="33E55C09" w14:textId="77777777" w:rsidR="00E41D9C" w:rsidRPr="006A0A3F" w:rsidRDefault="00E41D9C" w:rsidP="00E41D9C">
      <w:pPr>
        <w:spacing w:after="0" w:line="240" w:lineRule="auto"/>
        <w:jc w:val="both"/>
        <w:rPr>
          <w:rFonts w:ascii="Verdana" w:hAnsi="Verdana"/>
          <w:sz w:val="20"/>
          <w:szCs w:val="20"/>
        </w:rPr>
      </w:pPr>
    </w:p>
    <w:p w14:paraId="01088B68" w14:textId="09EA4BC1"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  El 7 de julio de 2004 la Fiscalía Trigésima Séptima ordenó el inicio de la investigación penal</w:t>
      </w:r>
      <w:r w:rsidRPr="006A0A3F">
        <w:rPr>
          <w:rFonts w:ascii="Verdana" w:hAnsi="Verdana"/>
          <w:sz w:val="20"/>
          <w:szCs w:val="20"/>
          <w:vertAlign w:val="superscript"/>
        </w:rPr>
        <w:footnoteReference w:id="156"/>
      </w:r>
      <w:r w:rsidRPr="006A0A3F">
        <w:rPr>
          <w:rFonts w:ascii="Verdana" w:hAnsi="Verdana"/>
          <w:sz w:val="20"/>
          <w:szCs w:val="20"/>
        </w:rPr>
        <w:t xml:space="preserve">.  El 14 de julio de 2004 la Fiscalía realizó entrevista al Secretario Ejecutivo del </w:t>
      </w:r>
      <w:r w:rsidR="00FB5E93" w:rsidRPr="006A0A3F">
        <w:rPr>
          <w:rFonts w:ascii="Verdana" w:hAnsi="Verdana"/>
          <w:sz w:val="20"/>
          <w:szCs w:val="20"/>
        </w:rPr>
        <w:t>CNF</w:t>
      </w:r>
      <w:r w:rsidRPr="006A0A3F">
        <w:rPr>
          <w:rFonts w:ascii="Verdana" w:hAnsi="Verdana"/>
          <w:sz w:val="20"/>
          <w:szCs w:val="20"/>
          <w:vertAlign w:val="superscript"/>
        </w:rPr>
        <w:footnoteReference w:id="157"/>
      </w:r>
      <w:r w:rsidR="00FB5E93" w:rsidRPr="006A0A3F">
        <w:rPr>
          <w:rFonts w:ascii="Verdana" w:hAnsi="Verdana"/>
          <w:sz w:val="20"/>
          <w:szCs w:val="20"/>
        </w:rPr>
        <w:t>, quien en esa</w:t>
      </w:r>
      <w:r w:rsidRPr="006A0A3F">
        <w:rPr>
          <w:rFonts w:ascii="Verdana" w:hAnsi="Verdana"/>
          <w:sz w:val="20"/>
          <w:szCs w:val="20"/>
        </w:rPr>
        <w:t xml:space="preserve"> misma fecha presentó un informe a la Fiscal</w:t>
      </w:r>
      <w:r w:rsidRPr="006A0A3F">
        <w:rPr>
          <w:rFonts w:ascii="Verdana" w:hAnsi="Verdana"/>
          <w:sz w:val="20"/>
          <w:szCs w:val="20"/>
          <w:vertAlign w:val="superscript"/>
        </w:rPr>
        <w:footnoteReference w:id="158"/>
      </w:r>
      <w:r w:rsidRPr="006A0A3F">
        <w:rPr>
          <w:rFonts w:ascii="Verdana" w:hAnsi="Verdana"/>
          <w:sz w:val="20"/>
          <w:szCs w:val="20"/>
        </w:rPr>
        <w:t xml:space="preserve">. El 15 </w:t>
      </w:r>
      <w:r w:rsidR="00FB5E93" w:rsidRPr="006A0A3F">
        <w:rPr>
          <w:rFonts w:ascii="Verdana" w:hAnsi="Verdana"/>
          <w:sz w:val="20"/>
          <w:szCs w:val="20"/>
        </w:rPr>
        <w:t xml:space="preserve">y 16 </w:t>
      </w:r>
      <w:r w:rsidRPr="006A0A3F">
        <w:rPr>
          <w:rFonts w:ascii="Verdana" w:hAnsi="Verdana"/>
          <w:sz w:val="20"/>
          <w:szCs w:val="20"/>
        </w:rPr>
        <w:t xml:space="preserve">de julio siguiente la Fiscalía tomó declaraciones a </w:t>
      </w:r>
      <w:r w:rsidR="00FB5E93" w:rsidRPr="006A0A3F">
        <w:rPr>
          <w:rFonts w:ascii="Verdana" w:hAnsi="Verdana"/>
          <w:sz w:val="20"/>
          <w:szCs w:val="20"/>
        </w:rPr>
        <w:t>las presuntas víctimas</w:t>
      </w:r>
      <w:r w:rsidRPr="006A0A3F">
        <w:rPr>
          <w:rFonts w:ascii="Verdana" w:hAnsi="Verdana"/>
          <w:sz w:val="20"/>
          <w:szCs w:val="20"/>
          <w:vertAlign w:val="superscript"/>
        </w:rPr>
        <w:footnoteReference w:id="159"/>
      </w:r>
      <w:r w:rsidRPr="006A0A3F">
        <w:rPr>
          <w:rFonts w:ascii="Verdana" w:hAnsi="Verdana"/>
          <w:sz w:val="20"/>
          <w:szCs w:val="20"/>
        </w:rPr>
        <w:t xml:space="preserve">. </w:t>
      </w:r>
    </w:p>
    <w:p w14:paraId="3FD8C8DB" w14:textId="77777777" w:rsidR="00E41D9C" w:rsidRPr="006A0A3F" w:rsidRDefault="00E41D9C" w:rsidP="00E41D9C">
      <w:pPr>
        <w:spacing w:after="0" w:line="240" w:lineRule="auto"/>
        <w:jc w:val="both"/>
        <w:rPr>
          <w:rFonts w:ascii="Verdana" w:hAnsi="Verdana"/>
          <w:sz w:val="20"/>
          <w:szCs w:val="20"/>
        </w:rPr>
      </w:pPr>
    </w:p>
    <w:p w14:paraId="7A9E5C9D" w14:textId="2B17B3C9"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21 de enero de 2005 la Fiscalía Trigésima Séptima solicitó el sobreseimiento de la causa a un </w:t>
      </w:r>
      <w:r w:rsidR="005E3E9A" w:rsidRPr="006A0A3F">
        <w:rPr>
          <w:rFonts w:ascii="Verdana" w:hAnsi="Verdana"/>
          <w:sz w:val="20"/>
          <w:szCs w:val="20"/>
        </w:rPr>
        <w:t>juzgado</w:t>
      </w:r>
      <w:r w:rsidRPr="006A0A3F">
        <w:rPr>
          <w:rFonts w:ascii="Verdana" w:hAnsi="Verdana"/>
          <w:sz w:val="20"/>
          <w:szCs w:val="20"/>
        </w:rPr>
        <w:t xml:space="preserve"> de primera instancia, considerando que los hechos no </w:t>
      </w:r>
      <w:r w:rsidR="005E3E9A" w:rsidRPr="006A0A3F">
        <w:rPr>
          <w:rFonts w:ascii="Verdana" w:hAnsi="Verdana"/>
          <w:sz w:val="20"/>
          <w:szCs w:val="20"/>
        </w:rPr>
        <w:t>revestían</w:t>
      </w:r>
      <w:r w:rsidRPr="006A0A3F">
        <w:rPr>
          <w:rFonts w:ascii="Verdana" w:hAnsi="Verdana"/>
          <w:sz w:val="20"/>
          <w:szCs w:val="20"/>
        </w:rPr>
        <w:t xml:space="preserve"> carácter </w:t>
      </w:r>
      <w:r w:rsidRPr="006A0A3F">
        <w:rPr>
          <w:rFonts w:ascii="Verdana" w:hAnsi="Verdana"/>
          <w:sz w:val="20"/>
          <w:szCs w:val="20"/>
        </w:rPr>
        <w:lastRenderedPageBreak/>
        <w:t>penal y haciendo notar que no se pudo establecer la violaci</w:t>
      </w:r>
      <w:r w:rsidR="005E3E9A" w:rsidRPr="006A0A3F">
        <w:rPr>
          <w:rFonts w:ascii="Verdana" w:hAnsi="Verdana"/>
          <w:sz w:val="20"/>
          <w:szCs w:val="20"/>
        </w:rPr>
        <w:t>ón de un derecho constitucional, pues estaba previsto en los contratos el derecho de darlos por terminados</w:t>
      </w:r>
      <w:r w:rsidRPr="006A0A3F">
        <w:rPr>
          <w:rFonts w:ascii="Verdana" w:hAnsi="Verdana"/>
          <w:sz w:val="20"/>
          <w:szCs w:val="20"/>
          <w:vertAlign w:val="superscript"/>
        </w:rPr>
        <w:footnoteReference w:id="160"/>
      </w:r>
      <w:r w:rsidRPr="006A0A3F">
        <w:rPr>
          <w:rFonts w:ascii="Verdana" w:hAnsi="Verdana"/>
          <w:sz w:val="20"/>
          <w:szCs w:val="20"/>
        </w:rPr>
        <w:t xml:space="preserve">. </w:t>
      </w:r>
    </w:p>
    <w:p w14:paraId="2853DD49" w14:textId="77777777" w:rsidR="00E41D9C" w:rsidRPr="006A0A3F" w:rsidRDefault="00E41D9C" w:rsidP="00E41D9C">
      <w:pPr>
        <w:pStyle w:val="ListParagraph"/>
        <w:rPr>
          <w:rFonts w:ascii="Verdana" w:hAnsi="Verdana"/>
          <w:sz w:val="20"/>
          <w:lang w:val="es-CR"/>
        </w:rPr>
      </w:pPr>
    </w:p>
    <w:p w14:paraId="345D02E0" w14:textId="1CCED8BA" w:rsidR="00E41D9C" w:rsidRPr="006A0A3F" w:rsidRDefault="00E41D9C" w:rsidP="004243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4 de abril de 2005 el Juzgado Vigésimo P</w:t>
      </w:r>
      <w:r w:rsidR="000244E1">
        <w:rPr>
          <w:rFonts w:ascii="Verdana" w:hAnsi="Verdana"/>
          <w:sz w:val="20"/>
          <w:szCs w:val="20"/>
        </w:rPr>
        <w:t>rimero de Primera Instancia en F</w:t>
      </w:r>
      <w:r w:rsidRPr="006A0A3F">
        <w:rPr>
          <w:rFonts w:ascii="Verdana" w:hAnsi="Verdana"/>
          <w:sz w:val="20"/>
          <w:szCs w:val="20"/>
        </w:rPr>
        <w:t xml:space="preserve">unciones de Control decretó el sobreseimiento de la causa al considerar que: </w:t>
      </w:r>
    </w:p>
    <w:p w14:paraId="6F441E8B" w14:textId="77777777" w:rsidR="00E41D9C" w:rsidRPr="006A0A3F" w:rsidRDefault="00E41D9C" w:rsidP="00E41D9C">
      <w:pPr>
        <w:spacing w:after="0" w:line="240" w:lineRule="auto"/>
        <w:jc w:val="both"/>
        <w:rPr>
          <w:rFonts w:ascii="Verdana" w:hAnsi="Verdana"/>
          <w:sz w:val="20"/>
          <w:szCs w:val="20"/>
        </w:rPr>
      </w:pPr>
    </w:p>
    <w:p w14:paraId="2354AC2A" w14:textId="7BE370CE" w:rsidR="00E41D9C" w:rsidRPr="006A0A3F" w:rsidRDefault="008C3F04" w:rsidP="00E41D9C">
      <w:pPr>
        <w:spacing w:after="0" w:line="240" w:lineRule="auto"/>
        <w:ind w:left="709"/>
        <w:jc w:val="both"/>
        <w:rPr>
          <w:rFonts w:ascii="Verdana" w:hAnsi="Verdana"/>
          <w:sz w:val="16"/>
          <w:szCs w:val="20"/>
        </w:rPr>
      </w:pPr>
      <w:r w:rsidRPr="006A0A3F">
        <w:rPr>
          <w:rFonts w:ascii="Verdana" w:hAnsi="Verdana"/>
          <w:sz w:val="16"/>
          <w:szCs w:val="20"/>
        </w:rPr>
        <w:t xml:space="preserve">De ninguna de las cláusulas </w:t>
      </w:r>
      <w:r w:rsidR="00E41D9C" w:rsidRPr="006A0A3F">
        <w:rPr>
          <w:rFonts w:ascii="Verdana" w:hAnsi="Verdana"/>
          <w:sz w:val="16"/>
          <w:szCs w:val="20"/>
        </w:rPr>
        <w:t>se evidencia que se hayan viol</w:t>
      </w:r>
      <w:r w:rsidRPr="006A0A3F">
        <w:rPr>
          <w:rFonts w:ascii="Verdana" w:hAnsi="Verdana"/>
          <w:sz w:val="16"/>
          <w:szCs w:val="20"/>
        </w:rPr>
        <w:t>ado normas de carácter penal, y</w:t>
      </w:r>
      <w:r w:rsidR="00E41D9C" w:rsidRPr="006A0A3F">
        <w:rPr>
          <w:rFonts w:ascii="Verdana" w:hAnsi="Verdana"/>
          <w:sz w:val="16"/>
          <w:szCs w:val="20"/>
        </w:rPr>
        <w:t xml:space="preserve"> si bien se evidencia que el Presidente del Consejo Nacional de Fronteras decide dar por terminada la contratación de servicios, no es menos cierto que así se lo permitía el contrato suscrito por las partes, por lo que observándose que de ninguno de los elementos reportados conllevan a corroborar el dicho de las denunciantes que el motivo de la determinación del contrato sea el hecho de haber votado en el referéndum revocatorio, y que si así fuere tampoco tales hechos denunciados constituyen delitos, pues las normas invocadas como violatorias de derechos constitucionales no constituyen hecho punible y en todo caso, las desavenencias surgidas con motivo de una relación contractual no es de la competencia de este tribunal, ya que podían las denunciantes intentar su acción por otras vías administrativas o laborales a los efectos de garantizar su derecho al trabajo más no es la vía penal la idónea para su acción</w:t>
      </w:r>
      <w:r w:rsidR="00E41D9C" w:rsidRPr="006A0A3F">
        <w:rPr>
          <w:rFonts w:ascii="Verdana" w:hAnsi="Verdana"/>
          <w:sz w:val="16"/>
          <w:szCs w:val="20"/>
          <w:vertAlign w:val="superscript"/>
        </w:rPr>
        <w:footnoteReference w:id="161"/>
      </w:r>
      <w:r w:rsidR="00E41D9C" w:rsidRPr="006A0A3F">
        <w:rPr>
          <w:rFonts w:ascii="Verdana" w:hAnsi="Verdana"/>
          <w:sz w:val="16"/>
          <w:szCs w:val="20"/>
        </w:rPr>
        <w:t xml:space="preserve">.  </w:t>
      </w:r>
    </w:p>
    <w:p w14:paraId="025D8FDE" w14:textId="77777777" w:rsidR="00E41D9C" w:rsidRPr="006A0A3F" w:rsidRDefault="00E41D9C" w:rsidP="00E41D9C">
      <w:pPr>
        <w:spacing w:after="0" w:line="240" w:lineRule="auto"/>
        <w:jc w:val="both"/>
        <w:rPr>
          <w:rFonts w:ascii="Verdana" w:hAnsi="Verdana"/>
          <w:sz w:val="20"/>
          <w:szCs w:val="20"/>
        </w:rPr>
      </w:pPr>
    </w:p>
    <w:p w14:paraId="5AEA34F9" w14:textId="27688828" w:rsidR="00E41D9C" w:rsidRPr="006A0A3F" w:rsidRDefault="00E41D9C" w:rsidP="00340740">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15 de abril de 2005 </w:t>
      </w:r>
      <w:r w:rsidR="008C3F04" w:rsidRPr="006A0A3F">
        <w:rPr>
          <w:rFonts w:ascii="Verdana" w:hAnsi="Verdana"/>
          <w:sz w:val="20"/>
          <w:szCs w:val="20"/>
        </w:rPr>
        <w:t>las presuntas víctimas</w:t>
      </w:r>
      <w:r w:rsidRPr="006A0A3F">
        <w:rPr>
          <w:rFonts w:ascii="Verdana" w:hAnsi="Verdana"/>
          <w:sz w:val="20"/>
          <w:szCs w:val="20"/>
        </w:rPr>
        <w:t xml:space="preserve"> interpusieron recurso de apelación contra la decisión de sobreseimiento</w:t>
      </w:r>
      <w:r w:rsidR="008C3F04" w:rsidRPr="006A0A3F">
        <w:rPr>
          <w:rFonts w:ascii="Verdana" w:hAnsi="Verdana"/>
          <w:sz w:val="20"/>
          <w:szCs w:val="20"/>
        </w:rPr>
        <w:t>,</w:t>
      </w:r>
      <w:r w:rsidRPr="006A0A3F">
        <w:rPr>
          <w:rFonts w:ascii="Verdana" w:hAnsi="Verdana"/>
          <w:sz w:val="20"/>
          <w:szCs w:val="20"/>
        </w:rPr>
        <w:t xml:space="preserve"> argumentando que dicha decisión incurrió en er</w:t>
      </w:r>
      <w:r w:rsidR="008C3F04" w:rsidRPr="006A0A3F">
        <w:rPr>
          <w:rFonts w:ascii="Verdana" w:hAnsi="Verdana"/>
          <w:sz w:val="20"/>
          <w:szCs w:val="20"/>
        </w:rPr>
        <w:t xml:space="preserve">ror de derecho al concluir que, aún </w:t>
      </w:r>
      <w:r w:rsidRPr="006A0A3F">
        <w:rPr>
          <w:rFonts w:ascii="Verdana" w:hAnsi="Verdana"/>
          <w:sz w:val="20"/>
          <w:szCs w:val="20"/>
        </w:rPr>
        <w:t xml:space="preserve">si se hubiere corroborado el motivo </w:t>
      </w:r>
      <w:r w:rsidR="008C3F04" w:rsidRPr="006A0A3F">
        <w:rPr>
          <w:rFonts w:ascii="Verdana" w:hAnsi="Verdana"/>
          <w:sz w:val="20"/>
          <w:szCs w:val="20"/>
        </w:rPr>
        <w:t xml:space="preserve">alegado, </w:t>
      </w:r>
      <w:r w:rsidRPr="006A0A3F">
        <w:rPr>
          <w:rFonts w:ascii="Verdana" w:hAnsi="Verdana"/>
          <w:sz w:val="20"/>
          <w:szCs w:val="20"/>
        </w:rPr>
        <w:t xml:space="preserve">tales hechos denunciados </w:t>
      </w:r>
      <w:r w:rsidR="008C3F04" w:rsidRPr="006A0A3F">
        <w:rPr>
          <w:rFonts w:ascii="Verdana" w:hAnsi="Verdana"/>
          <w:sz w:val="20"/>
          <w:szCs w:val="20"/>
        </w:rPr>
        <w:t xml:space="preserve">no </w:t>
      </w:r>
      <w:r w:rsidRPr="006A0A3F">
        <w:rPr>
          <w:rFonts w:ascii="Verdana" w:hAnsi="Verdana"/>
          <w:sz w:val="20"/>
          <w:szCs w:val="20"/>
        </w:rPr>
        <w:t>constituyen delitos</w:t>
      </w:r>
      <w:r w:rsidR="008C3F04" w:rsidRPr="006A0A3F">
        <w:rPr>
          <w:rFonts w:ascii="Verdana" w:hAnsi="Verdana"/>
          <w:sz w:val="20"/>
          <w:szCs w:val="20"/>
        </w:rPr>
        <w:t xml:space="preserve"> y que </w:t>
      </w:r>
      <w:r w:rsidRPr="006A0A3F">
        <w:rPr>
          <w:rFonts w:ascii="Verdana" w:hAnsi="Verdana"/>
          <w:sz w:val="20"/>
          <w:szCs w:val="20"/>
        </w:rPr>
        <w:t>la Fiscalía no desarrolló una investigación adecuada</w:t>
      </w:r>
      <w:r w:rsidRPr="006A0A3F">
        <w:rPr>
          <w:rFonts w:ascii="Verdana" w:hAnsi="Verdana"/>
          <w:sz w:val="20"/>
          <w:szCs w:val="20"/>
          <w:vertAlign w:val="superscript"/>
        </w:rPr>
        <w:footnoteReference w:id="162"/>
      </w:r>
      <w:r w:rsidRPr="006A0A3F">
        <w:rPr>
          <w:rFonts w:ascii="Verdana" w:hAnsi="Verdana"/>
          <w:sz w:val="20"/>
          <w:szCs w:val="20"/>
        </w:rPr>
        <w:t xml:space="preserve">. El </w:t>
      </w:r>
      <w:r w:rsidR="007D326F" w:rsidRPr="006A0A3F">
        <w:rPr>
          <w:rFonts w:ascii="Verdana" w:hAnsi="Verdana"/>
          <w:sz w:val="20"/>
          <w:szCs w:val="20"/>
        </w:rPr>
        <w:t xml:space="preserve">27 </w:t>
      </w:r>
      <w:r w:rsidRPr="006A0A3F">
        <w:rPr>
          <w:rFonts w:ascii="Verdana" w:hAnsi="Verdana"/>
          <w:sz w:val="20"/>
          <w:szCs w:val="20"/>
        </w:rPr>
        <w:t>de abril de 2005 la Fiscalía Trigésima Séptima solicitó a los miembros de la Corte de Apelaciones declarar sin lugar el recurso de apelación, por</w:t>
      </w:r>
      <w:r w:rsidR="008C3F04" w:rsidRPr="006A0A3F">
        <w:rPr>
          <w:rFonts w:ascii="Verdana" w:hAnsi="Verdana"/>
          <w:sz w:val="20"/>
          <w:szCs w:val="20"/>
        </w:rPr>
        <w:t xml:space="preserve"> considerar que </w:t>
      </w:r>
      <w:r w:rsidRPr="006A0A3F">
        <w:rPr>
          <w:rFonts w:ascii="Verdana" w:hAnsi="Verdana"/>
          <w:sz w:val="20"/>
          <w:szCs w:val="20"/>
        </w:rPr>
        <w:t>la actividad desplegada por los interesados se circunscribió a una relación establecida contractualmente y que nada tiene de in</w:t>
      </w:r>
      <w:r w:rsidR="008C3F04" w:rsidRPr="006A0A3F">
        <w:rPr>
          <w:rFonts w:ascii="Verdana" w:hAnsi="Verdana"/>
          <w:sz w:val="20"/>
          <w:szCs w:val="20"/>
        </w:rPr>
        <w:t>jerencia en el ámbito penal</w:t>
      </w:r>
      <w:r w:rsidRPr="006A0A3F">
        <w:rPr>
          <w:rFonts w:ascii="Verdana" w:hAnsi="Verdana"/>
          <w:sz w:val="20"/>
          <w:szCs w:val="20"/>
          <w:vertAlign w:val="superscript"/>
        </w:rPr>
        <w:footnoteReference w:id="163"/>
      </w:r>
      <w:r w:rsidRPr="006A0A3F">
        <w:rPr>
          <w:rFonts w:ascii="Verdana" w:hAnsi="Verdana"/>
          <w:sz w:val="20"/>
          <w:szCs w:val="20"/>
        </w:rPr>
        <w:t>. El 5 de mayo de 2005 la Sala Séptima de la Corte de Apelaciones admitió el recurso de apelación interpuesto</w:t>
      </w:r>
      <w:r w:rsidRPr="006A0A3F">
        <w:rPr>
          <w:rFonts w:ascii="Verdana" w:hAnsi="Verdana"/>
          <w:sz w:val="20"/>
          <w:szCs w:val="20"/>
          <w:vertAlign w:val="superscript"/>
        </w:rPr>
        <w:footnoteReference w:id="164"/>
      </w:r>
      <w:r w:rsidRPr="006A0A3F">
        <w:rPr>
          <w:rFonts w:ascii="Verdana" w:hAnsi="Verdana"/>
          <w:sz w:val="20"/>
          <w:szCs w:val="20"/>
        </w:rPr>
        <w:t xml:space="preserve"> y el 12 de mayo </w:t>
      </w:r>
      <w:r w:rsidR="008C3F04" w:rsidRPr="006A0A3F">
        <w:rPr>
          <w:rFonts w:ascii="Verdana" w:hAnsi="Verdana"/>
          <w:sz w:val="20"/>
          <w:szCs w:val="20"/>
        </w:rPr>
        <w:t xml:space="preserve">siguiente lo declaró sin lugar, </w:t>
      </w:r>
      <w:r w:rsidRPr="006A0A3F">
        <w:rPr>
          <w:rFonts w:ascii="Verdana" w:hAnsi="Verdana"/>
          <w:sz w:val="20"/>
          <w:szCs w:val="20"/>
        </w:rPr>
        <w:t xml:space="preserve">indicando que “resulta imposible exigirle a la Vindicta Pública (titular de la acción penal por excelencia) que ejerza un acto conclusivo distinto al que ya ejerció (sobreseimiento de la presente causa) </w:t>
      </w:r>
      <w:r w:rsidR="008C3F04" w:rsidRPr="006A0A3F">
        <w:rPr>
          <w:rFonts w:ascii="Verdana" w:hAnsi="Verdana"/>
          <w:sz w:val="20"/>
          <w:szCs w:val="20"/>
        </w:rPr>
        <w:t>[</w:t>
      </w:r>
      <w:r w:rsidRPr="006A0A3F">
        <w:rPr>
          <w:rFonts w:ascii="Verdana" w:hAnsi="Verdana"/>
          <w:sz w:val="20"/>
          <w:szCs w:val="20"/>
        </w:rPr>
        <w:t>…</w:t>
      </w:r>
      <w:r w:rsidR="008C3F04" w:rsidRPr="006A0A3F">
        <w:rPr>
          <w:rFonts w:ascii="Verdana" w:hAnsi="Verdana"/>
          <w:sz w:val="20"/>
          <w:szCs w:val="20"/>
        </w:rPr>
        <w:t>]</w:t>
      </w:r>
      <w:r w:rsidRPr="006A0A3F">
        <w:rPr>
          <w:rFonts w:ascii="Verdana" w:hAnsi="Verdana"/>
          <w:sz w:val="20"/>
          <w:szCs w:val="20"/>
        </w:rPr>
        <w:t>”</w:t>
      </w:r>
      <w:r w:rsidRPr="006A0A3F">
        <w:rPr>
          <w:rFonts w:ascii="Verdana" w:hAnsi="Verdana"/>
          <w:sz w:val="20"/>
          <w:szCs w:val="20"/>
          <w:vertAlign w:val="superscript"/>
        </w:rPr>
        <w:footnoteReference w:id="165"/>
      </w:r>
      <w:r w:rsidRPr="006A0A3F">
        <w:rPr>
          <w:rFonts w:ascii="Verdana" w:hAnsi="Verdana"/>
          <w:sz w:val="20"/>
          <w:szCs w:val="20"/>
        </w:rPr>
        <w:t xml:space="preserve">. </w:t>
      </w:r>
    </w:p>
    <w:p w14:paraId="65FF084D" w14:textId="77777777" w:rsidR="00E41D9C" w:rsidRPr="006A0A3F" w:rsidRDefault="00E41D9C" w:rsidP="00E41D9C">
      <w:pPr>
        <w:spacing w:after="0" w:line="240" w:lineRule="auto"/>
        <w:jc w:val="both"/>
        <w:rPr>
          <w:rFonts w:ascii="Verdana" w:hAnsi="Verdana"/>
          <w:sz w:val="20"/>
          <w:szCs w:val="20"/>
        </w:rPr>
      </w:pPr>
    </w:p>
    <w:p w14:paraId="681ED2DC" w14:textId="4D095690" w:rsidR="00E41D9C" w:rsidRPr="006A0A3F" w:rsidRDefault="00E41D9C" w:rsidP="00340740">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El 7 de julio de 2005 las presuntas víctimas interpusieron recurso de casación en contra de la decisión que declaró sin lugar el recurso de apelación, alegando una serie de violaciones al derecho al debido proceso, así como</w:t>
      </w:r>
      <w:r w:rsidR="008D6BB8" w:rsidRPr="006A0A3F">
        <w:rPr>
          <w:rFonts w:ascii="Verdana" w:hAnsi="Verdana"/>
          <w:sz w:val="20"/>
          <w:szCs w:val="20"/>
        </w:rPr>
        <w:t xml:space="preserve"> la</w:t>
      </w:r>
      <w:r w:rsidRPr="006A0A3F">
        <w:rPr>
          <w:rFonts w:ascii="Verdana" w:hAnsi="Verdana"/>
          <w:sz w:val="20"/>
          <w:szCs w:val="20"/>
        </w:rPr>
        <w:t xml:space="preserve"> infracción e indebida interpretación de la ley</w:t>
      </w:r>
      <w:r w:rsidRPr="006A0A3F">
        <w:rPr>
          <w:rFonts w:ascii="Verdana" w:hAnsi="Verdana"/>
          <w:sz w:val="20"/>
          <w:szCs w:val="20"/>
          <w:vertAlign w:val="superscript"/>
        </w:rPr>
        <w:footnoteReference w:id="166"/>
      </w:r>
      <w:r w:rsidRPr="006A0A3F">
        <w:rPr>
          <w:rFonts w:ascii="Verdana" w:hAnsi="Verdana"/>
          <w:sz w:val="20"/>
          <w:szCs w:val="20"/>
        </w:rPr>
        <w:t>.  El 27 de septiembre de 2005 la Sala de Casación Penal del Tribunal Supremo de Justicia declaró sin lugar el recurso de casación interpuesto por las víctimas del caso por considerar que las recurrentes “no demostraron la utilidad del recurso de casación y no expusieron en forma clara sus argumentos”</w:t>
      </w:r>
      <w:r w:rsidRPr="006A0A3F">
        <w:rPr>
          <w:rFonts w:ascii="Verdana" w:hAnsi="Verdana"/>
          <w:sz w:val="20"/>
          <w:szCs w:val="20"/>
          <w:vertAlign w:val="superscript"/>
        </w:rPr>
        <w:footnoteReference w:id="167"/>
      </w:r>
      <w:r w:rsidRPr="006A0A3F">
        <w:rPr>
          <w:rFonts w:ascii="Verdana" w:hAnsi="Verdana"/>
          <w:sz w:val="20"/>
          <w:szCs w:val="20"/>
        </w:rPr>
        <w:t xml:space="preserve">. </w:t>
      </w:r>
    </w:p>
    <w:p w14:paraId="51BDAE81" w14:textId="77777777" w:rsidR="00F57E36" w:rsidRDefault="00F57E36" w:rsidP="001F09C8">
      <w:pPr>
        <w:pStyle w:val="ListParagraph"/>
        <w:ind w:left="0"/>
        <w:jc w:val="both"/>
        <w:rPr>
          <w:rFonts w:ascii="Verdana" w:hAnsi="Verdana"/>
          <w:sz w:val="20"/>
          <w:lang w:val="es-CR"/>
        </w:rPr>
      </w:pPr>
    </w:p>
    <w:p w14:paraId="2C8BF835" w14:textId="77777777" w:rsidR="00F44DD1" w:rsidRDefault="00F44DD1" w:rsidP="001F09C8">
      <w:pPr>
        <w:pStyle w:val="ListParagraph"/>
        <w:ind w:left="0"/>
        <w:jc w:val="both"/>
        <w:rPr>
          <w:rFonts w:ascii="Verdana" w:hAnsi="Verdana"/>
          <w:sz w:val="20"/>
          <w:lang w:val="es-CR"/>
        </w:rPr>
      </w:pPr>
    </w:p>
    <w:p w14:paraId="5F988312" w14:textId="77777777" w:rsidR="00F44DD1" w:rsidRPr="006A0A3F" w:rsidRDefault="00F44DD1" w:rsidP="001F09C8">
      <w:pPr>
        <w:pStyle w:val="ListParagraph"/>
        <w:ind w:left="0"/>
        <w:jc w:val="both"/>
        <w:rPr>
          <w:rFonts w:ascii="Verdana" w:hAnsi="Verdana"/>
          <w:sz w:val="20"/>
          <w:lang w:val="es-CR"/>
        </w:rPr>
      </w:pPr>
    </w:p>
    <w:p w14:paraId="4E03904B" w14:textId="2B1AD741" w:rsidR="00275951" w:rsidRPr="006A0A3F" w:rsidRDefault="00275951" w:rsidP="00275951">
      <w:pPr>
        <w:pStyle w:val="Heading1"/>
        <w:spacing w:before="0" w:after="0" w:line="240" w:lineRule="auto"/>
        <w:jc w:val="center"/>
        <w:rPr>
          <w:rFonts w:ascii="Verdana" w:hAnsi="Verdana" w:cs="Verdana"/>
          <w:b w:val="0"/>
          <w:bCs w:val="0"/>
          <w:caps/>
          <w:snapToGrid w:val="0"/>
          <w:sz w:val="20"/>
          <w:szCs w:val="20"/>
          <w:lang w:val="es-CR"/>
        </w:rPr>
      </w:pPr>
      <w:bookmarkStart w:id="29" w:name="_Toc476251456"/>
      <w:bookmarkStart w:id="30" w:name="_Toc505876992"/>
      <w:r w:rsidRPr="006A0A3F">
        <w:rPr>
          <w:rFonts w:ascii="Verdana" w:hAnsi="Verdana" w:cs="Verdana"/>
          <w:caps/>
          <w:snapToGrid w:val="0"/>
          <w:sz w:val="20"/>
          <w:szCs w:val="20"/>
          <w:lang w:val="es-CR" w:eastAsia="es-ES"/>
        </w:rPr>
        <w:lastRenderedPageBreak/>
        <w:t>VII</w:t>
      </w:r>
      <w:r w:rsidRPr="006A0A3F">
        <w:rPr>
          <w:rFonts w:ascii="Verdana" w:hAnsi="Verdana" w:cs="Verdana"/>
          <w:caps/>
          <w:snapToGrid w:val="0"/>
          <w:sz w:val="20"/>
          <w:szCs w:val="20"/>
          <w:lang w:val="es-CR" w:eastAsia="es-ES"/>
        </w:rPr>
        <w:br/>
        <w:t>FONDO</w:t>
      </w:r>
      <w:bookmarkEnd w:id="29"/>
      <w:bookmarkEnd w:id="30"/>
    </w:p>
    <w:p w14:paraId="79C37325" w14:textId="77777777" w:rsidR="00275951" w:rsidRPr="006A0A3F" w:rsidRDefault="00275951" w:rsidP="00275951">
      <w:pPr>
        <w:spacing w:after="0" w:line="240" w:lineRule="auto"/>
        <w:jc w:val="both"/>
        <w:rPr>
          <w:rFonts w:ascii="Verdana" w:eastAsia="Times New Roman" w:hAnsi="Verdana" w:cs="Times New Roman"/>
          <w:sz w:val="20"/>
          <w:szCs w:val="20"/>
          <w:lang w:eastAsia="es-ES"/>
        </w:rPr>
      </w:pPr>
    </w:p>
    <w:p w14:paraId="0AD63250" w14:textId="162DF382" w:rsidR="00093356" w:rsidRPr="006A0A3F" w:rsidRDefault="0070519D" w:rsidP="00BC298F">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La controversia del </w:t>
      </w:r>
      <w:r w:rsidR="00BC298F" w:rsidRPr="006A0A3F">
        <w:rPr>
          <w:rFonts w:ascii="Verdana" w:hAnsi="Verdana"/>
          <w:sz w:val="20"/>
          <w:szCs w:val="20"/>
        </w:rPr>
        <w:t xml:space="preserve">presente caso versa sobre una serie de alegadas violaciones de derechos de tres personas que prestaron sus servicios durante varios años en el Consejo Nacional de Fronteras, dependencia u organismo adscrito al Ministerio de Relaciones Exteriores de Venezuela, como consecuencia de un alegado acto de </w:t>
      </w:r>
      <w:r w:rsidR="000E2EE7" w:rsidRPr="006A0A3F">
        <w:rPr>
          <w:rFonts w:ascii="Verdana" w:hAnsi="Verdana"/>
          <w:sz w:val="20"/>
          <w:szCs w:val="20"/>
        </w:rPr>
        <w:t>desviación de poder</w:t>
      </w:r>
      <w:r w:rsidR="00BC298F" w:rsidRPr="006A0A3F">
        <w:rPr>
          <w:rFonts w:ascii="Verdana" w:hAnsi="Verdana"/>
          <w:sz w:val="20"/>
          <w:szCs w:val="20"/>
        </w:rPr>
        <w:t>. Se plantea que la terminación de sus últimos contratos temporales de servicios en marzo de 2004 fue una decisión formalmente encubierta con</w:t>
      </w:r>
      <w:r w:rsidR="00C9730E" w:rsidRPr="006A0A3F">
        <w:rPr>
          <w:rFonts w:ascii="Verdana" w:hAnsi="Verdana"/>
          <w:sz w:val="20"/>
          <w:szCs w:val="20"/>
        </w:rPr>
        <w:t xml:space="preserve"> el</w:t>
      </w:r>
      <w:r w:rsidR="00BC298F" w:rsidRPr="006A0A3F">
        <w:rPr>
          <w:rFonts w:ascii="Verdana" w:hAnsi="Verdana"/>
          <w:sz w:val="20"/>
          <w:szCs w:val="20"/>
        </w:rPr>
        <w:t xml:space="preserve"> “velo de legalidad” </w:t>
      </w:r>
      <w:r w:rsidR="00C9730E" w:rsidRPr="006A0A3F">
        <w:rPr>
          <w:rFonts w:ascii="Verdana" w:hAnsi="Verdana"/>
          <w:sz w:val="20"/>
          <w:szCs w:val="20"/>
        </w:rPr>
        <w:t xml:space="preserve">de </w:t>
      </w:r>
      <w:r w:rsidR="00BC298F" w:rsidRPr="006A0A3F">
        <w:rPr>
          <w:rFonts w:ascii="Verdana" w:hAnsi="Verdana"/>
          <w:sz w:val="20"/>
          <w:szCs w:val="20"/>
        </w:rPr>
        <w:t>aplicación de una cláusula que contenía, según consideraron las autoridades judiciales y el Estado, una facultad discrecional del superior jerárquico para finalizar la relación contractual, incluso sin motivación</w:t>
      </w:r>
      <w:r w:rsidR="00C9730E" w:rsidRPr="006A0A3F">
        <w:rPr>
          <w:rFonts w:ascii="Verdana" w:hAnsi="Verdana"/>
          <w:sz w:val="20"/>
          <w:szCs w:val="20"/>
        </w:rPr>
        <w:t>. Sin embargo, se alega</w:t>
      </w:r>
      <w:r w:rsidR="00BC298F" w:rsidRPr="006A0A3F">
        <w:rPr>
          <w:rFonts w:ascii="Verdana" w:hAnsi="Verdana"/>
          <w:sz w:val="20"/>
          <w:szCs w:val="20"/>
        </w:rPr>
        <w:t xml:space="preserve"> que </w:t>
      </w:r>
      <w:r w:rsidR="00C9730E" w:rsidRPr="006A0A3F">
        <w:rPr>
          <w:rFonts w:ascii="Verdana" w:hAnsi="Verdana"/>
          <w:sz w:val="20"/>
          <w:szCs w:val="20"/>
        </w:rPr>
        <w:t xml:space="preserve">ello </w:t>
      </w:r>
      <w:r w:rsidR="00BC298F" w:rsidRPr="006A0A3F">
        <w:rPr>
          <w:rFonts w:ascii="Verdana" w:hAnsi="Verdana"/>
          <w:sz w:val="20"/>
          <w:szCs w:val="20"/>
        </w:rPr>
        <w:t xml:space="preserve">realmente habría </w:t>
      </w:r>
      <w:r w:rsidR="00C9730E" w:rsidRPr="006A0A3F">
        <w:rPr>
          <w:rFonts w:ascii="Verdana" w:hAnsi="Verdana"/>
          <w:sz w:val="20"/>
          <w:szCs w:val="20"/>
        </w:rPr>
        <w:t>estado motivado</w:t>
      </w:r>
      <w:r w:rsidR="000B4FD8" w:rsidRPr="006A0A3F">
        <w:rPr>
          <w:rFonts w:ascii="Verdana" w:hAnsi="Verdana"/>
          <w:sz w:val="20"/>
          <w:szCs w:val="20"/>
        </w:rPr>
        <w:t xml:space="preserve"> por una voluntad de represalia por haber firmado una solicitud de referéndum revocatorio del mandato del entonces Presidente de la República en diciembre de 2003, en un contexto de denuncias de represalias y persecución política, en particular luego de haber aparecido</w:t>
      </w:r>
      <w:r w:rsidR="00D661FE" w:rsidRPr="006A0A3F">
        <w:rPr>
          <w:rFonts w:ascii="Verdana" w:hAnsi="Verdana"/>
          <w:sz w:val="20"/>
          <w:szCs w:val="20"/>
        </w:rPr>
        <w:t xml:space="preserve"> sus nombres en</w:t>
      </w:r>
      <w:r w:rsidR="000B4FD8" w:rsidRPr="006A0A3F">
        <w:rPr>
          <w:rFonts w:ascii="Verdana" w:hAnsi="Verdana"/>
          <w:sz w:val="20"/>
          <w:szCs w:val="20"/>
        </w:rPr>
        <w:t xml:space="preserve"> la llamada “lista </w:t>
      </w:r>
      <w:proofErr w:type="spellStart"/>
      <w:r w:rsidR="000B4FD8" w:rsidRPr="006A0A3F">
        <w:rPr>
          <w:rFonts w:ascii="Verdana" w:hAnsi="Verdana"/>
          <w:sz w:val="20"/>
          <w:szCs w:val="20"/>
        </w:rPr>
        <w:t>Tascón</w:t>
      </w:r>
      <w:proofErr w:type="spellEnd"/>
      <w:r w:rsidR="000B4FD8" w:rsidRPr="006A0A3F">
        <w:rPr>
          <w:rFonts w:ascii="Verdana" w:hAnsi="Verdana"/>
          <w:sz w:val="20"/>
          <w:szCs w:val="20"/>
        </w:rPr>
        <w:t xml:space="preserve">”. </w:t>
      </w:r>
      <w:r w:rsidR="00B64C2F" w:rsidRPr="006A0A3F">
        <w:rPr>
          <w:rFonts w:ascii="Verdana" w:hAnsi="Verdana"/>
          <w:sz w:val="20"/>
          <w:szCs w:val="20"/>
        </w:rPr>
        <w:t>Las pres</w:t>
      </w:r>
      <w:r w:rsidR="00161D0F">
        <w:rPr>
          <w:rFonts w:ascii="Verdana" w:hAnsi="Verdana"/>
          <w:sz w:val="20"/>
          <w:szCs w:val="20"/>
        </w:rPr>
        <w:t xml:space="preserve">untas víctimas interpusieron una acción </w:t>
      </w:r>
      <w:r w:rsidR="00B64C2F" w:rsidRPr="006A0A3F">
        <w:rPr>
          <w:rFonts w:ascii="Verdana" w:hAnsi="Verdana"/>
          <w:sz w:val="20"/>
          <w:szCs w:val="20"/>
        </w:rPr>
        <w:t>de amparo constitucional y denuncias ante el Ministerio Público y la Defensoría del Pue</w:t>
      </w:r>
      <w:r w:rsidR="006E1DE7">
        <w:rPr>
          <w:rFonts w:ascii="Verdana" w:hAnsi="Verdana"/>
          <w:sz w:val="20"/>
          <w:szCs w:val="20"/>
        </w:rPr>
        <w:t>blo, la</w:t>
      </w:r>
      <w:r w:rsidR="00B64C2F" w:rsidRPr="006A0A3F">
        <w:rPr>
          <w:rFonts w:ascii="Verdana" w:hAnsi="Verdana"/>
          <w:sz w:val="20"/>
          <w:szCs w:val="20"/>
        </w:rPr>
        <w:t>s cuales, según se alega, no habrían sido efectiv</w:t>
      </w:r>
      <w:r w:rsidR="006E1DE7">
        <w:rPr>
          <w:rFonts w:ascii="Verdana" w:hAnsi="Verdana"/>
          <w:sz w:val="20"/>
          <w:szCs w:val="20"/>
        </w:rPr>
        <w:t>a</w:t>
      </w:r>
      <w:r w:rsidR="00B64C2F" w:rsidRPr="006A0A3F">
        <w:rPr>
          <w:rFonts w:ascii="Verdana" w:hAnsi="Verdana"/>
          <w:sz w:val="20"/>
          <w:szCs w:val="20"/>
        </w:rPr>
        <w:t>s para declarar las violaciones de derechos y repararlas.</w:t>
      </w:r>
    </w:p>
    <w:p w14:paraId="571C4CC8" w14:textId="77777777" w:rsidR="009B4AD7" w:rsidRPr="006A0A3F" w:rsidRDefault="009B4AD7" w:rsidP="000112DE">
      <w:pPr>
        <w:pBdr>
          <w:top w:val="nil"/>
        </w:pBdr>
        <w:spacing w:after="0" w:line="240" w:lineRule="auto"/>
        <w:jc w:val="both"/>
        <w:rPr>
          <w:rFonts w:ascii="Verdana" w:hAnsi="Verdana"/>
          <w:sz w:val="20"/>
          <w:szCs w:val="20"/>
        </w:rPr>
      </w:pPr>
    </w:p>
    <w:p w14:paraId="78E20B93" w14:textId="1E4586E5" w:rsidR="000E2EE7" w:rsidRPr="006A0A3F" w:rsidRDefault="00C04669" w:rsidP="000112D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w:t>
      </w:r>
      <w:r w:rsidR="000E2EE7" w:rsidRPr="006A0A3F">
        <w:rPr>
          <w:rFonts w:ascii="Verdana" w:hAnsi="Verdana"/>
          <w:sz w:val="20"/>
          <w:szCs w:val="20"/>
        </w:rPr>
        <w:t>a Comisión consideró que el caso debía analizarse conjuntamente bajo los artículos 13, 23,</w:t>
      </w:r>
      <w:r w:rsidRPr="006A0A3F">
        <w:rPr>
          <w:rFonts w:ascii="Verdana" w:hAnsi="Verdana"/>
          <w:sz w:val="20"/>
          <w:szCs w:val="20"/>
        </w:rPr>
        <w:t xml:space="preserve"> 24, </w:t>
      </w:r>
      <w:r w:rsidR="000E2EE7" w:rsidRPr="006A0A3F">
        <w:rPr>
          <w:rFonts w:ascii="Verdana" w:hAnsi="Verdana"/>
          <w:sz w:val="20"/>
          <w:szCs w:val="20"/>
        </w:rPr>
        <w:t>1.1</w:t>
      </w:r>
      <w:r w:rsidRPr="006A0A3F">
        <w:rPr>
          <w:rFonts w:ascii="Verdana" w:hAnsi="Verdana"/>
          <w:sz w:val="20"/>
          <w:szCs w:val="20"/>
        </w:rPr>
        <w:t xml:space="preserve"> y 2</w:t>
      </w:r>
      <w:r w:rsidR="000E2EE7" w:rsidRPr="006A0A3F">
        <w:rPr>
          <w:rFonts w:ascii="Verdana" w:hAnsi="Verdana"/>
          <w:sz w:val="20"/>
          <w:szCs w:val="20"/>
        </w:rPr>
        <w:t xml:space="preserve"> de la Convención</w:t>
      </w:r>
      <w:r w:rsidR="00B64C2F" w:rsidRPr="006A0A3F">
        <w:rPr>
          <w:rFonts w:ascii="Verdana" w:hAnsi="Verdana"/>
          <w:sz w:val="20"/>
          <w:szCs w:val="20"/>
        </w:rPr>
        <w:t>, por un lado, y bajo los artículos 8.1 y 25 de la misma, por otro</w:t>
      </w:r>
      <w:r w:rsidR="000E2EE7" w:rsidRPr="006A0A3F">
        <w:rPr>
          <w:rFonts w:ascii="Verdana" w:hAnsi="Verdana"/>
          <w:sz w:val="20"/>
          <w:szCs w:val="20"/>
        </w:rPr>
        <w:t xml:space="preserve">. El representante lo </w:t>
      </w:r>
      <w:r w:rsidR="00171647" w:rsidRPr="006A0A3F">
        <w:rPr>
          <w:rFonts w:ascii="Verdana" w:hAnsi="Verdana"/>
          <w:sz w:val="20"/>
          <w:szCs w:val="20"/>
        </w:rPr>
        <w:t>planteó</w:t>
      </w:r>
      <w:r w:rsidR="000E2EE7" w:rsidRPr="006A0A3F">
        <w:rPr>
          <w:rFonts w:ascii="Verdana" w:hAnsi="Verdana"/>
          <w:sz w:val="20"/>
          <w:szCs w:val="20"/>
        </w:rPr>
        <w:t xml:space="preserve"> en similares términos</w:t>
      </w:r>
      <w:r w:rsidR="000112DE" w:rsidRPr="006A0A3F">
        <w:rPr>
          <w:rFonts w:ascii="Verdana" w:hAnsi="Verdana"/>
          <w:sz w:val="20"/>
          <w:szCs w:val="20"/>
        </w:rPr>
        <w:t>, además de alegar una violación a un “derecho de todos los ciudadanos a tener acceso, en condiciones de igualdad, a las funciones públicas de su país”, que entiende contemplado en el artículo 23.1.c) de la Convención</w:t>
      </w:r>
      <w:r w:rsidR="00B64C2F" w:rsidRPr="006A0A3F">
        <w:rPr>
          <w:rFonts w:ascii="Verdana" w:hAnsi="Verdana"/>
          <w:sz w:val="20"/>
          <w:szCs w:val="20"/>
        </w:rPr>
        <w:t>, así como</w:t>
      </w:r>
      <w:r w:rsidR="00171647" w:rsidRPr="006A0A3F">
        <w:rPr>
          <w:rFonts w:ascii="Verdana" w:hAnsi="Verdana"/>
          <w:sz w:val="20"/>
          <w:szCs w:val="20"/>
        </w:rPr>
        <w:t xml:space="preserve"> </w:t>
      </w:r>
      <w:r w:rsidRPr="006A0A3F">
        <w:rPr>
          <w:rFonts w:ascii="Verdana" w:hAnsi="Verdana"/>
          <w:sz w:val="20"/>
          <w:szCs w:val="20"/>
        </w:rPr>
        <w:t>violaciones del derecho a la integridad personal</w:t>
      </w:r>
      <w:r w:rsidR="00017EF6" w:rsidRPr="006A0A3F">
        <w:rPr>
          <w:rFonts w:ascii="Verdana" w:hAnsi="Verdana"/>
          <w:sz w:val="20"/>
          <w:szCs w:val="20"/>
        </w:rPr>
        <w:t>, en los términos de los</w:t>
      </w:r>
      <w:r w:rsidR="00475DD3" w:rsidRPr="006A0A3F">
        <w:rPr>
          <w:rFonts w:ascii="Verdana" w:hAnsi="Verdana"/>
          <w:sz w:val="20"/>
          <w:szCs w:val="20"/>
        </w:rPr>
        <w:t xml:space="preserve"> artículo</w:t>
      </w:r>
      <w:r w:rsidR="00017EF6" w:rsidRPr="006A0A3F">
        <w:rPr>
          <w:rFonts w:ascii="Verdana" w:hAnsi="Verdana"/>
          <w:sz w:val="20"/>
          <w:szCs w:val="20"/>
        </w:rPr>
        <w:t>s 5.1 y</w:t>
      </w:r>
      <w:r w:rsidR="00475DD3" w:rsidRPr="006A0A3F">
        <w:rPr>
          <w:rFonts w:ascii="Verdana" w:hAnsi="Verdana"/>
          <w:sz w:val="20"/>
          <w:szCs w:val="20"/>
        </w:rPr>
        <w:t xml:space="preserve"> 5.2 de la misma</w:t>
      </w:r>
      <w:r w:rsidRPr="006A0A3F">
        <w:rPr>
          <w:rFonts w:ascii="Verdana" w:hAnsi="Verdana"/>
          <w:sz w:val="20"/>
          <w:szCs w:val="20"/>
        </w:rPr>
        <w:t xml:space="preserve">. </w:t>
      </w:r>
      <w:r w:rsidR="008140C0" w:rsidRPr="006A0A3F">
        <w:rPr>
          <w:rFonts w:ascii="Verdana" w:hAnsi="Verdana"/>
          <w:sz w:val="20"/>
          <w:szCs w:val="20"/>
        </w:rPr>
        <w:t>El Estado alegó que no tiene responsabilidad alguna en relación con los hechos.</w:t>
      </w:r>
      <w:r w:rsidR="000112DE" w:rsidRPr="006A0A3F">
        <w:rPr>
          <w:rFonts w:ascii="Verdana" w:hAnsi="Verdana"/>
          <w:sz w:val="20"/>
          <w:szCs w:val="20"/>
        </w:rPr>
        <w:t xml:space="preserve"> </w:t>
      </w:r>
    </w:p>
    <w:p w14:paraId="2767DDC0" w14:textId="77777777" w:rsidR="000E2EE7" w:rsidRPr="006A0A3F" w:rsidRDefault="000E2EE7" w:rsidP="000112DE">
      <w:pPr>
        <w:pBdr>
          <w:top w:val="nil"/>
        </w:pBdr>
        <w:spacing w:after="0" w:line="240" w:lineRule="auto"/>
        <w:jc w:val="both"/>
        <w:rPr>
          <w:rFonts w:ascii="Verdana" w:hAnsi="Verdana"/>
          <w:sz w:val="20"/>
          <w:szCs w:val="20"/>
        </w:rPr>
      </w:pPr>
    </w:p>
    <w:p w14:paraId="7F19DA38" w14:textId="76738278" w:rsidR="00093356" w:rsidRPr="006A0A3F" w:rsidRDefault="00B64C2F" w:rsidP="000112D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w:t>
      </w:r>
      <w:r w:rsidR="00C04669" w:rsidRPr="006A0A3F">
        <w:rPr>
          <w:rFonts w:ascii="Verdana" w:hAnsi="Verdana"/>
          <w:sz w:val="20"/>
          <w:szCs w:val="20"/>
        </w:rPr>
        <w:t xml:space="preserve">a Corte considera pertinente </w:t>
      </w:r>
      <w:r w:rsidR="00093356" w:rsidRPr="006A0A3F">
        <w:rPr>
          <w:rFonts w:ascii="Verdana" w:hAnsi="Verdana"/>
          <w:sz w:val="20"/>
          <w:szCs w:val="20"/>
        </w:rPr>
        <w:t>analizar las alegadas viola</w:t>
      </w:r>
      <w:r w:rsidR="00C04669" w:rsidRPr="006A0A3F">
        <w:rPr>
          <w:rFonts w:ascii="Verdana" w:hAnsi="Verdana"/>
          <w:sz w:val="20"/>
          <w:szCs w:val="20"/>
        </w:rPr>
        <w:t xml:space="preserve">ciones </w:t>
      </w:r>
      <w:r w:rsidRPr="006A0A3F">
        <w:rPr>
          <w:rFonts w:ascii="Verdana" w:hAnsi="Verdana"/>
          <w:sz w:val="20"/>
          <w:szCs w:val="20"/>
        </w:rPr>
        <w:t xml:space="preserve">a la Convención </w:t>
      </w:r>
      <w:r w:rsidR="00C04669" w:rsidRPr="006A0A3F">
        <w:rPr>
          <w:rFonts w:ascii="Verdana" w:hAnsi="Verdana"/>
          <w:sz w:val="20"/>
          <w:szCs w:val="20"/>
        </w:rPr>
        <w:t>en el siguiente orden: 1</w:t>
      </w:r>
      <w:r w:rsidR="00093356" w:rsidRPr="006A0A3F">
        <w:rPr>
          <w:rFonts w:ascii="Verdana" w:hAnsi="Verdana"/>
          <w:sz w:val="20"/>
          <w:szCs w:val="20"/>
        </w:rPr>
        <w:t>)</w:t>
      </w:r>
      <w:r w:rsidR="00C04669" w:rsidRPr="006A0A3F">
        <w:rPr>
          <w:rFonts w:ascii="Verdana" w:hAnsi="Verdana"/>
          <w:sz w:val="20"/>
          <w:szCs w:val="20"/>
        </w:rPr>
        <w:t xml:space="preserve"> derechos políticos</w:t>
      </w:r>
      <w:r w:rsidR="009F6D23" w:rsidRPr="006A0A3F">
        <w:rPr>
          <w:rFonts w:ascii="Verdana" w:hAnsi="Verdana"/>
          <w:sz w:val="20"/>
          <w:szCs w:val="20"/>
        </w:rPr>
        <w:t xml:space="preserve"> y principio de no discriminación</w:t>
      </w:r>
      <w:r w:rsidR="00EE0E1A" w:rsidRPr="006A0A3F">
        <w:rPr>
          <w:rFonts w:ascii="Verdana" w:hAnsi="Verdana"/>
          <w:sz w:val="20"/>
          <w:szCs w:val="20"/>
        </w:rPr>
        <w:t>,</w:t>
      </w:r>
      <w:r w:rsidR="00C04669" w:rsidRPr="006A0A3F">
        <w:rPr>
          <w:rFonts w:ascii="Verdana" w:hAnsi="Verdana"/>
          <w:sz w:val="20"/>
          <w:szCs w:val="20"/>
        </w:rPr>
        <w:t xml:space="preserve"> libertad de expresión</w:t>
      </w:r>
      <w:r w:rsidR="009F6D23" w:rsidRPr="006A0A3F">
        <w:rPr>
          <w:rFonts w:ascii="Verdana" w:hAnsi="Verdana"/>
          <w:sz w:val="20"/>
          <w:szCs w:val="20"/>
        </w:rPr>
        <w:t>,</w:t>
      </w:r>
      <w:r w:rsidR="00C04669" w:rsidRPr="006A0A3F">
        <w:rPr>
          <w:rFonts w:ascii="Verdana" w:hAnsi="Verdana"/>
          <w:sz w:val="20"/>
          <w:szCs w:val="20"/>
        </w:rPr>
        <w:t xml:space="preserve"> derecho a</w:t>
      </w:r>
      <w:r w:rsidR="00A61675" w:rsidRPr="006A0A3F">
        <w:rPr>
          <w:rFonts w:ascii="Verdana" w:hAnsi="Verdana"/>
          <w:sz w:val="20"/>
          <w:szCs w:val="20"/>
        </w:rPr>
        <w:t xml:space="preserve"> la</w:t>
      </w:r>
      <w:r w:rsidR="00C04669" w:rsidRPr="006A0A3F">
        <w:rPr>
          <w:rFonts w:ascii="Verdana" w:hAnsi="Verdana"/>
          <w:sz w:val="20"/>
          <w:szCs w:val="20"/>
        </w:rPr>
        <w:t xml:space="preserve"> igualdad </w:t>
      </w:r>
      <w:r w:rsidR="009F6D23" w:rsidRPr="006A0A3F">
        <w:rPr>
          <w:rFonts w:ascii="Verdana" w:hAnsi="Verdana"/>
          <w:sz w:val="20"/>
          <w:szCs w:val="20"/>
        </w:rPr>
        <w:t>ante la ley y derecho a la integridad personal</w:t>
      </w:r>
      <w:r w:rsidR="00AD1705">
        <w:rPr>
          <w:rFonts w:ascii="Verdana" w:hAnsi="Verdana"/>
          <w:sz w:val="20"/>
          <w:szCs w:val="20"/>
        </w:rPr>
        <w:t>;</w:t>
      </w:r>
      <w:r w:rsidR="009F6D23" w:rsidRPr="006A0A3F">
        <w:rPr>
          <w:rFonts w:ascii="Verdana" w:hAnsi="Verdana"/>
          <w:sz w:val="20"/>
          <w:szCs w:val="20"/>
        </w:rPr>
        <w:t xml:space="preserve"> </w:t>
      </w:r>
      <w:r w:rsidR="00EE0E1A" w:rsidRPr="006A0A3F">
        <w:rPr>
          <w:rFonts w:ascii="Verdana" w:hAnsi="Verdana"/>
          <w:sz w:val="20"/>
          <w:szCs w:val="20"/>
        </w:rPr>
        <w:t>2</w:t>
      </w:r>
      <w:r w:rsidR="00C04669" w:rsidRPr="006A0A3F">
        <w:rPr>
          <w:rFonts w:ascii="Verdana" w:hAnsi="Verdana"/>
          <w:sz w:val="20"/>
          <w:szCs w:val="20"/>
        </w:rPr>
        <w:t>) derechos a las garantías judiciales y protección judicial</w:t>
      </w:r>
      <w:r w:rsidR="00AD1705">
        <w:rPr>
          <w:rFonts w:ascii="Verdana" w:hAnsi="Verdana"/>
          <w:sz w:val="20"/>
          <w:szCs w:val="20"/>
        </w:rPr>
        <w:t xml:space="preserve">; y además, por principio </w:t>
      </w:r>
      <w:proofErr w:type="spellStart"/>
      <w:r w:rsidR="00AD1705">
        <w:rPr>
          <w:rFonts w:ascii="Verdana" w:hAnsi="Verdana"/>
          <w:i/>
          <w:sz w:val="20"/>
          <w:szCs w:val="20"/>
        </w:rPr>
        <w:t>iura</w:t>
      </w:r>
      <w:proofErr w:type="spellEnd"/>
      <w:r w:rsidR="00AD1705">
        <w:rPr>
          <w:rFonts w:ascii="Verdana" w:hAnsi="Verdana"/>
          <w:i/>
          <w:sz w:val="20"/>
          <w:szCs w:val="20"/>
        </w:rPr>
        <w:t xml:space="preserve"> </w:t>
      </w:r>
      <w:proofErr w:type="spellStart"/>
      <w:r w:rsidR="00AD1705">
        <w:rPr>
          <w:rFonts w:ascii="Verdana" w:hAnsi="Verdana"/>
          <w:i/>
          <w:sz w:val="20"/>
          <w:szCs w:val="20"/>
        </w:rPr>
        <w:t>novit</w:t>
      </w:r>
      <w:proofErr w:type="spellEnd"/>
      <w:r w:rsidR="00AD1705">
        <w:rPr>
          <w:rFonts w:ascii="Verdana" w:hAnsi="Verdana"/>
          <w:i/>
          <w:sz w:val="20"/>
          <w:szCs w:val="20"/>
        </w:rPr>
        <w:t xml:space="preserve"> curia</w:t>
      </w:r>
      <w:r w:rsidR="00AD1705">
        <w:rPr>
          <w:rFonts w:ascii="Verdana" w:hAnsi="Verdana"/>
          <w:sz w:val="20"/>
          <w:szCs w:val="20"/>
        </w:rPr>
        <w:t>, 3) el derecho al trabajo</w:t>
      </w:r>
      <w:r w:rsidR="009B0103" w:rsidRPr="006A0A3F">
        <w:rPr>
          <w:rFonts w:ascii="Verdana" w:hAnsi="Verdana"/>
          <w:sz w:val="20"/>
          <w:szCs w:val="20"/>
        </w:rPr>
        <w:t>.</w:t>
      </w:r>
    </w:p>
    <w:p w14:paraId="3C6A0D83" w14:textId="77777777" w:rsidR="00093356" w:rsidRPr="006A0A3F" w:rsidRDefault="00093356" w:rsidP="009B4AD7">
      <w:pPr>
        <w:spacing w:after="0" w:line="240" w:lineRule="auto"/>
        <w:jc w:val="both"/>
        <w:rPr>
          <w:rFonts w:ascii="Verdana" w:eastAsia="Times New Roman" w:hAnsi="Verdana" w:cs="Times New Roman"/>
          <w:sz w:val="20"/>
          <w:szCs w:val="20"/>
          <w:lang w:eastAsia="es-ES"/>
        </w:rPr>
      </w:pPr>
    </w:p>
    <w:p w14:paraId="44B3C750" w14:textId="77777777" w:rsidR="004054C5" w:rsidRPr="006A0A3F" w:rsidRDefault="004054C5" w:rsidP="009B4AD7">
      <w:pPr>
        <w:spacing w:after="0" w:line="240" w:lineRule="auto"/>
        <w:jc w:val="both"/>
        <w:rPr>
          <w:rFonts w:ascii="Verdana" w:eastAsia="Times New Roman" w:hAnsi="Verdana" w:cs="Times New Roman"/>
          <w:sz w:val="20"/>
          <w:szCs w:val="20"/>
          <w:lang w:eastAsia="es-ES"/>
        </w:rPr>
      </w:pPr>
    </w:p>
    <w:p w14:paraId="73BA7A68" w14:textId="3A4B3624" w:rsidR="009B4AD7" w:rsidRPr="006A0A3F" w:rsidRDefault="009B4AD7" w:rsidP="009B4AD7">
      <w:pPr>
        <w:pStyle w:val="Heading1"/>
        <w:spacing w:before="0" w:after="0" w:line="240" w:lineRule="auto"/>
        <w:ind w:firstLine="4"/>
        <w:jc w:val="center"/>
        <w:rPr>
          <w:rFonts w:ascii="Verdana" w:hAnsi="Verdana" w:cs="Verdana"/>
          <w:caps/>
          <w:snapToGrid w:val="0"/>
          <w:sz w:val="20"/>
          <w:szCs w:val="20"/>
          <w:lang w:val="es-CR" w:eastAsia="es-ES"/>
        </w:rPr>
      </w:pPr>
      <w:bookmarkStart w:id="31" w:name="_Toc505876993"/>
      <w:r w:rsidRPr="006A0A3F">
        <w:rPr>
          <w:rFonts w:ascii="Verdana" w:hAnsi="Verdana" w:cs="Verdana"/>
          <w:caps/>
          <w:snapToGrid w:val="0"/>
          <w:sz w:val="20"/>
          <w:szCs w:val="20"/>
          <w:lang w:val="es-CR" w:eastAsia="es-ES"/>
        </w:rPr>
        <w:t>ViI.1</w:t>
      </w:r>
      <w:r w:rsidRPr="006A0A3F">
        <w:rPr>
          <w:rFonts w:ascii="Verdana" w:hAnsi="Verdana" w:cs="Verdana"/>
          <w:caps/>
          <w:snapToGrid w:val="0"/>
          <w:sz w:val="20"/>
          <w:szCs w:val="20"/>
          <w:lang w:val="es-CR" w:eastAsia="es-ES"/>
        </w:rPr>
        <w:br/>
      </w:r>
      <w:r w:rsidR="00E2059F" w:rsidRPr="006A0A3F">
        <w:rPr>
          <w:rFonts w:ascii="Verdana" w:hAnsi="Verdana" w:cs="Verdana"/>
          <w:caps/>
          <w:snapToGrid w:val="0"/>
          <w:sz w:val="20"/>
          <w:szCs w:val="20"/>
          <w:lang w:val="es-CR" w:eastAsia="es-ES"/>
        </w:rPr>
        <w:t>derechos políticos</w:t>
      </w:r>
      <w:r w:rsidR="00580289" w:rsidRPr="006A0A3F">
        <w:rPr>
          <w:rFonts w:ascii="Verdana" w:hAnsi="Verdana" w:cs="Verdana"/>
          <w:caps/>
          <w:snapToGrid w:val="0"/>
          <w:sz w:val="20"/>
          <w:szCs w:val="20"/>
          <w:lang w:val="es-CR" w:eastAsia="es-ES"/>
        </w:rPr>
        <w:t>,</w:t>
      </w:r>
      <w:r w:rsidRPr="006A0A3F">
        <w:rPr>
          <w:rFonts w:ascii="Verdana" w:hAnsi="Verdana" w:cs="Verdana"/>
          <w:caps/>
          <w:snapToGrid w:val="0"/>
          <w:sz w:val="20"/>
          <w:szCs w:val="20"/>
          <w:lang w:val="es-CR" w:eastAsia="es-ES"/>
        </w:rPr>
        <w:t xml:space="preserve"> </w:t>
      </w:r>
      <w:r w:rsidR="00731189" w:rsidRPr="006A0A3F">
        <w:rPr>
          <w:rFonts w:ascii="Verdana" w:hAnsi="Verdana" w:cs="Verdana"/>
          <w:caps/>
          <w:snapToGrid w:val="0"/>
          <w:sz w:val="20"/>
          <w:szCs w:val="20"/>
          <w:lang w:val="es-CR" w:eastAsia="es-ES"/>
        </w:rPr>
        <w:t>principio de no discriminación, Libertad de expresión y derecho</w:t>
      </w:r>
      <w:r w:rsidR="009F6D23" w:rsidRPr="006A0A3F">
        <w:rPr>
          <w:rFonts w:ascii="Verdana" w:hAnsi="Verdana" w:cs="Verdana"/>
          <w:caps/>
          <w:snapToGrid w:val="0"/>
          <w:sz w:val="20"/>
          <w:szCs w:val="20"/>
          <w:lang w:val="es-CR" w:eastAsia="es-ES"/>
        </w:rPr>
        <w:t>s</w:t>
      </w:r>
      <w:r w:rsidR="00731189" w:rsidRPr="006A0A3F">
        <w:rPr>
          <w:rFonts w:ascii="Verdana" w:hAnsi="Verdana" w:cs="Verdana"/>
          <w:caps/>
          <w:snapToGrid w:val="0"/>
          <w:sz w:val="20"/>
          <w:szCs w:val="20"/>
          <w:lang w:val="es-CR" w:eastAsia="es-ES"/>
        </w:rPr>
        <w:t xml:space="preserve"> a </w:t>
      </w:r>
      <w:r w:rsidR="00A61675" w:rsidRPr="006A0A3F">
        <w:rPr>
          <w:rFonts w:ascii="Verdana" w:hAnsi="Verdana" w:cs="Verdana"/>
          <w:caps/>
          <w:snapToGrid w:val="0"/>
          <w:sz w:val="20"/>
          <w:szCs w:val="20"/>
          <w:lang w:val="es-CR" w:eastAsia="es-ES"/>
        </w:rPr>
        <w:t xml:space="preserve">la </w:t>
      </w:r>
      <w:r w:rsidR="00731189" w:rsidRPr="006A0A3F">
        <w:rPr>
          <w:rFonts w:ascii="Verdana" w:hAnsi="Verdana" w:cs="Verdana"/>
          <w:caps/>
          <w:snapToGrid w:val="0"/>
          <w:sz w:val="20"/>
          <w:szCs w:val="20"/>
          <w:lang w:val="es-CR" w:eastAsia="es-ES"/>
        </w:rPr>
        <w:t>igual</w:t>
      </w:r>
      <w:r w:rsidR="009F6D23" w:rsidRPr="006A0A3F">
        <w:rPr>
          <w:rFonts w:ascii="Verdana" w:hAnsi="Verdana" w:cs="Verdana"/>
          <w:caps/>
          <w:snapToGrid w:val="0"/>
          <w:sz w:val="20"/>
          <w:szCs w:val="20"/>
          <w:lang w:val="es-CR" w:eastAsia="es-ES"/>
        </w:rPr>
        <w:t>dad</w:t>
      </w:r>
      <w:r w:rsidR="00731189" w:rsidRPr="006A0A3F">
        <w:rPr>
          <w:rFonts w:ascii="Verdana" w:hAnsi="Verdana" w:cs="Verdana"/>
          <w:caps/>
          <w:snapToGrid w:val="0"/>
          <w:sz w:val="20"/>
          <w:szCs w:val="20"/>
          <w:lang w:val="es-CR" w:eastAsia="es-ES"/>
        </w:rPr>
        <w:t xml:space="preserve"> ante la ley </w:t>
      </w:r>
      <w:r w:rsidR="009F6D23" w:rsidRPr="006A0A3F">
        <w:rPr>
          <w:rFonts w:ascii="Verdana" w:hAnsi="Verdana" w:cs="Verdana"/>
          <w:caps/>
          <w:snapToGrid w:val="0"/>
          <w:sz w:val="20"/>
          <w:szCs w:val="20"/>
          <w:lang w:val="es-CR" w:eastAsia="es-ES"/>
        </w:rPr>
        <w:t>y a la integridad personal</w:t>
      </w:r>
      <w:bookmarkEnd w:id="31"/>
    </w:p>
    <w:p w14:paraId="53F6DB3F" w14:textId="367EC637" w:rsidR="009B4AD7" w:rsidRPr="006A0A3F" w:rsidRDefault="009B4AD7" w:rsidP="009B4AD7">
      <w:pPr>
        <w:spacing w:after="0" w:line="240" w:lineRule="auto"/>
        <w:jc w:val="center"/>
        <w:rPr>
          <w:rFonts w:ascii="Times New Roman" w:hAnsi="Times New Roman" w:cs="Times New Roman"/>
          <w:sz w:val="24"/>
          <w:szCs w:val="24"/>
          <w:lang w:eastAsia="es-CR"/>
        </w:rPr>
      </w:pPr>
      <w:r w:rsidRPr="006A0A3F">
        <w:rPr>
          <w:rFonts w:ascii="Verdana" w:hAnsi="Verdana" w:cs="Verdana"/>
          <w:b/>
          <w:smallCaps/>
          <w:snapToGrid w:val="0"/>
          <w:sz w:val="20"/>
          <w:szCs w:val="20"/>
          <w:lang w:eastAsia="es-ES"/>
        </w:rPr>
        <w:t>(</w:t>
      </w:r>
      <w:r w:rsidRPr="006A0A3F">
        <w:rPr>
          <w:rFonts w:ascii="Verdana" w:hAnsi="Verdana" w:cs="Verdana"/>
          <w:b/>
          <w:snapToGrid w:val="0"/>
          <w:sz w:val="20"/>
          <w:szCs w:val="20"/>
          <w:lang w:eastAsia="es-ES"/>
        </w:rPr>
        <w:t xml:space="preserve">Artículos </w:t>
      </w:r>
      <w:r w:rsidRPr="006A0A3F">
        <w:rPr>
          <w:rFonts w:ascii="Verdana" w:hAnsi="Verdana"/>
          <w:b/>
          <w:sz w:val="20"/>
          <w:szCs w:val="20"/>
          <w:lang w:eastAsia="es-ES"/>
        </w:rPr>
        <w:t>1.1</w:t>
      </w:r>
      <w:r w:rsidRPr="006A0A3F">
        <w:rPr>
          <w:rStyle w:val="FootnoteReference"/>
          <w:rFonts w:ascii="Verdana" w:hAnsi="Verdana" w:cs="Tahoma"/>
          <w:sz w:val="20"/>
          <w:szCs w:val="20"/>
        </w:rPr>
        <w:footnoteReference w:id="168"/>
      </w:r>
      <w:r w:rsidRPr="006A0A3F">
        <w:rPr>
          <w:rFonts w:ascii="Verdana" w:hAnsi="Verdana"/>
          <w:b/>
          <w:sz w:val="20"/>
          <w:szCs w:val="20"/>
          <w:lang w:eastAsia="es-ES"/>
        </w:rPr>
        <w:t>,</w:t>
      </w:r>
      <w:r w:rsidR="00CD247E" w:rsidRPr="006A0A3F">
        <w:rPr>
          <w:rFonts w:ascii="Verdana" w:hAnsi="Verdana"/>
          <w:b/>
          <w:sz w:val="20"/>
          <w:szCs w:val="20"/>
          <w:lang w:eastAsia="es-ES"/>
        </w:rPr>
        <w:t>2</w:t>
      </w:r>
      <w:r w:rsidR="00CD247E" w:rsidRPr="006A0A3F">
        <w:rPr>
          <w:rStyle w:val="FootnoteReference"/>
          <w:rFonts w:ascii="Verdana" w:hAnsi="Verdana"/>
          <w:sz w:val="20"/>
          <w:szCs w:val="20"/>
          <w:lang w:eastAsia="es-ES"/>
        </w:rPr>
        <w:footnoteReference w:id="169"/>
      </w:r>
      <w:r w:rsidR="00CD247E" w:rsidRPr="006A0A3F">
        <w:rPr>
          <w:rFonts w:ascii="Verdana" w:hAnsi="Verdana"/>
          <w:b/>
          <w:sz w:val="20"/>
          <w:szCs w:val="20"/>
          <w:lang w:eastAsia="es-ES"/>
        </w:rPr>
        <w:t>,</w:t>
      </w:r>
      <w:r w:rsidRPr="006A0A3F">
        <w:rPr>
          <w:rFonts w:ascii="Verdana" w:hAnsi="Verdana"/>
          <w:b/>
          <w:sz w:val="20"/>
          <w:szCs w:val="20"/>
          <w:lang w:eastAsia="es-ES"/>
        </w:rPr>
        <w:t xml:space="preserve"> 23</w:t>
      </w:r>
      <w:r w:rsidRPr="006A0A3F">
        <w:rPr>
          <w:rStyle w:val="FootnoteReference"/>
          <w:rFonts w:ascii="Verdana" w:hAnsi="Verdana"/>
          <w:sz w:val="20"/>
          <w:szCs w:val="20"/>
        </w:rPr>
        <w:footnoteReference w:id="170"/>
      </w:r>
      <w:r w:rsidRPr="006A0A3F">
        <w:rPr>
          <w:rFonts w:ascii="Verdana" w:hAnsi="Verdana"/>
          <w:b/>
          <w:sz w:val="20"/>
          <w:szCs w:val="20"/>
          <w:lang w:eastAsia="es-ES"/>
        </w:rPr>
        <w:t>, 13</w:t>
      </w:r>
      <w:r w:rsidR="00A7276C" w:rsidRPr="006A0A3F">
        <w:rPr>
          <w:rStyle w:val="FootnoteReference"/>
          <w:rFonts w:ascii="Verdana" w:hAnsi="Verdana"/>
          <w:sz w:val="20"/>
          <w:szCs w:val="20"/>
          <w:lang w:eastAsia="es-ES"/>
        </w:rPr>
        <w:footnoteReference w:id="171"/>
      </w:r>
      <w:r w:rsidR="000B31AC" w:rsidRPr="006A0A3F">
        <w:rPr>
          <w:rFonts w:ascii="Verdana" w:hAnsi="Verdana"/>
          <w:b/>
          <w:sz w:val="20"/>
          <w:szCs w:val="20"/>
          <w:lang w:eastAsia="es-ES"/>
        </w:rPr>
        <w:t>,</w:t>
      </w:r>
      <w:r w:rsidRPr="006A0A3F">
        <w:rPr>
          <w:rFonts w:ascii="Verdana" w:hAnsi="Verdana"/>
          <w:b/>
          <w:sz w:val="20"/>
          <w:szCs w:val="20"/>
          <w:lang w:eastAsia="es-ES"/>
        </w:rPr>
        <w:t xml:space="preserve"> 24</w:t>
      </w:r>
      <w:r w:rsidRPr="006A0A3F">
        <w:rPr>
          <w:rStyle w:val="FootnoteReference"/>
          <w:rFonts w:ascii="Verdana" w:hAnsi="Verdana"/>
          <w:sz w:val="20"/>
          <w:szCs w:val="20"/>
        </w:rPr>
        <w:footnoteReference w:id="172"/>
      </w:r>
      <w:r w:rsidRPr="006A0A3F">
        <w:rPr>
          <w:rFonts w:ascii="Verdana" w:hAnsi="Verdana"/>
          <w:b/>
          <w:sz w:val="20"/>
          <w:szCs w:val="20"/>
          <w:lang w:eastAsia="es-ES"/>
        </w:rPr>
        <w:t xml:space="preserve"> </w:t>
      </w:r>
      <w:r w:rsidR="009F6D23" w:rsidRPr="006A0A3F">
        <w:rPr>
          <w:rFonts w:ascii="Verdana" w:hAnsi="Verdana"/>
          <w:b/>
          <w:sz w:val="20"/>
          <w:szCs w:val="20"/>
          <w:lang w:eastAsia="es-ES"/>
        </w:rPr>
        <w:t xml:space="preserve">y </w:t>
      </w:r>
      <w:r w:rsidR="00F54043" w:rsidRPr="006A0A3F">
        <w:rPr>
          <w:rFonts w:ascii="Verdana" w:hAnsi="Verdana" w:cs="Verdana"/>
          <w:b/>
          <w:snapToGrid w:val="0"/>
          <w:sz w:val="20"/>
          <w:szCs w:val="20"/>
          <w:lang w:eastAsia="es-ES"/>
        </w:rPr>
        <w:t>5</w:t>
      </w:r>
      <w:r w:rsidR="009F6D23" w:rsidRPr="006A0A3F">
        <w:rPr>
          <w:rStyle w:val="FootnoteReference"/>
          <w:rFonts w:ascii="Verdana" w:hAnsi="Verdana"/>
          <w:sz w:val="20"/>
          <w:szCs w:val="20"/>
        </w:rPr>
        <w:footnoteReference w:id="173"/>
      </w:r>
      <w:r w:rsidR="009F6D23" w:rsidRPr="006A0A3F">
        <w:rPr>
          <w:rFonts w:ascii="Verdana" w:hAnsi="Verdana"/>
          <w:b/>
          <w:sz w:val="20"/>
          <w:szCs w:val="20"/>
          <w:lang w:eastAsia="es-ES"/>
        </w:rPr>
        <w:t xml:space="preserve"> </w:t>
      </w:r>
      <w:r w:rsidRPr="006A0A3F">
        <w:rPr>
          <w:rFonts w:ascii="Verdana" w:hAnsi="Verdana"/>
          <w:b/>
          <w:sz w:val="20"/>
          <w:szCs w:val="20"/>
          <w:lang w:eastAsia="es-ES"/>
        </w:rPr>
        <w:t>de la Convención Americana)</w:t>
      </w:r>
    </w:p>
    <w:p w14:paraId="112A7BA3" w14:textId="77777777" w:rsidR="00093356" w:rsidRPr="006A0A3F" w:rsidRDefault="00093356" w:rsidP="00093356">
      <w:pPr>
        <w:pStyle w:val="ListParagraph"/>
        <w:ind w:left="0"/>
        <w:jc w:val="both"/>
        <w:rPr>
          <w:rFonts w:ascii="Verdana" w:hAnsi="Verdana"/>
          <w:sz w:val="20"/>
          <w:lang w:val="es-CR"/>
        </w:rPr>
      </w:pPr>
    </w:p>
    <w:p w14:paraId="25D5D337" w14:textId="77777777" w:rsidR="00093356" w:rsidRPr="006A0A3F" w:rsidRDefault="00093356" w:rsidP="00093356">
      <w:pPr>
        <w:suppressAutoHyphens/>
        <w:spacing w:after="0" w:line="240" w:lineRule="auto"/>
        <w:ind w:left="708"/>
        <w:jc w:val="both"/>
        <w:rPr>
          <w:rFonts w:ascii="Verdana" w:eastAsia="Times New Roman" w:hAnsi="Verdana" w:cs="Tahoma"/>
          <w:b/>
          <w:i/>
          <w:sz w:val="20"/>
          <w:szCs w:val="20"/>
        </w:rPr>
      </w:pPr>
      <w:r w:rsidRPr="006A0A3F">
        <w:rPr>
          <w:rFonts w:ascii="Verdana" w:eastAsia="Times New Roman" w:hAnsi="Verdana" w:cs="Tahoma"/>
          <w:b/>
          <w:i/>
          <w:sz w:val="20"/>
          <w:szCs w:val="20"/>
        </w:rPr>
        <w:t>Alegatos de la partes y de la Comisión</w:t>
      </w:r>
    </w:p>
    <w:p w14:paraId="1714A4E6" w14:textId="77777777" w:rsidR="00093356" w:rsidRPr="006A0A3F" w:rsidRDefault="00093356" w:rsidP="00EE0E1A">
      <w:pPr>
        <w:pBdr>
          <w:top w:val="nil"/>
        </w:pBdr>
        <w:spacing w:after="0" w:line="240" w:lineRule="auto"/>
        <w:jc w:val="both"/>
        <w:rPr>
          <w:rFonts w:ascii="Verdana" w:hAnsi="Verdana"/>
          <w:sz w:val="20"/>
          <w:szCs w:val="20"/>
        </w:rPr>
      </w:pPr>
    </w:p>
    <w:p w14:paraId="0824C9E0" w14:textId="0DB89A2C" w:rsidR="00EE0E1A" w:rsidRPr="006A0A3F" w:rsidRDefault="00EE0E1A" w:rsidP="0028470A">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La </w:t>
      </w:r>
      <w:r w:rsidRPr="006A0A3F">
        <w:rPr>
          <w:rFonts w:ascii="Verdana" w:hAnsi="Verdana"/>
          <w:b/>
          <w:sz w:val="20"/>
          <w:szCs w:val="20"/>
        </w:rPr>
        <w:t>Comisión</w:t>
      </w:r>
      <w:r w:rsidRPr="006A0A3F">
        <w:rPr>
          <w:rFonts w:ascii="Verdana" w:hAnsi="Verdana"/>
          <w:sz w:val="20"/>
          <w:szCs w:val="20"/>
        </w:rPr>
        <w:t xml:space="preserve"> estimó que la firma a favor de la convocatoria de un mecanismo de participación política, como </w:t>
      </w:r>
      <w:r w:rsidR="006E1DE7">
        <w:rPr>
          <w:rFonts w:ascii="Verdana" w:hAnsi="Verdana"/>
          <w:sz w:val="20"/>
          <w:szCs w:val="20"/>
        </w:rPr>
        <w:t xml:space="preserve">un </w:t>
      </w:r>
      <w:r w:rsidRPr="006A0A3F">
        <w:rPr>
          <w:rFonts w:ascii="Verdana" w:hAnsi="Verdana"/>
          <w:sz w:val="20"/>
          <w:szCs w:val="20"/>
        </w:rPr>
        <w:t xml:space="preserve">referendo revocatorio presidencial, constituía tanto el ejercicio de los derechos políticos en los términos del artículo 23 de la Convención, como una expresión de la opinión política de las tres presuntas víctimas, protegida a su vez por el artículo 13 de la Convención y por </w:t>
      </w:r>
      <w:r w:rsidR="000915D8" w:rsidRPr="006A0A3F">
        <w:rPr>
          <w:rFonts w:ascii="Verdana" w:hAnsi="Verdana"/>
          <w:sz w:val="20"/>
          <w:szCs w:val="20"/>
        </w:rPr>
        <w:t>los artículos</w:t>
      </w:r>
      <w:r w:rsidRPr="006A0A3F">
        <w:rPr>
          <w:rFonts w:ascii="Verdana" w:hAnsi="Verdana"/>
          <w:sz w:val="20"/>
          <w:szCs w:val="20"/>
        </w:rPr>
        <w:t xml:space="preserve"> 1.1 </w:t>
      </w:r>
      <w:r w:rsidR="000915D8" w:rsidRPr="006A0A3F">
        <w:rPr>
          <w:rFonts w:ascii="Verdana" w:hAnsi="Verdana"/>
          <w:sz w:val="20"/>
          <w:szCs w:val="20"/>
        </w:rPr>
        <w:t xml:space="preserve">y 24 </w:t>
      </w:r>
      <w:r w:rsidRPr="006A0A3F">
        <w:rPr>
          <w:rFonts w:ascii="Verdana" w:hAnsi="Verdana"/>
          <w:sz w:val="20"/>
          <w:szCs w:val="20"/>
        </w:rPr>
        <w:t>del mismo instrumento como categoría prohibida de discriminación. En consecuencia, el Estado debía garantizar que dicha opinión política fuera expresada en condiciones que protegieran el ejercicio libre y sin temor a represalias de los derechos políticos y debía abstenerse de adoptar medidas respecto de ellas con base en su opinión política sin justificación alguna y de sancionar indirectamente dicha expresión.</w:t>
      </w:r>
      <w:r w:rsidR="0028470A" w:rsidRPr="006A0A3F">
        <w:rPr>
          <w:rFonts w:ascii="Verdana" w:hAnsi="Verdana"/>
          <w:sz w:val="20"/>
          <w:szCs w:val="20"/>
        </w:rPr>
        <w:t xml:space="preserve"> </w:t>
      </w:r>
      <w:r w:rsidR="008421D1" w:rsidRPr="006A0A3F">
        <w:rPr>
          <w:rFonts w:ascii="Verdana" w:hAnsi="Verdana"/>
          <w:sz w:val="20"/>
          <w:szCs w:val="20"/>
        </w:rPr>
        <w:t>La Comisión consideró que la motivación declarada por el Estado respecto de la terminación del contrato no correspondía a la motivación real de dicho acto, que entendió fue la opinión política expresada mediante dicha firma</w:t>
      </w:r>
      <w:r w:rsidR="0028470A" w:rsidRPr="006A0A3F">
        <w:rPr>
          <w:rFonts w:ascii="Verdana" w:hAnsi="Verdana"/>
          <w:sz w:val="20"/>
          <w:szCs w:val="20"/>
        </w:rPr>
        <w:t>. C</w:t>
      </w:r>
      <w:r w:rsidRPr="006A0A3F">
        <w:rPr>
          <w:rFonts w:ascii="Verdana" w:hAnsi="Verdana"/>
          <w:sz w:val="20"/>
          <w:szCs w:val="20"/>
        </w:rPr>
        <w:t xml:space="preserve">onsideró, con base en </w:t>
      </w:r>
      <w:r w:rsidR="0028470A" w:rsidRPr="006A0A3F">
        <w:rPr>
          <w:rFonts w:ascii="Verdana" w:hAnsi="Verdana"/>
          <w:sz w:val="20"/>
          <w:szCs w:val="20"/>
        </w:rPr>
        <w:t>una serie de</w:t>
      </w:r>
      <w:r w:rsidRPr="006A0A3F">
        <w:rPr>
          <w:rFonts w:ascii="Verdana" w:hAnsi="Verdana"/>
          <w:sz w:val="20"/>
          <w:szCs w:val="20"/>
        </w:rPr>
        <w:t xml:space="preserve"> elementos</w:t>
      </w:r>
      <w:r w:rsidR="0028470A" w:rsidRPr="006A0A3F">
        <w:rPr>
          <w:rFonts w:ascii="Verdana" w:hAnsi="Verdana"/>
          <w:sz w:val="20"/>
          <w:szCs w:val="20"/>
        </w:rPr>
        <w:t xml:space="preserve"> o pruebas indiciarias, circunstanciales o “presuntivas”</w:t>
      </w:r>
      <w:r w:rsidR="0028470A" w:rsidRPr="006A0A3F">
        <w:rPr>
          <w:rStyle w:val="FootnoteReference"/>
          <w:rFonts w:ascii="Verdana" w:hAnsi="Verdana"/>
          <w:sz w:val="20"/>
          <w:szCs w:val="20"/>
        </w:rPr>
        <w:footnoteReference w:id="174"/>
      </w:r>
      <w:r w:rsidRPr="006A0A3F">
        <w:rPr>
          <w:rFonts w:ascii="Verdana" w:hAnsi="Verdana"/>
          <w:sz w:val="20"/>
          <w:szCs w:val="20"/>
        </w:rPr>
        <w:t>, que la terminación de los contratos constituyó un acto de desviación de poder en el cual se utilizó la existencia de una facultad discrecional en los contratos como un velo de legalidad respecto de la verdadera motivación</w:t>
      </w:r>
      <w:r w:rsidR="000915D8" w:rsidRPr="006A0A3F">
        <w:rPr>
          <w:rFonts w:ascii="Verdana" w:hAnsi="Verdana"/>
          <w:sz w:val="20"/>
          <w:szCs w:val="20"/>
        </w:rPr>
        <w:t>,</w:t>
      </w:r>
      <w:r w:rsidRPr="006A0A3F">
        <w:rPr>
          <w:rFonts w:ascii="Verdana" w:hAnsi="Verdana"/>
          <w:sz w:val="20"/>
          <w:szCs w:val="20"/>
        </w:rPr>
        <w:t xml:space="preserve"> </w:t>
      </w:r>
      <w:r w:rsidR="000915D8" w:rsidRPr="006A0A3F">
        <w:rPr>
          <w:rFonts w:ascii="Verdana" w:hAnsi="Verdana"/>
          <w:sz w:val="20"/>
          <w:szCs w:val="20"/>
        </w:rPr>
        <w:t xml:space="preserve">lo que </w:t>
      </w:r>
      <w:r w:rsidRPr="006A0A3F">
        <w:rPr>
          <w:rFonts w:ascii="Verdana" w:hAnsi="Verdana"/>
          <w:sz w:val="20"/>
          <w:szCs w:val="20"/>
        </w:rPr>
        <w:t xml:space="preserve">constituyó una violación a </w:t>
      </w:r>
      <w:r w:rsidR="000915D8" w:rsidRPr="006A0A3F">
        <w:rPr>
          <w:rFonts w:ascii="Verdana" w:hAnsi="Verdana"/>
          <w:sz w:val="20"/>
          <w:szCs w:val="20"/>
        </w:rPr>
        <w:t>sus</w:t>
      </w:r>
      <w:r w:rsidRPr="006A0A3F">
        <w:rPr>
          <w:rFonts w:ascii="Verdana" w:hAnsi="Verdana"/>
          <w:sz w:val="20"/>
          <w:szCs w:val="20"/>
        </w:rPr>
        <w:t xml:space="preserve"> derechos políticos y una restricción indirecta a la libertad de expresión, bajo los artículos 23.1 y 13.3 de la Convención, en relación </w:t>
      </w:r>
      <w:r w:rsidR="000915D8" w:rsidRPr="006A0A3F">
        <w:rPr>
          <w:rFonts w:ascii="Verdana" w:hAnsi="Verdana"/>
          <w:sz w:val="20"/>
          <w:szCs w:val="20"/>
        </w:rPr>
        <w:t>con el artículo 1.1 de la misma</w:t>
      </w:r>
      <w:r w:rsidR="00475DD3" w:rsidRPr="006A0A3F">
        <w:rPr>
          <w:rFonts w:ascii="Verdana" w:hAnsi="Verdana"/>
          <w:sz w:val="20"/>
          <w:szCs w:val="20"/>
        </w:rPr>
        <w:t xml:space="preserve">, y por haber tenido </w:t>
      </w:r>
      <w:r w:rsidRPr="006A0A3F">
        <w:rPr>
          <w:rFonts w:ascii="Verdana" w:hAnsi="Verdana"/>
          <w:sz w:val="20"/>
          <w:szCs w:val="20"/>
        </w:rPr>
        <w:t>lugar en el marco de una falta de salvaguardas en el sistema interno para evitar posibles retaliaciones por la expresión de la opinión política</w:t>
      </w:r>
      <w:r w:rsidR="000915D8" w:rsidRPr="006A0A3F">
        <w:rPr>
          <w:rFonts w:ascii="Verdana" w:hAnsi="Verdana"/>
          <w:sz w:val="20"/>
          <w:szCs w:val="20"/>
        </w:rPr>
        <w:t xml:space="preserve">, </w:t>
      </w:r>
      <w:r w:rsidRPr="006A0A3F">
        <w:rPr>
          <w:rFonts w:ascii="Verdana" w:hAnsi="Verdana"/>
          <w:sz w:val="20"/>
          <w:szCs w:val="20"/>
        </w:rPr>
        <w:t xml:space="preserve">también </w:t>
      </w:r>
      <w:r w:rsidR="00F51D5C" w:rsidRPr="006A0A3F">
        <w:rPr>
          <w:rFonts w:ascii="Verdana" w:hAnsi="Verdana"/>
          <w:sz w:val="20"/>
          <w:szCs w:val="20"/>
        </w:rPr>
        <w:t xml:space="preserve">en relación con </w:t>
      </w:r>
      <w:r w:rsidRPr="006A0A3F">
        <w:rPr>
          <w:rFonts w:ascii="Verdana" w:hAnsi="Verdana"/>
          <w:sz w:val="20"/>
          <w:szCs w:val="20"/>
        </w:rPr>
        <w:t>el artículo 2 de la Convención.</w:t>
      </w:r>
    </w:p>
    <w:p w14:paraId="1473B8AE" w14:textId="11E38BCA" w:rsidR="006031B0" w:rsidRPr="006A0A3F" w:rsidRDefault="006031B0" w:rsidP="006031B0">
      <w:pPr>
        <w:pBdr>
          <w:top w:val="nil"/>
        </w:pBdr>
        <w:spacing w:after="0" w:line="240" w:lineRule="auto"/>
        <w:jc w:val="both"/>
        <w:rPr>
          <w:rFonts w:ascii="Verdana" w:hAnsi="Verdana"/>
          <w:sz w:val="20"/>
          <w:szCs w:val="20"/>
        </w:rPr>
      </w:pPr>
    </w:p>
    <w:p w14:paraId="329B7A5E" w14:textId="7017EB24" w:rsidR="00E51BD0" w:rsidRPr="006A0A3F" w:rsidRDefault="00E51BD0" w:rsidP="00422DF6">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w:t>
      </w:r>
      <w:r w:rsidRPr="006A0A3F">
        <w:rPr>
          <w:rFonts w:ascii="Verdana" w:hAnsi="Verdana"/>
          <w:b/>
          <w:sz w:val="20"/>
          <w:szCs w:val="20"/>
        </w:rPr>
        <w:t>representante</w:t>
      </w:r>
      <w:r w:rsidRPr="006A0A3F">
        <w:rPr>
          <w:rFonts w:ascii="Verdana" w:hAnsi="Verdana"/>
          <w:sz w:val="20"/>
          <w:szCs w:val="20"/>
        </w:rPr>
        <w:t xml:space="preserve"> </w:t>
      </w:r>
      <w:r w:rsidR="00437189" w:rsidRPr="006A0A3F">
        <w:rPr>
          <w:rFonts w:ascii="Verdana" w:hAnsi="Verdana"/>
          <w:sz w:val="20"/>
          <w:szCs w:val="20"/>
        </w:rPr>
        <w:t>alegó</w:t>
      </w:r>
      <w:r w:rsidRPr="006A0A3F">
        <w:rPr>
          <w:rFonts w:ascii="Verdana" w:hAnsi="Verdana"/>
          <w:sz w:val="20"/>
          <w:szCs w:val="20"/>
        </w:rPr>
        <w:t xml:space="preserve"> que </w:t>
      </w:r>
      <w:r w:rsidR="00491BC0" w:rsidRPr="006A0A3F">
        <w:rPr>
          <w:rFonts w:ascii="Verdana" w:hAnsi="Verdana"/>
          <w:sz w:val="20"/>
          <w:szCs w:val="20"/>
        </w:rPr>
        <w:t>las presuntas víctimas</w:t>
      </w:r>
      <w:r w:rsidR="00437189" w:rsidRPr="006A0A3F">
        <w:rPr>
          <w:rFonts w:ascii="Verdana" w:hAnsi="Verdana"/>
          <w:sz w:val="20"/>
          <w:szCs w:val="20"/>
        </w:rPr>
        <w:t xml:space="preserve"> fueron </w:t>
      </w:r>
      <w:r w:rsidR="0096692A" w:rsidRPr="006A0A3F">
        <w:rPr>
          <w:rFonts w:ascii="Verdana" w:hAnsi="Verdana"/>
          <w:sz w:val="20"/>
          <w:szCs w:val="20"/>
        </w:rPr>
        <w:t xml:space="preserve">objeto de </w:t>
      </w:r>
      <w:r w:rsidR="00437189" w:rsidRPr="006A0A3F">
        <w:rPr>
          <w:rFonts w:ascii="Verdana" w:hAnsi="Verdana"/>
          <w:sz w:val="20"/>
          <w:szCs w:val="20"/>
        </w:rPr>
        <w:t xml:space="preserve">discriminación por razones políticas, como resultado de </w:t>
      </w:r>
      <w:r w:rsidR="000915D8" w:rsidRPr="006A0A3F">
        <w:rPr>
          <w:rFonts w:ascii="Verdana" w:hAnsi="Verdana"/>
          <w:sz w:val="20"/>
          <w:szCs w:val="20"/>
        </w:rPr>
        <w:t>haber</w:t>
      </w:r>
      <w:r w:rsidR="00437189" w:rsidRPr="006A0A3F">
        <w:rPr>
          <w:rFonts w:ascii="Verdana" w:hAnsi="Verdana"/>
          <w:sz w:val="20"/>
          <w:szCs w:val="20"/>
        </w:rPr>
        <w:t xml:space="preserve"> “manifestado su opinión sobre el desempeño del gobierno y por haber firmado”. </w:t>
      </w:r>
      <w:r w:rsidR="00491BC0" w:rsidRPr="006A0A3F">
        <w:rPr>
          <w:rFonts w:ascii="Verdana" w:hAnsi="Verdana"/>
          <w:sz w:val="20"/>
          <w:szCs w:val="20"/>
        </w:rPr>
        <w:t xml:space="preserve">Alegó que </w:t>
      </w:r>
      <w:r w:rsidRPr="006A0A3F">
        <w:rPr>
          <w:rFonts w:ascii="Verdana" w:hAnsi="Verdana"/>
          <w:sz w:val="20"/>
          <w:szCs w:val="20"/>
        </w:rPr>
        <w:t xml:space="preserve">la causa de los despidos fue el ejercicio de </w:t>
      </w:r>
      <w:r w:rsidR="00491BC0" w:rsidRPr="006A0A3F">
        <w:rPr>
          <w:rFonts w:ascii="Verdana" w:hAnsi="Verdana"/>
          <w:sz w:val="20"/>
          <w:szCs w:val="20"/>
        </w:rPr>
        <w:t>sus</w:t>
      </w:r>
      <w:r w:rsidRPr="006A0A3F">
        <w:rPr>
          <w:rFonts w:ascii="Verdana" w:hAnsi="Verdana"/>
          <w:sz w:val="20"/>
          <w:szCs w:val="20"/>
        </w:rPr>
        <w:t xml:space="preserve"> derechos políticos, </w:t>
      </w:r>
      <w:r w:rsidR="00437189" w:rsidRPr="006A0A3F">
        <w:rPr>
          <w:rFonts w:ascii="Verdana" w:hAnsi="Verdana"/>
          <w:sz w:val="20"/>
          <w:szCs w:val="20"/>
        </w:rPr>
        <w:t>incluido</w:t>
      </w:r>
      <w:r w:rsidRPr="006A0A3F">
        <w:rPr>
          <w:rFonts w:ascii="Verdana" w:hAnsi="Verdana"/>
          <w:sz w:val="20"/>
          <w:szCs w:val="20"/>
        </w:rPr>
        <w:t xml:space="preserve"> </w:t>
      </w:r>
      <w:r w:rsidR="00853367" w:rsidRPr="006A0A3F">
        <w:rPr>
          <w:rFonts w:ascii="Verdana" w:hAnsi="Verdana"/>
          <w:sz w:val="20"/>
          <w:szCs w:val="20"/>
        </w:rPr>
        <w:t>el</w:t>
      </w:r>
      <w:r w:rsidRPr="006A0A3F">
        <w:rPr>
          <w:rFonts w:ascii="Verdana" w:hAnsi="Verdana"/>
          <w:sz w:val="20"/>
          <w:szCs w:val="20"/>
        </w:rPr>
        <w:t xml:space="preserve"> </w:t>
      </w:r>
      <w:r w:rsidR="00853367" w:rsidRPr="006A0A3F">
        <w:rPr>
          <w:rFonts w:ascii="Verdana" w:hAnsi="Verdana"/>
          <w:sz w:val="20"/>
          <w:szCs w:val="20"/>
        </w:rPr>
        <w:t>“</w:t>
      </w:r>
      <w:r w:rsidRPr="006A0A3F">
        <w:rPr>
          <w:rFonts w:ascii="Verdana" w:hAnsi="Verdana"/>
          <w:sz w:val="20"/>
          <w:szCs w:val="20"/>
        </w:rPr>
        <w:t xml:space="preserve">derecho </w:t>
      </w:r>
      <w:r w:rsidR="00853367" w:rsidRPr="006A0A3F">
        <w:rPr>
          <w:rFonts w:ascii="Verdana" w:hAnsi="Verdana"/>
          <w:sz w:val="20"/>
          <w:szCs w:val="20"/>
        </w:rPr>
        <w:t xml:space="preserve">de todos los ciudadanos </w:t>
      </w:r>
      <w:r w:rsidRPr="006A0A3F">
        <w:rPr>
          <w:rFonts w:ascii="Verdana" w:hAnsi="Verdana"/>
          <w:sz w:val="20"/>
          <w:szCs w:val="20"/>
        </w:rPr>
        <w:t xml:space="preserve">a tener acceso, en condiciones de igualdad, a las funciones públicas de su país”, </w:t>
      </w:r>
      <w:r w:rsidR="00853367" w:rsidRPr="006A0A3F">
        <w:rPr>
          <w:rFonts w:ascii="Verdana" w:hAnsi="Verdana"/>
          <w:sz w:val="20"/>
          <w:szCs w:val="20"/>
        </w:rPr>
        <w:t>reconocido en el art. 23.1.c) de la Convención,</w:t>
      </w:r>
      <w:r w:rsidR="005706C3" w:rsidRPr="006A0A3F">
        <w:rPr>
          <w:rFonts w:ascii="Verdana" w:hAnsi="Verdana"/>
          <w:sz w:val="20"/>
          <w:szCs w:val="20"/>
        </w:rPr>
        <w:t xml:space="preserve"> </w:t>
      </w:r>
      <w:r w:rsidR="0096692A" w:rsidRPr="006A0A3F">
        <w:rPr>
          <w:rFonts w:ascii="Verdana" w:hAnsi="Verdana"/>
          <w:sz w:val="20"/>
          <w:szCs w:val="20"/>
        </w:rPr>
        <w:t>el cual alegó que tiene</w:t>
      </w:r>
      <w:r w:rsidR="00853367" w:rsidRPr="006A0A3F">
        <w:rPr>
          <w:rFonts w:ascii="Verdana" w:hAnsi="Verdana"/>
          <w:sz w:val="20"/>
          <w:szCs w:val="20"/>
        </w:rPr>
        <w:t xml:space="preserve"> carácter “absoluto, sin más limitaciones que las inherentes a la existencia de plazas y a la idoneidad del candidato”; que “no está sujeto a la lealtad política o compromiso </w:t>
      </w:r>
      <w:r w:rsidR="00853367" w:rsidRPr="006A0A3F">
        <w:rPr>
          <w:rFonts w:ascii="Verdana" w:hAnsi="Verdana"/>
          <w:sz w:val="20"/>
          <w:szCs w:val="20"/>
        </w:rPr>
        <w:lastRenderedPageBreak/>
        <w:t>ideológico</w:t>
      </w:r>
      <w:r w:rsidR="005706C3" w:rsidRPr="006A0A3F">
        <w:rPr>
          <w:rFonts w:ascii="Verdana" w:hAnsi="Verdana"/>
          <w:sz w:val="20"/>
          <w:szCs w:val="20"/>
        </w:rPr>
        <w:t xml:space="preserve"> </w:t>
      </w:r>
      <w:r w:rsidR="0096692A" w:rsidRPr="006A0A3F">
        <w:rPr>
          <w:rFonts w:ascii="Verdana" w:hAnsi="Verdana"/>
          <w:sz w:val="20"/>
          <w:szCs w:val="20"/>
        </w:rPr>
        <w:t xml:space="preserve">con las autoridades estatales”; y </w:t>
      </w:r>
      <w:r w:rsidR="00853367" w:rsidRPr="006A0A3F">
        <w:rPr>
          <w:rFonts w:ascii="Verdana" w:hAnsi="Verdana"/>
          <w:sz w:val="20"/>
          <w:szCs w:val="20"/>
        </w:rPr>
        <w:t>“comprende la garantía de permanecer en su puesto mientras no cambien las circunstancias que justificaron el ingreso de ese ciudadan</w:t>
      </w:r>
      <w:r w:rsidR="0096692A" w:rsidRPr="006A0A3F">
        <w:rPr>
          <w:rFonts w:ascii="Verdana" w:hAnsi="Verdana"/>
          <w:sz w:val="20"/>
          <w:szCs w:val="20"/>
        </w:rPr>
        <w:t xml:space="preserve">o a la administración pública”. Señaló </w:t>
      </w:r>
      <w:r w:rsidR="00853367" w:rsidRPr="006A0A3F">
        <w:rPr>
          <w:rFonts w:ascii="Verdana" w:hAnsi="Verdana"/>
          <w:sz w:val="20"/>
          <w:szCs w:val="20"/>
        </w:rPr>
        <w:t>que las presuntas víctimas no fueron objeto de queja por parte de sus jefes directos ni objeto de expediente o sanción administrativa relacionado con el ejercicio de sus cargos</w:t>
      </w:r>
      <w:r w:rsidR="006C2391" w:rsidRPr="006A0A3F">
        <w:rPr>
          <w:rStyle w:val="FootnoteReference"/>
          <w:rFonts w:ascii="Verdana" w:hAnsi="Verdana"/>
          <w:sz w:val="20"/>
          <w:szCs w:val="20"/>
        </w:rPr>
        <w:footnoteReference w:id="175"/>
      </w:r>
      <w:r w:rsidR="00853367" w:rsidRPr="006A0A3F">
        <w:rPr>
          <w:rFonts w:ascii="Verdana" w:hAnsi="Verdana"/>
          <w:sz w:val="20"/>
          <w:szCs w:val="20"/>
        </w:rPr>
        <w:t xml:space="preserve">. </w:t>
      </w:r>
      <w:r w:rsidRPr="006A0A3F">
        <w:rPr>
          <w:rFonts w:ascii="Verdana" w:hAnsi="Verdana"/>
          <w:sz w:val="20"/>
          <w:szCs w:val="20"/>
        </w:rPr>
        <w:t xml:space="preserve"> </w:t>
      </w:r>
      <w:r w:rsidR="0028470A" w:rsidRPr="006A0A3F">
        <w:rPr>
          <w:rFonts w:ascii="Verdana" w:hAnsi="Verdana"/>
          <w:sz w:val="20"/>
          <w:szCs w:val="20"/>
        </w:rPr>
        <w:t>P</w:t>
      </w:r>
      <w:r w:rsidR="00491BC0" w:rsidRPr="006A0A3F">
        <w:rPr>
          <w:rFonts w:ascii="Verdana" w:hAnsi="Verdana"/>
          <w:sz w:val="20"/>
          <w:szCs w:val="20"/>
        </w:rPr>
        <w:t>lanteó que</w:t>
      </w:r>
      <w:r w:rsidR="0028470A" w:rsidRPr="006A0A3F">
        <w:rPr>
          <w:rFonts w:ascii="Verdana" w:hAnsi="Verdana"/>
          <w:sz w:val="20"/>
          <w:szCs w:val="20"/>
        </w:rPr>
        <w:t xml:space="preserve"> </w:t>
      </w:r>
      <w:r w:rsidR="00491BC0" w:rsidRPr="006A0A3F">
        <w:rPr>
          <w:rFonts w:ascii="Verdana" w:hAnsi="Verdana"/>
          <w:sz w:val="20"/>
          <w:szCs w:val="20"/>
        </w:rPr>
        <w:t xml:space="preserve">ellas “fueron censuradas mediante una sanción administrativa por haber manifestado su opinión en un documento político (mediante su firma </w:t>
      </w:r>
      <w:r w:rsidR="000915D8" w:rsidRPr="006A0A3F">
        <w:rPr>
          <w:rFonts w:ascii="Verdana" w:hAnsi="Verdana"/>
          <w:sz w:val="20"/>
          <w:szCs w:val="20"/>
        </w:rPr>
        <w:t>en</w:t>
      </w:r>
      <w:r w:rsidR="00491BC0" w:rsidRPr="006A0A3F">
        <w:rPr>
          <w:rFonts w:ascii="Verdana" w:hAnsi="Verdana"/>
          <w:sz w:val="20"/>
          <w:szCs w:val="20"/>
        </w:rPr>
        <w:t xml:space="preserve"> la solicitud)”, acto que pudo ser injusto o equivocado, pero</w:t>
      </w:r>
      <w:r w:rsidR="0079192C" w:rsidRPr="006A0A3F">
        <w:rPr>
          <w:rFonts w:ascii="Verdana" w:hAnsi="Verdana"/>
          <w:sz w:val="20"/>
          <w:szCs w:val="20"/>
        </w:rPr>
        <w:t xml:space="preserve"> que</w:t>
      </w:r>
      <w:r w:rsidR="00491BC0" w:rsidRPr="006A0A3F">
        <w:rPr>
          <w:rFonts w:ascii="Verdana" w:hAnsi="Verdana"/>
          <w:sz w:val="20"/>
          <w:szCs w:val="20"/>
        </w:rPr>
        <w:t xml:space="preserve"> estaba protegido por e</w:t>
      </w:r>
      <w:r w:rsidR="00FA36AB" w:rsidRPr="006A0A3F">
        <w:rPr>
          <w:rFonts w:ascii="Verdana" w:hAnsi="Verdana"/>
          <w:sz w:val="20"/>
          <w:szCs w:val="20"/>
        </w:rPr>
        <w:t xml:space="preserve">l artículo 13 de la Convención. </w:t>
      </w:r>
      <w:r w:rsidR="00171647" w:rsidRPr="006A0A3F">
        <w:rPr>
          <w:rFonts w:ascii="Verdana" w:hAnsi="Verdana"/>
          <w:sz w:val="20"/>
          <w:szCs w:val="20"/>
        </w:rPr>
        <w:t>A</w:t>
      </w:r>
      <w:r w:rsidRPr="006A0A3F">
        <w:rPr>
          <w:rFonts w:ascii="Verdana" w:hAnsi="Verdana"/>
          <w:sz w:val="20"/>
          <w:szCs w:val="20"/>
        </w:rPr>
        <w:t xml:space="preserve">legó que ellas no gozaron de igual protección ante la ley, de la cual </w:t>
      </w:r>
      <w:r w:rsidR="0079192C" w:rsidRPr="006A0A3F">
        <w:rPr>
          <w:rFonts w:ascii="Verdana" w:hAnsi="Verdana"/>
          <w:sz w:val="20"/>
          <w:szCs w:val="20"/>
        </w:rPr>
        <w:t>“</w:t>
      </w:r>
      <w:r w:rsidRPr="006A0A3F">
        <w:rPr>
          <w:rFonts w:ascii="Verdana" w:hAnsi="Verdana"/>
          <w:sz w:val="20"/>
          <w:szCs w:val="20"/>
        </w:rPr>
        <w:t>sí gozan los militantes del partido en el gobierno o simpatizantes del chavismo</w:t>
      </w:r>
      <w:r w:rsidR="0079192C" w:rsidRPr="006A0A3F">
        <w:rPr>
          <w:rFonts w:ascii="Verdana" w:hAnsi="Verdana"/>
          <w:sz w:val="20"/>
          <w:szCs w:val="20"/>
        </w:rPr>
        <w:t>”</w:t>
      </w:r>
      <w:r w:rsidRPr="006A0A3F">
        <w:rPr>
          <w:rFonts w:ascii="Verdana" w:hAnsi="Verdana"/>
          <w:sz w:val="20"/>
          <w:szCs w:val="20"/>
        </w:rPr>
        <w:t>, pues el ejercicio de sus derechos les conllevó “la pérdida de sus empleos, su medio de vida, lo que les daba sentido a sus vidas, la e</w:t>
      </w:r>
      <w:r w:rsidR="00FA4C2A">
        <w:rPr>
          <w:rFonts w:ascii="Verdana" w:hAnsi="Verdana"/>
          <w:sz w:val="20"/>
          <w:szCs w:val="20"/>
        </w:rPr>
        <w:t>stigmatización ante la sociedad</w:t>
      </w:r>
      <w:r w:rsidRPr="006A0A3F">
        <w:rPr>
          <w:rFonts w:ascii="Verdana" w:hAnsi="Verdana"/>
          <w:sz w:val="20"/>
          <w:szCs w:val="20"/>
        </w:rPr>
        <w:t xml:space="preserve"> y doce años de lucha infructuosa”</w:t>
      </w:r>
      <w:r w:rsidR="0079192C" w:rsidRPr="006A0A3F">
        <w:rPr>
          <w:rFonts w:ascii="Verdana" w:hAnsi="Verdana"/>
          <w:sz w:val="20"/>
          <w:szCs w:val="20"/>
        </w:rPr>
        <w:t>.</w:t>
      </w:r>
      <w:r w:rsidRPr="006A0A3F">
        <w:rPr>
          <w:rFonts w:ascii="Verdana" w:hAnsi="Verdana"/>
          <w:sz w:val="20"/>
          <w:szCs w:val="20"/>
        </w:rPr>
        <w:t xml:space="preserve"> </w:t>
      </w:r>
      <w:r w:rsidR="005B25BF" w:rsidRPr="006A0A3F">
        <w:rPr>
          <w:rFonts w:ascii="Verdana" w:hAnsi="Verdana"/>
          <w:sz w:val="20"/>
        </w:rPr>
        <w:t>Además, alegó que la sanción impuesta les generó angustia y sufrimiento, estigmatización ante la opinión pública y les cerró la puerta para acceder a cualquier otro empleo, por lo cual “fueron objeto de una pena o trato cruel, inhumano o degradante”, que les afectó su salud física y mental</w:t>
      </w:r>
      <w:r w:rsidR="006E26B8" w:rsidRPr="006A0A3F">
        <w:rPr>
          <w:rFonts w:ascii="Verdana" w:hAnsi="Verdana"/>
          <w:sz w:val="20"/>
        </w:rPr>
        <w:t>, en violación de los artículos 5.1 y 5.2 de la Convención</w:t>
      </w:r>
      <w:r w:rsidR="005B25BF" w:rsidRPr="006A0A3F">
        <w:rPr>
          <w:rFonts w:ascii="Verdana" w:hAnsi="Verdana"/>
          <w:sz w:val="20"/>
        </w:rPr>
        <w:t xml:space="preserve">. </w:t>
      </w:r>
      <w:r w:rsidR="00422DF6" w:rsidRPr="006A0A3F">
        <w:rPr>
          <w:rFonts w:ascii="Verdana" w:hAnsi="Verdana"/>
          <w:sz w:val="20"/>
          <w:szCs w:val="20"/>
        </w:rPr>
        <w:t xml:space="preserve">Señaló que el Estado no adoptó medidas legislativas, administrativas, judiciales o de otro carácter necesarias para impedir la discriminación por motivos políticos y sancionar severamente a los responsables de la misma, en los términos del artículo 2 de la Convención, pues la Defensoría y la Fiscalía no investigaron los hechos, no hay responsables de prácticas discriminatorias sancionados, no hay proyectos de ley sobre discriminación política, ni actos de reparación de estos hechos. </w:t>
      </w:r>
      <w:r w:rsidR="00437189" w:rsidRPr="006A0A3F">
        <w:rPr>
          <w:rFonts w:ascii="Verdana" w:hAnsi="Verdana"/>
          <w:sz w:val="20"/>
          <w:szCs w:val="20"/>
        </w:rPr>
        <w:t xml:space="preserve">En sus alegatos finales, </w:t>
      </w:r>
      <w:r w:rsidR="0028470A" w:rsidRPr="006A0A3F">
        <w:rPr>
          <w:rFonts w:ascii="Verdana" w:hAnsi="Verdana"/>
          <w:sz w:val="20"/>
          <w:szCs w:val="20"/>
        </w:rPr>
        <w:t>señaló</w:t>
      </w:r>
      <w:r w:rsidR="00437189" w:rsidRPr="006A0A3F">
        <w:rPr>
          <w:rFonts w:ascii="Verdana" w:hAnsi="Verdana"/>
          <w:sz w:val="20"/>
          <w:szCs w:val="20"/>
        </w:rPr>
        <w:t xml:space="preserve"> que los hechos se dieron en un contexto de persecución y discriminación (como política generalizada y/o sistemática) contra ciudadanos, opositores políticos y funcionarios públicos que firmaron la solicitud, en el marco de una coordinación entre poderes del Estado y/o la subordinación de los demás poderes e i</w:t>
      </w:r>
      <w:r w:rsidR="00A82571" w:rsidRPr="006A0A3F">
        <w:rPr>
          <w:rFonts w:ascii="Verdana" w:hAnsi="Verdana"/>
          <w:sz w:val="20"/>
          <w:szCs w:val="20"/>
        </w:rPr>
        <w:t>nstituciones al Poder Ejecutivo.</w:t>
      </w:r>
    </w:p>
    <w:p w14:paraId="11B24836" w14:textId="77777777" w:rsidR="00E51BD0" w:rsidRPr="006A0A3F" w:rsidRDefault="00E51BD0" w:rsidP="00E51BD0">
      <w:pPr>
        <w:pBdr>
          <w:top w:val="nil"/>
        </w:pBdr>
        <w:spacing w:after="0" w:line="240" w:lineRule="auto"/>
        <w:jc w:val="both"/>
        <w:rPr>
          <w:rFonts w:ascii="Verdana" w:hAnsi="Verdana"/>
          <w:sz w:val="20"/>
          <w:szCs w:val="20"/>
        </w:rPr>
      </w:pPr>
    </w:p>
    <w:p w14:paraId="385D33A5" w14:textId="3B80A649" w:rsidR="00913074" w:rsidRPr="006A0A3F" w:rsidRDefault="00573200" w:rsidP="00A81941">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w:t>
      </w:r>
      <w:r w:rsidR="00AD15BC" w:rsidRPr="006A0A3F">
        <w:rPr>
          <w:rFonts w:ascii="Verdana" w:hAnsi="Verdana"/>
          <w:sz w:val="20"/>
          <w:szCs w:val="20"/>
        </w:rPr>
        <w:t>n sus alegatos finales, e</w:t>
      </w:r>
      <w:r w:rsidRPr="006A0A3F">
        <w:rPr>
          <w:rFonts w:ascii="Verdana" w:hAnsi="Verdana"/>
          <w:sz w:val="20"/>
          <w:szCs w:val="20"/>
        </w:rPr>
        <w:t xml:space="preserve">l </w:t>
      </w:r>
      <w:r w:rsidRPr="006A0A3F">
        <w:rPr>
          <w:rFonts w:ascii="Verdana" w:hAnsi="Verdana"/>
          <w:b/>
          <w:sz w:val="20"/>
          <w:szCs w:val="20"/>
        </w:rPr>
        <w:t>Estado</w:t>
      </w:r>
      <w:r w:rsidRPr="006A0A3F">
        <w:rPr>
          <w:rFonts w:ascii="Verdana" w:hAnsi="Verdana"/>
          <w:sz w:val="20"/>
          <w:szCs w:val="20"/>
        </w:rPr>
        <w:t xml:space="preserve"> </w:t>
      </w:r>
      <w:r w:rsidR="00AD15BC" w:rsidRPr="006A0A3F">
        <w:rPr>
          <w:rFonts w:ascii="Verdana" w:hAnsi="Verdana"/>
          <w:sz w:val="20"/>
          <w:szCs w:val="20"/>
        </w:rPr>
        <w:t>manifestó</w:t>
      </w:r>
      <w:r w:rsidRPr="006A0A3F">
        <w:rPr>
          <w:rFonts w:ascii="Verdana" w:hAnsi="Verdana"/>
          <w:sz w:val="20"/>
          <w:szCs w:val="20"/>
        </w:rPr>
        <w:t xml:space="preserve"> que las presuntas víctimas </w:t>
      </w:r>
      <w:r w:rsidR="00174EBB" w:rsidRPr="006A0A3F">
        <w:rPr>
          <w:rFonts w:ascii="Verdana" w:hAnsi="Verdana"/>
          <w:sz w:val="20"/>
          <w:szCs w:val="20"/>
        </w:rPr>
        <w:t xml:space="preserve">no habían ingresado por concurso público a la administración y </w:t>
      </w:r>
      <w:r w:rsidR="00AD15BC" w:rsidRPr="006A0A3F">
        <w:rPr>
          <w:rFonts w:ascii="Verdana" w:hAnsi="Verdana"/>
          <w:sz w:val="20"/>
          <w:szCs w:val="20"/>
        </w:rPr>
        <w:t xml:space="preserve">solo </w:t>
      </w:r>
      <w:r w:rsidRPr="006A0A3F">
        <w:rPr>
          <w:rFonts w:ascii="Verdana" w:hAnsi="Verdana"/>
          <w:sz w:val="20"/>
          <w:szCs w:val="20"/>
        </w:rPr>
        <w:t xml:space="preserve">sostenían una relación de naturaleza contractual con el </w:t>
      </w:r>
      <w:r w:rsidR="005238C8" w:rsidRPr="006A0A3F">
        <w:rPr>
          <w:rFonts w:ascii="Verdana" w:hAnsi="Verdana"/>
          <w:sz w:val="20"/>
          <w:szCs w:val="20"/>
        </w:rPr>
        <w:t>CNF</w:t>
      </w:r>
      <w:r w:rsidR="00AD15BC" w:rsidRPr="006A0A3F">
        <w:rPr>
          <w:rFonts w:ascii="Verdana" w:hAnsi="Verdana"/>
          <w:sz w:val="20"/>
          <w:szCs w:val="20"/>
        </w:rPr>
        <w:t>,</w:t>
      </w:r>
      <w:r w:rsidRPr="006A0A3F">
        <w:rPr>
          <w:rFonts w:ascii="Verdana" w:hAnsi="Verdana"/>
          <w:sz w:val="20"/>
          <w:szCs w:val="20"/>
        </w:rPr>
        <w:t xml:space="preserve"> </w:t>
      </w:r>
      <w:r w:rsidR="00174EBB" w:rsidRPr="006A0A3F">
        <w:rPr>
          <w:rFonts w:ascii="Verdana" w:hAnsi="Verdana"/>
          <w:sz w:val="20"/>
          <w:szCs w:val="20"/>
        </w:rPr>
        <w:t>bajo la cual las partes no estaban obligadas a expresar los motivos o razones para darla por terminada. Esto era conocido por las presuntas víctimas, especialmente por Rocío San</w:t>
      </w:r>
      <w:r w:rsidR="00AD15BC" w:rsidRPr="006A0A3F">
        <w:rPr>
          <w:rFonts w:ascii="Verdana" w:hAnsi="Verdana"/>
          <w:sz w:val="20"/>
          <w:szCs w:val="20"/>
        </w:rPr>
        <w:t xml:space="preserve"> </w:t>
      </w:r>
      <w:r w:rsidR="00913074" w:rsidRPr="006A0A3F">
        <w:rPr>
          <w:rFonts w:ascii="Verdana" w:hAnsi="Verdana"/>
          <w:sz w:val="20"/>
          <w:szCs w:val="20"/>
        </w:rPr>
        <w:t>Miguel en su función de "a</w:t>
      </w:r>
      <w:r w:rsidR="00174EBB" w:rsidRPr="006A0A3F">
        <w:rPr>
          <w:rFonts w:ascii="Verdana" w:hAnsi="Verdana"/>
          <w:sz w:val="20"/>
          <w:szCs w:val="20"/>
        </w:rPr>
        <w:t xml:space="preserve">sesor </w:t>
      </w:r>
      <w:r w:rsidR="00913074" w:rsidRPr="006A0A3F">
        <w:rPr>
          <w:rFonts w:ascii="Verdana" w:hAnsi="Verdana"/>
          <w:sz w:val="20"/>
          <w:szCs w:val="20"/>
        </w:rPr>
        <w:t>j</w:t>
      </w:r>
      <w:r w:rsidR="00174EBB" w:rsidRPr="006A0A3F">
        <w:rPr>
          <w:rFonts w:ascii="Verdana" w:hAnsi="Verdana"/>
          <w:sz w:val="20"/>
          <w:szCs w:val="20"/>
        </w:rPr>
        <w:t xml:space="preserve">urídico" del Consejo, y ninguna de ellas dejó constancia -en el oficio de notificación- </w:t>
      </w:r>
      <w:r w:rsidR="0028470A" w:rsidRPr="006A0A3F">
        <w:rPr>
          <w:rFonts w:ascii="Verdana" w:hAnsi="Verdana"/>
          <w:sz w:val="20"/>
          <w:szCs w:val="20"/>
        </w:rPr>
        <w:t xml:space="preserve">de su inconformidad </w:t>
      </w:r>
      <w:r w:rsidR="005238C8" w:rsidRPr="006A0A3F">
        <w:rPr>
          <w:rFonts w:ascii="Verdana" w:hAnsi="Verdana"/>
          <w:sz w:val="20"/>
          <w:szCs w:val="20"/>
        </w:rPr>
        <w:t>con</w:t>
      </w:r>
      <w:r w:rsidR="00174EBB" w:rsidRPr="006A0A3F">
        <w:rPr>
          <w:rFonts w:ascii="Verdana" w:hAnsi="Verdana"/>
          <w:sz w:val="20"/>
          <w:szCs w:val="20"/>
        </w:rPr>
        <w:t xml:space="preserve"> la terminación del contrato. Por otro lado, alegó que la publicación de firmas fue un acto legítimo compatible con la Convención, pues la solicitud de activación de un referendo revocatorio no es un acto electoral protegido por el secreto previsto en el art. 23.1.b) de la Convención</w:t>
      </w:r>
      <w:r w:rsidR="00D65827" w:rsidRPr="006A0A3F">
        <w:rPr>
          <w:rFonts w:ascii="Verdana" w:hAnsi="Verdana"/>
          <w:sz w:val="20"/>
          <w:szCs w:val="20"/>
        </w:rPr>
        <w:t>, y necesario en esas circunstancias</w:t>
      </w:r>
      <w:r w:rsidR="00174EBB" w:rsidRPr="006A0A3F">
        <w:rPr>
          <w:rFonts w:ascii="Verdana" w:hAnsi="Verdana"/>
          <w:sz w:val="20"/>
          <w:szCs w:val="20"/>
        </w:rPr>
        <w:t xml:space="preserve">. </w:t>
      </w:r>
      <w:r w:rsidR="00AD15BC" w:rsidRPr="006A0A3F">
        <w:rPr>
          <w:rFonts w:ascii="Verdana" w:hAnsi="Verdana"/>
          <w:sz w:val="20"/>
          <w:szCs w:val="20"/>
        </w:rPr>
        <w:t xml:space="preserve">El Estado negó </w:t>
      </w:r>
      <w:r w:rsidR="00EC0DFA" w:rsidRPr="006A0A3F">
        <w:rPr>
          <w:rFonts w:ascii="Verdana" w:hAnsi="Verdana"/>
          <w:sz w:val="20"/>
          <w:szCs w:val="20"/>
        </w:rPr>
        <w:t xml:space="preserve">que </w:t>
      </w:r>
      <w:r w:rsidR="00AD15BC" w:rsidRPr="006A0A3F">
        <w:rPr>
          <w:rFonts w:ascii="Verdana" w:hAnsi="Verdana"/>
          <w:sz w:val="20"/>
          <w:szCs w:val="20"/>
        </w:rPr>
        <w:t>existiera un contexto de presión</w:t>
      </w:r>
      <w:r w:rsidR="00174EBB" w:rsidRPr="006A0A3F">
        <w:rPr>
          <w:rFonts w:ascii="Verdana" w:hAnsi="Verdana"/>
          <w:sz w:val="20"/>
          <w:szCs w:val="20"/>
        </w:rPr>
        <w:t xml:space="preserve"> e</w:t>
      </w:r>
      <w:r w:rsidR="00AD15BC" w:rsidRPr="006A0A3F">
        <w:rPr>
          <w:rFonts w:ascii="Verdana" w:hAnsi="Verdana"/>
          <w:sz w:val="20"/>
          <w:szCs w:val="20"/>
        </w:rPr>
        <w:t xml:space="preserve"> intimidación</w:t>
      </w:r>
      <w:r w:rsidR="00174EBB" w:rsidRPr="006A0A3F">
        <w:rPr>
          <w:rFonts w:ascii="Verdana" w:hAnsi="Verdana"/>
          <w:sz w:val="20"/>
          <w:szCs w:val="20"/>
        </w:rPr>
        <w:t xml:space="preserve"> contra </w:t>
      </w:r>
      <w:r w:rsidR="00676C46" w:rsidRPr="006A0A3F">
        <w:rPr>
          <w:rFonts w:ascii="Verdana" w:hAnsi="Verdana"/>
          <w:sz w:val="20"/>
          <w:szCs w:val="20"/>
        </w:rPr>
        <w:t>quienes</w:t>
      </w:r>
      <w:r w:rsidR="00174EBB" w:rsidRPr="006A0A3F">
        <w:rPr>
          <w:rFonts w:ascii="Verdana" w:hAnsi="Verdana"/>
          <w:sz w:val="20"/>
          <w:szCs w:val="20"/>
        </w:rPr>
        <w:t xml:space="preserve"> suscribieron </w:t>
      </w:r>
      <w:r w:rsidR="00AD15BC" w:rsidRPr="006A0A3F">
        <w:rPr>
          <w:rFonts w:ascii="Verdana" w:hAnsi="Verdana"/>
          <w:sz w:val="20"/>
          <w:szCs w:val="20"/>
        </w:rPr>
        <w:t xml:space="preserve">la solicitud </w:t>
      </w:r>
      <w:r w:rsidR="00174EBB" w:rsidRPr="006A0A3F">
        <w:rPr>
          <w:rFonts w:ascii="Verdana" w:hAnsi="Verdana"/>
          <w:sz w:val="20"/>
          <w:szCs w:val="20"/>
        </w:rPr>
        <w:t>del</w:t>
      </w:r>
      <w:r w:rsidR="00AD15BC" w:rsidRPr="006A0A3F">
        <w:rPr>
          <w:rFonts w:ascii="Verdana" w:hAnsi="Verdana"/>
          <w:sz w:val="20"/>
          <w:szCs w:val="20"/>
        </w:rPr>
        <w:t xml:space="preserve"> </w:t>
      </w:r>
      <w:r w:rsidR="00174EBB" w:rsidRPr="006A0A3F">
        <w:rPr>
          <w:rFonts w:ascii="Verdana" w:hAnsi="Verdana"/>
          <w:sz w:val="20"/>
          <w:szCs w:val="20"/>
        </w:rPr>
        <w:t>referend</w:t>
      </w:r>
      <w:r w:rsidR="00AD15BC" w:rsidRPr="006A0A3F">
        <w:rPr>
          <w:rFonts w:ascii="Verdana" w:hAnsi="Verdana"/>
          <w:sz w:val="20"/>
          <w:szCs w:val="20"/>
        </w:rPr>
        <w:t>o</w:t>
      </w:r>
      <w:r w:rsidR="00AD15BC" w:rsidRPr="006A0A3F">
        <w:rPr>
          <w:rStyle w:val="FootnoteReference"/>
          <w:rFonts w:ascii="Verdana" w:hAnsi="Verdana"/>
          <w:sz w:val="20"/>
          <w:szCs w:val="20"/>
        </w:rPr>
        <w:footnoteReference w:id="176"/>
      </w:r>
      <w:r w:rsidR="00FA4C2A">
        <w:rPr>
          <w:rFonts w:ascii="Verdana" w:hAnsi="Verdana"/>
          <w:sz w:val="20"/>
          <w:szCs w:val="20"/>
        </w:rPr>
        <w:t xml:space="preserve"> o </w:t>
      </w:r>
      <w:r w:rsidR="00B11E99" w:rsidRPr="006A0A3F">
        <w:rPr>
          <w:rFonts w:ascii="Verdana" w:hAnsi="Verdana"/>
          <w:sz w:val="20"/>
          <w:szCs w:val="20"/>
        </w:rPr>
        <w:t>un contexto de múltiples denuncias de discriminación política</w:t>
      </w:r>
      <w:r w:rsidR="00B11E99" w:rsidRPr="006A0A3F">
        <w:rPr>
          <w:rStyle w:val="FootnoteReference"/>
          <w:rFonts w:ascii="Verdana" w:hAnsi="Verdana"/>
          <w:sz w:val="20"/>
          <w:szCs w:val="20"/>
        </w:rPr>
        <w:footnoteReference w:id="177"/>
      </w:r>
      <w:r w:rsidR="004F3521" w:rsidRPr="006A0A3F">
        <w:rPr>
          <w:rFonts w:ascii="Verdana" w:hAnsi="Verdana"/>
          <w:sz w:val="20"/>
          <w:szCs w:val="20"/>
        </w:rPr>
        <w:t>.</w:t>
      </w:r>
      <w:r w:rsidR="00B11E99" w:rsidRPr="006A0A3F">
        <w:rPr>
          <w:rFonts w:ascii="Verdana" w:hAnsi="Verdana"/>
          <w:sz w:val="20"/>
          <w:szCs w:val="20"/>
        </w:rPr>
        <w:t xml:space="preserve"> Además, negó que se diera un trato diferenciado a las presuntas víctimas</w:t>
      </w:r>
      <w:r w:rsidR="00676C46" w:rsidRPr="006A0A3F">
        <w:rPr>
          <w:rFonts w:ascii="Verdana" w:hAnsi="Verdana"/>
          <w:sz w:val="20"/>
          <w:szCs w:val="20"/>
        </w:rPr>
        <w:t xml:space="preserve">, pues en marzo de 2004 se dieron por terminados los contratos de cuatro personas, una de las cuales no firmó la </w:t>
      </w:r>
      <w:r w:rsidR="00676C46" w:rsidRPr="006A0A3F">
        <w:rPr>
          <w:rFonts w:ascii="Verdana" w:hAnsi="Verdana"/>
          <w:sz w:val="20"/>
          <w:szCs w:val="20"/>
        </w:rPr>
        <w:lastRenderedPageBreak/>
        <w:t>solicitud y que</w:t>
      </w:r>
      <w:r w:rsidR="0028470A" w:rsidRPr="006A0A3F">
        <w:rPr>
          <w:rFonts w:ascii="Verdana" w:hAnsi="Verdana"/>
          <w:sz w:val="20"/>
          <w:szCs w:val="20"/>
        </w:rPr>
        <w:t xml:space="preserve"> el</w:t>
      </w:r>
      <w:r w:rsidR="00676C46" w:rsidRPr="006A0A3F">
        <w:rPr>
          <w:rFonts w:ascii="Verdana" w:hAnsi="Verdana"/>
          <w:sz w:val="20"/>
          <w:szCs w:val="20"/>
        </w:rPr>
        <w:t xml:space="preserve"> ciudadano –referido por la Comisión– continuó brindando sus servicios a pesar de haber firmado</w:t>
      </w:r>
      <w:r w:rsidR="00437189" w:rsidRPr="006A0A3F">
        <w:rPr>
          <w:rFonts w:ascii="Verdana" w:hAnsi="Verdana"/>
          <w:sz w:val="20"/>
          <w:szCs w:val="20"/>
        </w:rPr>
        <w:t>.</w:t>
      </w:r>
      <w:r w:rsidR="00913074" w:rsidRPr="006A0A3F">
        <w:rPr>
          <w:rFonts w:ascii="Verdana" w:hAnsi="Verdana"/>
          <w:sz w:val="20"/>
          <w:szCs w:val="20"/>
        </w:rPr>
        <w:t xml:space="preserve"> Por último, el Estado </w:t>
      </w:r>
      <w:r w:rsidR="0028470A" w:rsidRPr="006A0A3F">
        <w:rPr>
          <w:rFonts w:ascii="Verdana" w:hAnsi="Verdana"/>
          <w:sz w:val="20"/>
          <w:szCs w:val="20"/>
        </w:rPr>
        <w:t>señaló</w:t>
      </w:r>
      <w:r w:rsidR="00913074" w:rsidRPr="006A0A3F">
        <w:rPr>
          <w:rFonts w:ascii="Verdana" w:hAnsi="Verdana"/>
          <w:sz w:val="20"/>
          <w:szCs w:val="20"/>
        </w:rPr>
        <w:t xml:space="preserve"> que el acceso a los cargos en la Administración Pública está sujeto a lo dispuesto en la Constitución y a la ley especial que rige la materia (Ley del Estatuto de la Función Pública), conforme lo cual las personas que deseen ingresar a los cargos de carrera y gozar de la estabilidad propia de estos ca</w:t>
      </w:r>
      <w:r w:rsidR="0028470A" w:rsidRPr="006A0A3F">
        <w:rPr>
          <w:rFonts w:ascii="Verdana" w:hAnsi="Verdana"/>
          <w:sz w:val="20"/>
          <w:szCs w:val="20"/>
        </w:rPr>
        <w:t>rgos deberá</w:t>
      </w:r>
      <w:r w:rsidR="00913074" w:rsidRPr="006A0A3F">
        <w:rPr>
          <w:rFonts w:ascii="Verdana" w:hAnsi="Verdana"/>
          <w:sz w:val="20"/>
          <w:szCs w:val="20"/>
        </w:rPr>
        <w:t xml:space="preserve">n ganar un concurso </w:t>
      </w:r>
      <w:r w:rsidR="006B7AD9" w:rsidRPr="006A0A3F">
        <w:rPr>
          <w:rFonts w:ascii="Verdana" w:hAnsi="Verdana"/>
          <w:sz w:val="20"/>
          <w:szCs w:val="20"/>
        </w:rPr>
        <w:t>público</w:t>
      </w:r>
      <w:r w:rsidR="00913074" w:rsidRPr="006A0A3F">
        <w:rPr>
          <w:rFonts w:ascii="Verdana" w:hAnsi="Verdana"/>
          <w:sz w:val="20"/>
          <w:szCs w:val="20"/>
        </w:rPr>
        <w:t xml:space="preserve">, ya que en </w:t>
      </w:r>
      <w:r w:rsidR="006B7AD9" w:rsidRPr="006A0A3F">
        <w:rPr>
          <w:rFonts w:ascii="Verdana" w:hAnsi="Verdana"/>
          <w:sz w:val="20"/>
          <w:szCs w:val="20"/>
        </w:rPr>
        <w:t>ningún</w:t>
      </w:r>
      <w:r w:rsidR="00913074" w:rsidRPr="006A0A3F">
        <w:rPr>
          <w:rFonts w:ascii="Verdana" w:hAnsi="Verdana"/>
          <w:sz w:val="20"/>
          <w:szCs w:val="20"/>
        </w:rPr>
        <w:t xml:space="preserve"> caso el contrato puede constituirse en una vía de ingreso a la función pública. Por ello, las presuntas </w:t>
      </w:r>
      <w:r w:rsidR="006B7AD9" w:rsidRPr="006A0A3F">
        <w:rPr>
          <w:rFonts w:ascii="Verdana" w:hAnsi="Verdana"/>
          <w:sz w:val="20"/>
          <w:szCs w:val="20"/>
        </w:rPr>
        <w:t>víctimas</w:t>
      </w:r>
      <w:r w:rsidR="00913074" w:rsidRPr="006A0A3F">
        <w:rPr>
          <w:rFonts w:ascii="Verdana" w:hAnsi="Verdana"/>
          <w:sz w:val="20"/>
          <w:szCs w:val="20"/>
        </w:rPr>
        <w:t xml:space="preserve"> no pueden pretender gozar de la estabilidad propia de los fu</w:t>
      </w:r>
      <w:r w:rsidR="00A81941" w:rsidRPr="006A0A3F">
        <w:rPr>
          <w:rFonts w:ascii="Verdana" w:hAnsi="Verdana"/>
          <w:sz w:val="20"/>
          <w:szCs w:val="20"/>
        </w:rPr>
        <w:t xml:space="preserve">ncionarios de carrera, </w:t>
      </w:r>
      <w:r w:rsidR="00913074" w:rsidRPr="006A0A3F">
        <w:rPr>
          <w:rFonts w:ascii="Verdana" w:hAnsi="Verdana"/>
          <w:sz w:val="20"/>
          <w:szCs w:val="20"/>
        </w:rPr>
        <w:t>pues</w:t>
      </w:r>
      <w:r w:rsidR="00A81941" w:rsidRPr="006A0A3F">
        <w:rPr>
          <w:rFonts w:ascii="Verdana" w:hAnsi="Verdana"/>
          <w:sz w:val="20"/>
          <w:szCs w:val="20"/>
        </w:rPr>
        <w:t xml:space="preserve"> no poseían tal condición, al no haber </w:t>
      </w:r>
      <w:r w:rsidR="00913074" w:rsidRPr="006A0A3F">
        <w:rPr>
          <w:rFonts w:ascii="Verdana" w:hAnsi="Verdana"/>
          <w:sz w:val="20"/>
          <w:szCs w:val="20"/>
        </w:rPr>
        <w:t>ingresado a</w:t>
      </w:r>
      <w:r w:rsidR="0028470A" w:rsidRPr="006A0A3F">
        <w:rPr>
          <w:rFonts w:ascii="Verdana" w:hAnsi="Verdana"/>
          <w:sz w:val="20"/>
          <w:szCs w:val="20"/>
        </w:rPr>
        <w:t xml:space="preserve"> la a</w:t>
      </w:r>
      <w:r w:rsidR="00A81941" w:rsidRPr="006A0A3F">
        <w:rPr>
          <w:rFonts w:ascii="Verdana" w:hAnsi="Verdana"/>
          <w:sz w:val="20"/>
          <w:szCs w:val="20"/>
        </w:rPr>
        <w:t>dministració</w:t>
      </w:r>
      <w:r w:rsidR="00913074" w:rsidRPr="006A0A3F">
        <w:rPr>
          <w:rFonts w:ascii="Verdana" w:hAnsi="Verdana"/>
          <w:sz w:val="20"/>
          <w:szCs w:val="20"/>
        </w:rPr>
        <w:t xml:space="preserve">n </w:t>
      </w:r>
      <w:r w:rsidR="00A81941" w:rsidRPr="006A0A3F">
        <w:rPr>
          <w:rFonts w:ascii="Verdana" w:hAnsi="Verdana"/>
          <w:sz w:val="20"/>
          <w:szCs w:val="20"/>
        </w:rPr>
        <w:t xml:space="preserve">luego </w:t>
      </w:r>
      <w:r w:rsidR="00913074" w:rsidRPr="006A0A3F">
        <w:rPr>
          <w:rFonts w:ascii="Verdana" w:hAnsi="Verdana"/>
          <w:sz w:val="20"/>
          <w:szCs w:val="20"/>
        </w:rPr>
        <w:t>de haber</w:t>
      </w:r>
      <w:r w:rsidR="00A81941" w:rsidRPr="006A0A3F">
        <w:rPr>
          <w:rFonts w:ascii="Verdana" w:hAnsi="Verdana"/>
          <w:sz w:val="20"/>
          <w:szCs w:val="20"/>
        </w:rPr>
        <w:t xml:space="preserve"> </w:t>
      </w:r>
      <w:r w:rsidR="00913074" w:rsidRPr="006A0A3F">
        <w:rPr>
          <w:rFonts w:ascii="Verdana" w:hAnsi="Verdana"/>
          <w:sz w:val="20"/>
          <w:szCs w:val="20"/>
        </w:rPr>
        <w:t xml:space="preserve">ganado </w:t>
      </w:r>
      <w:r w:rsidR="0028470A" w:rsidRPr="006A0A3F">
        <w:rPr>
          <w:rFonts w:ascii="Verdana" w:hAnsi="Verdana"/>
          <w:sz w:val="20"/>
          <w:szCs w:val="20"/>
        </w:rPr>
        <w:t xml:space="preserve">un </w:t>
      </w:r>
      <w:r w:rsidR="00913074" w:rsidRPr="006A0A3F">
        <w:rPr>
          <w:rFonts w:ascii="Verdana" w:hAnsi="Verdana"/>
          <w:sz w:val="20"/>
          <w:szCs w:val="20"/>
        </w:rPr>
        <w:t>concurso p</w:t>
      </w:r>
      <w:r w:rsidR="0028470A" w:rsidRPr="006A0A3F">
        <w:rPr>
          <w:rFonts w:ascii="Verdana" w:hAnsi="Verdana"/>
          <w:sz w:val="20"/>
          <w:szCs w:val="20"/>
        </w:rPr>
        <w:t>ú</w:t>
      </w:r>
      <w:r w:rsidR="00913074" w:rsidRPr="006A0A3F">
        <w:rPr>
          <w:rFonts w:ascii="Verdana" w:hAnsi="Verdana"/>
          <w:sz w:val="20"/>
          <w:szCs w:val="20"/>
        </w:rPr>
        <w:t>blico</w:t>
      </w:r>
      <w:r w:rsidR="00A81941" w:rsidRPr="006A0A3F">
        <w:rPr>
          <w:rFonts w:ascii="Verdana" w:hAnsi="Verdana"/>
          <w:sz w:val="20"/>
          <w:szCs w:val="20"/>
        </w:rPr>
        <w:t>, por lo cual t</w:t>
      </w:r>
      <w:r w:rsidR="00913074" w:rsidRPr="006A0A3F">
        <w:rPr>
          <w:rFonts w:ascii="Verdana" w:hAnsi="Verdana"/>
          <w:sz w:val="20"/>
          <w:szCs w:val="20"/>
        </w:rPr>
        <w:t>ampoco puede</w:t>
      </w:r>
      <w:r w:rsidR="00A81941" w:rsidRPr="006A0A3F">
        <w:rPr>
          <w:rFonts w:ascii="Verdana" w:hAnsi="Verdana"/>
          <w:sz w:val="20"/>
          <w:szCs w:val="20"/>
        </w:rPr>
        <w:t xml:space="preserve"> </w:t>
      </w:r>
      <w:r w:rsidR="00913074" w:rsidRPr="006A0A3F">
        <w:rPr>
          <w:rFonts w:ascii="Verdana" w:hAnsi="Verdana"/>
          <w:sz w:val="20"/>
          <w:szCs w:val="20"/>
        </w:rPr>
        <w:t xml:space="preserve">alegarse </w:t>
      </w:r>
      <w:r w:rsidR="00A81941" w:rsidRPr="006A0A3F">
        <w:rPr>
          <w:rFonts w:ascii="Verdana" w:hAnsi="Verdana"/>
          <w:sz w:val="20"/>
          <w:szCs w:val="20"/>
        </w:rPr>
        <w:t>l</w:t>
      </w:r>
      <w:r w:rsidR="00913074" w:rsidRPr="006A0A3F">
        <w:rPr>
          <w:rFonts w:ascii="Verdana" w:hAnsi="Verdana"/>
          <w:sz w:val="20"/>
          <w:szCs w:val="20"/>
        </w:rPr>
        <w:t xml:space="preserve">a </w:t>
      </w:r>
      <w:r w:rsidR="00A81941" w:rsidRPr="006A0A3F">
        <w:rPr>
          <w:rFonts w:ascii="Verdana" w:hAnsi="Verdana"/>
          <w:sz w:val="20"/>
          <w:szCs w:val="20"/>
        </w:rPr>
        <w:t>violación</w:t>
      </w:r>
      <w:r w:rsidR="00913074" w:rsidRPr="006A0A3F">
        <w:rPr>
          <w:rFonts w:ascii="Verdana" w:hAnsi="Verdana"/>
          <w:sz w:val="20"/>
          <w:szCs w:val="20"/>
        </w:rPr>
        <w:t xml:space="preserve"> de </w:t>
      </w:r>
      <w:r w:rsidR="00A81941" w:rsidRPr="006A0A3F">
        <w:rPr>
          <w:rFonts w:ascii="Verdana" w:hAnsi="Verdana"/>
          <w:sz w:val="20"/>
          <w:szCs w:val="20"/>
        </w:rPr>
        <w:t>un “</w:t>
      </w:r>
      <w:r w:rsidR="00913074" w:rsidRPr="006A0A3F">
        <w:rPr>
          <w:rFonts w:ascii="Verdana" w:hAnsi="Verdana"/>
          <w:sz w:val="20"/>
          <w:szCs w:val="20"/>
        </w:rPr>
        <w:t>derecho a tener acceso en condiciones</w:t>
      </w:r>
      <w:r w:rsidR="00A81941" w:rsidRPr="006A0A3F">
        <w:rPr>
          <w:rFonts w:ascii="Verdana" w:hAnsi="Verdana"/>
          <w:sz w:val="20"/>
          <w:szCs w:val="20"/>
        </w:rPr>
        <w:t xml:space="preserve"> </w:t>
      </w:r>
      <w:r w:rsidR="00913074" w:rsidRPr="006A0A3F">
        <w:rPr>
          <w:rFonts w:ascii="Verdana" w:hAnsi="Verdana"/>
          <w:sz w:val="20"/>
          <w:szCs w:val="20"/>
        </w:rPr>
        <w:t xml:space="preserve">de igualdad a </w:t>
      </w:r>
      <w:r w:rsidR="00A81941" w:rsidRPr="006A0A3F">
        <w:rPr>
          <w:rFonts w:ascii="Verdana" w:hAnsi="Verdana"/>
          <w:sz w:val="20"/>
          <w:szCs w:val="20"/>
        </w:rPr>
        <w:t>las funciones pública”.</w:t>
      </w:r>
      <w:r w:rsidR="00913074" w:rsidRPr="006A0A3F">
        <w:rPr>
          <w:rFonts w:ascii="Verdana" w:hAnsi="Verdana"/>
          <w:sz w:val="20"/>
          <w:szCs w:val="20"/>
        </w:rPr>
        <w:t xml:space="preserve"> </w:t>
      </w:r>
    </w:p>
    <w:p w14:paraId="2FC36DBD" w14:textId="77777777" w:rsidR="00230979" w:rsidRPr="006A0A3F" w:rsidRDefault="00230979" w:rsidP="00E51BD0">
      <w:pPr>
        <w:pBdr>
          <w:top w:val="nil"/>
        </w:pBdr>
        <w:spacing w:after="0" w:line="240" w:lineRule="auto"/>
        <w:jc w:val="both"/>
        <w:rPr>
          <w:rFonts w:ascii="Verdana" w:hAnsi="Verdana"/>
          <w:sz w:val="20"/>
          <w:szCs w:val="20"/>
        </w:rPr>
      </w:pPr>
    </w:p>
    <w:p w14:paraId="51790B9D" w14:textId="77777777" w:rsidR="00230979" w:rsidRPr="006A0A3F" w:rsidRDefault="00230979" w:rsidP="00E51BD0">
      <w:pPr>
        <w:pBdr>
          <w:top w:val="nil"/>
        </w:pBdr>
        <w:spacing w:after="0" w:line="240" w:lineRule="auto"/>
        <w:jc w:val="both"/>
        <w:rPr>
          <w:rFonts w:ascii="Verdana" w:hAnsi="Verdana"/>
          <w:sz w:val="20"/>
          <w:szCs w:val="20"/>
        </w:rPr>
      </w:pPr>
    </w:p>
    <w:p w14:paraId="352E9C43" w14:textId="3B007ACF" w:rsidR="00691B1D" w:rsidRPr="006A0A3F" w:rsidRDefault="00983469" w:rsidP="004F695E">
      <w:pPr>
        <w:pBdr>
          <w:top w:val="nil"/>
        </w:pBdr>
        <w:spacing w:after="0" w:line="240" w:lineRule="auto"/>
        <w:ind w:left="708"/>
        <w:jc w:val="both"/>
        <w:rPr>
          <w:rFonts w:ascii="Verdana" w:hAnsi="Verdana"/>
          <w:b/>
          <w:i/>
          <w:sz w:val="20"/>
          <w:szCs w:val="20"/>
        </w:rPr>
      </w:pPr>
      <w:r w:rsidRPr="006A0A3F">
        <w:rPr>
          <w:rFonts w:ascii="Verdana" w:hAnsi="Verdana"/>
          <w:b/>
          <w:i/>
          <w:sz w:val="20"/>
          <w:szCs w:val="20"/>
        </w:rPr>
        <w:t>Con</w:t>
      </w:r>
      <w:r w:rsidR="00422DF6" w:rsidRPr="006A0A3F">
        <w:rPr>
          <w:rFonts w:ascii="Verdana" w:hAnsi="Verdana"/>
          <w:b/>
          <w:i/>
          <w:sz w:val="20"/>
          <w:szCs w:val="20"/>
        </w:rPr>
        <w:t>sideraciones de la Corte</w:t>
      </w:r>
    </w:p>
    <w:p w14:paraId="15343C6B" w14:textId="77777777" w:rsidR="00315BE6" w:rsidRPr="006A0A3F" w:rsidRDefault="00315BE6" w:rsidP="00E51BD0">
      <w:pPr>
        <w:pBdr>
          <w:top w:val="nil"/>
        </w:pBdr>
        <w:spacing w:after="0" w:line="240" w:lineRule="auto"/>
        <w:jc w:val="both"/>
        <w:rPr>
          <w:rFonts w:ascii="Verdana" w:hAnsi="Verdana"/>
          <w:sz w:val="20"/>
          <w:szCs w:val="20"/>
        </w:rPr>
      </w:pPr>
    </w:p>
    <w:p w14:paraId="2E225244" w14:textId="65573416" w:rsidR="004F695E" w:rsidRPr="006A0A3F" w:rsidRDefault="004F695E" w:rsidP="004F695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w:t>
      </w:r>
      <w:r w:rsidR="00847315" w:rsidRPr="006A0A3F">
        <w:rPr>
          <w:rFonts w:ascii="Verdana" w:hAnsi="Verdana"/>
          <w:sz w:val="20"/>
          <w:szCs w:val="20"/>
        </w:rPr>
        <w:t xml:space="preserve">a Corte </w:t>
      </w:r>
      <w:r w:rsidR="00DA703E" w:rsidRPr="006A0A3F">
        <w:rPr>
          <w:rFonts w:ascii="Verdana" w:hAnsi="Verdana"/>
          <w:sz w:val="20"/>
          <w:szCs w:val="20"/>
        </w:rPr>
        <w:t>hace notar que la Comisión y el representante sustentan las alegadas violaciones de derechos</w:t>
      </w:r>
      <w:r w:rsidR="00FF5625" w:rsidRPr="006A0A3F">
        <w:rPr>
          <w:rFonts w:ascii="Verdana" w:hAnsi="Verdana"/>
          <w:sz w:val="20"/>
          <w:szCs w:val="20"/>
        </w:rPr>
        <w:t xml:space="preserve"> </w:t>
      </w:r>
      <w:r w:rsidR="00DA703E" w:rsidRPr="006A0A3F">
        <w:rPr>
          <w:rFonts w:ascii="Verdana" w:hAnsi="Verdana"/>
          <w:sz w:val="20"/>
          <w:szCs w:val="20"/>
        </w:rPr>
        <w:t>en un mismo hecho generador: la terminación de los contratos de las presuntas víctimas por haber firmado la solicitud de convocatoria a referendo</w:t>
      </w:r>
      <w:r w:rsidR="008140C0" w:rsidRPr="006A0A3F">
        <w:rPr>
          <w:rFonts w:ascii="Verdana" w:hAnsi="Verdana"/>
          <w:sz w:val="20"/>
          <w:szCs w:val="20"/>
        </w:rPr>
        <w:t xml:space="preserve"> revocatorio</w:t>
      </w:r>
      <w:r w:rsidR="00DA703E" w:rsidRPr="006A0A3F">
        <w:rPr>
          <w:rFonts w:ascii="Verdana" w:hAnsi="Verdana"/>
          <w:sz w:val="20"/>
          <w:szCs w:val="20"/>
        </w:rPr>
        <w:t xml:space="preserve">. </w:t>
      </w:r>
      <w:r w:rsidR="00D1496E" w:rsidRPr="006A0A3F">
        <w:rPr>
          <w:rFonts w:ascii="Verdana" w:hAnsi="Verdana"/>
          <w:sz w:val="20"/>
          <w:szCs w:val="20"/>
        </w:rPr>
        <w:t xml:space="preserve">Es decir, consideraron que tal acto de firma constituyó tanto el ejercicio de un derecho político como </w:t>
      </w:r>
      <w:r w:rsidR="00B14591" w:rsidRPr="006A0A3F">
        <w:rPr>
          <w:rFonts w:ascii="Verdana" w:hAnsi="Verdana"/>
          <w:sz w:val="20"/>
          <w:szCs w:val="20"/>
        </w:rPr>
        <w:t xml:space="preserve">“un acto motivado por la opinión política expresada a través de la firma” </w:t>
      </w:r>
      <w:r w:rsidR="00D1496E" w:rsidRPr="006A0A3F">
        <w:rPr>
          <w:rFonts w:ascii="Verdana" w:hAnsi="Verdana"/>
          <w:sz w:val="20"/>
          <w:szCs w:val="20"/>
        </w:rPr>
        <w:t xml:space="preserve">y, a la vez, que tal acto estaría protegido </w:t>
      </w:r>
      <w:r w:rsidR="00B64C2F" w:rsidRPr="006A0A3F">
        <w:rPr>
          <w:rFonts w:ascii="Verdana" w:hAnsi="Verdana"/>
          <w:sz w:val="20"/>
          <w:szCs w:val="20"/>
        </w:rPr>
        <w:t>por</w:t>
      </w:r>
      <w:r w:rsidR="00D1496E" w:rsidRPr="006A0A3F">
        <w:rPr>
          <w:rFonts w:ascii="Verdana" w:hAnsi="Verdana"/>
          <w:sz w:val="20"/>
          <w:szCs w:val="20"/>
        </w:rPr>
        <w:t xml:space="preserve"> un principio de no discriminación (como una categoría prohibida o “sospechosa”) y </w:t>
      </w:r>
      <w:r w:rsidR="00B64C2F" w:rsidRPr="006A0A3F">
        <w:rPr>
          <w:rFonts w:ascii="Verdana" w:hAnsi="Verdana"/>
          <w:sz w:val="20"/>
          <w:szCs w:val="20"/>
        </w:rPr>
        <w:t xml:space="preserve">por </w:t>
      </w:r>
      <w:r w:rsidR="00D1496E" w:rsidRPr="006A0A3F">
        <w:rPr>
          <w:rFonts w:ascii="Verdana" w:hAnsi="Verdana"/>
          <w:sz w:val="20"/>
          <w:szCs w:val="20"/>
        </w:rPr>
        <w:t>el derec</w:t>
      </w:r>
      <w:r w:rsidR="00B14591" w:rsidRPr="006A0A3F">
        <w:rPr>
          <w:rFonts w:ascii="Verdana" w:hAnsi="Verdana"/>
          <w:sz w:val="20"/>
          <w:szCs w:val="20"/>
        </w:rPr>
        <w:t>ho a igual</w:t>
      </w:r>
      <w:r w:rsidR="00FF5625" w:rsidRPr="006A0A3F">
        <w:rPr>
          <w:rFonts w:ascii="Verdana" w:hAnsi="Verdana"/>
          <w:sz w:val="20"/>
          <w:szCs w:val="20"/>
        </w:rPr>
        <w:t>dad ante</w:t>
      </w:r>
      <w:r w:rsidR="00B14591" w:rsidRPr="006A0A3F">
        <w:rPr>
          <w:rFonts w:ascii="Verdana" w:hAnsi="Verdana"/>
          <w:sz w:val="20"/>
          <w:szCs w:val="20"/>
        </w:rPr>
        <w:t xml:space="preserve"> la ley, pues el despido </w:t>
      </w:r>
      <w:r w:rsidR="00676C46" w:rsidRPr="006A0A3F">
        <w:rPr>
          <w:rFonts w:ascii="Verdana" w:hAnsi="Verdana"/>
          <w:sz w:val="20"/>
          <w:szCs w:val="20"/>
        </w:rPr>
        <w:t>habría constituido</w:t>
      </w:r>
      <w:r w:rsidR="00B14591" w:rsidRPr="006A0A3F">
        <w:rPr>
          <w:rFonts w:ascii="Verdana" w:hAnsi="Verdana"/>
          <w:sz w:val="20"/>
          <w:szCs w:val="20"/>
        </w:rPr>
        <w:t xml:space="preserve"> un acto de discriminación con base en la opinión política.</w:t>
      </w:r>
      <w:r w:rsidRPr="006A0A3F">
        <w:rPr>
          <w:rFonts w:ascii="Verdana" w:hAnsi="Verdana"/>
          <w:sz w:val="20"/>
          <w:szCs w:val="20"/>
        </w:rPr>
        <w:t xml:space="preserve"> </w:t>
      </w:r>
    </w:p>
    <w:p w14:paraId="510F61B5" w14:textId="77777777" w:rsidR="004F695E" w:rsidRPr="006A0A3F" w:rsidRDefault="004F695E" w:rsidP="004F695E">
      <w:pPr>
        <w:pStyle w:val="ListParagraph"/>
        <w:rPr>
          <w:rFonts w:ascii="Verdana" w:hAnsi="Verdana"/>
          <w:sz w:val="20"/>
          <w:lang w:val="es-CR"/>
        </w:rPr>
      </w:pPr>
    </w:p>
    <w:p w14:paraId="6E7AD2A7" w14:textId="70B96B24" w:rsidR="004F695E" w:rsidRPr="006A0A3F" w:rsidRDefault="004F695E" w:rsidP="004F695E">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atención a lo planteado, el Tribunal considera </w:t>
      </w:r>
      <w:r w:rsidR="00AC6DD3" w:rsidRPr="006A0A3F">
        <w:rPr>
          <w:rFonts w:ascii="Verdana" w:hAnsi="Verdana"/>
          <w:sz w:val="20"/>
          <w:szCs w:val="20"/>
        </w:rPr>
        <w:t>pertinente</w:t>
      </w:r>
      <w:r w:rsidRPr="006A0A3F">
        <w:rPr>
          <w:rFonts w:ascii="Verdana" w:hAnsi="Verdana"/>
          <w:sz w:val="20"/>
          <w:szCs w:val="20"/>
        </w:rPr>
        <w:t xml:space="preserve"> analizar</w:t>
      </w:r>
      <w:r w:rsidR="0017064F" w:rsidRPr="006A0A3F">
        <w:rPr>
          <w:rFonts w:ascii="Verdana" w:hAnsi="Verdana"/>
          <w:sz w:val="20"/>
          <w:szCs w:val="20"/>
        </w:rPr>
        <w:t>, en primer lugar</w:t>
      </w:r>
      <w:r w:rsidR="00AC6DD3" w:rsidRPr="006A0A3F">
        <w:rPr>
          <w:rFonts w:ascii="Verdana" w:hAnsi="Verdana"/>
          <w:sz w:val="20"/>
          <w:szCs w:val="20"/>
        </w:rPr>
        <w:t xml:space="preserve"> y para mejor comprensión del caso en atención a tal hecho generador</w:t>
      </w:r>
      <w:r w:rsidR="0017064F" w:rsidRPr="006A0A3F">
        <w:rPr>
          <w:rFonts w:ascii="Verdana" w:hAnsi="Verdana"/>
          <w:sz w:val="20"/>
          <w:szCs w:val="20"/>
        </w:rPr>
        <w:t>,</w:t>
      </w:r>
      <w:r w:rsidRPr="006A0A3F">
        <w:rPr>
          <w:rFonts w:ascii="Verdana" w:hAnsi="Verdana"/>
          <w:sz w:val="20"/>
          <w:szCs w:val="20"/>
        </w:rPr>
        <w:t xml:space="preserve"> si en este caso se dio alguna forma de</w:t>
      </w:r>
      <w:r w:rsidR="0017064F" w:rsidRPr="006A0A3F">
        <w:rPr>
          <w:rFonts w:ascii="Verdana" w:hAnsi="Verdana"/>
          <w:sz w:val="20"/>
          <w:szCs w:val="20"/>
        </w:rPr>
        <w:t xml:space="preserve"> trato discriminatorio</w:t>
      </w:r>
      <w:r w:rsidRPr="006A0A3F">
        <w:rPr>
          <w:rFonts w:ascii="Verdana" w:hAnsi="Verdana"/>
          <w:sz w:val="20"/>
          <w:szCs w:val="20"/>
        </w:rPr>
        <w:t xml:space="preserve"> </w:t>
      </w:r>
      <w:r w:rsidR="0017064F" w:rsidRPr="006A0A3F">
        <w:rPr>
          <w:rFonts w:ascii="Verdana" w:hAnsi="Verdana"/>
          <w:sz w:val="20"/>
          <w:szCs w:val="20"/>
        </w:rPr>
        <w:t>basado en alguna categoría prohibida de discriminación, establecida en el artículo 1.1 de la Convención, e</w:t>
      </w:r>
      <w:r w:rsidR="00AC6DD3" w:rsidRPr="006A0A3F">
        <w:rPr>
          <w:rFonts w:ascii="Verdana" w:hAnsi="Verdana"/>
          <w:sz w:val="20"/>
          <w:szCs w:val="20"/>
        </w:rPr>
        <w:t xml:space="preserve">n relación con el ejercicio del </w:t>
      </w:r>
      <w:r w:rsidR="0017064F" w:rsidRPr="006A0A3F">
        <w:rPr>
          <w:rFonts w:ascii="Verdana" w:hAnsi="Verdana"/>
          <w:sz w:val="20"/>
          <w:szCs w:val="20"/>
        </w:rPr>
        <w:t xml:space="preserve">derecho </w:t>
      </w:r>
      <w:r w:rsidR="00FC7852" w:rsidRPr="006A0A3F">
        <w:rPr>
          <w:rFonts w:ascii="Verdana" w:hAnsi="Verdana"/>
          <w:sz w:val="20"/>
          <w:szCs w:val="20"/>
        </w:rPr>
        <w:t>a la</w:t>
      </w:r>
      <w:r w:rsidR="0017064F" w:rsidRPr="006A0A3F">
        <w:rPr>
          <w:rFonts w:ascii="Verdana" w:hAnsi="Verdana"/>
          <w:sz w:val="20"/>
          <w:szCs w:val="20"/>
        </w:rPr>
        <w:t xml:space="preserve"> participación política</w:t>
      </w:r>
      <w:r w:rsidR="00FC7852" w:rsidRPr="006A0A3F">
        <w:rPr>
          <w:rFonts w:ascii="Verdana" w:hAnsi="Verdana"/>
          <w:sz w:val="20"/>
          <w:szCs w:val="20"/>
        </w:rPr>
        <w:t xml:space="preserve">, </w:t>
      </w:r>
      <w:r w:rsidR="0017064F" w:rsidRPr="006A0A3F">
        <w:rPr>
          <w:rFonts w:ascii="Verdana" w:hAnsi="Verdana"/>
          <w:sz w:val="20"/>
          <w:szCs w:val="20"/>
        </w:rPr>
        <w:t xml:space="preserve">reconocido en </w:t>
      </w:r>
      <w:r w:rsidR="00AC6DD3" w:rsidRPr="006A0A3F">
        <w:rPr>
          <w:rFonts w:ascii="Verdana" w:hAnsi="Verdana"/>
          <w:sz w:val="20"/>
          <w:szCs w:val="20"/>
        </w:rPr>
        <w:t xml:space="preserve">el </w:t>
      </w:r>
      <w:r w:rsidR="0017064F" w:rsidRPr="006A0A3F">
        <w:rPr>
          <w:rFonts w:ascii="Verdana" w:hAnsi="Verdana"/>
          <w:sz w:val="20"/>
          <w:szCs w:val="20"/>
        </w:rPr>
        <w:t>artículo</w:t>
      </w:r>
      <w:r w:rsidR="00FC7852" w:rsidRPr="006A0A3F">
        <w:rPr>
          <w:rFonts w:ascii="Verdana" w:hAnsi="Verdana"/>
          <w:sz w:val="20"/>
          <w:szCs w:val="20"/>
        </w:rPr>
        <w:t>s</w:t>
      </w:r>
      <w:r w:rsidR="0017064F" w:rsidRPr="006A0A3F">
        <w:rPr>
          <w:rFonts w:ascii="Verdana" w:hAnsi="Verdana"/>
          <w:sz w:val="20"/>
          <w:szCs w:val="20"/>
        </w:rPr>
        <w:t xml:space="preserve"> 23 de la misma. Posteriormente, se analizará si además </w:t>
      </w:r>
      <w:r w:rsidR="00343EB2">
        <w:rPr>
          <w:rFonts w:ascii="Verdana" w:hAnsi="Verdana"/>
          <w:sz w:val="20"/>
          <w:szCs w:val="20"/>
        </w:rPr>
        <w:t>ocurrieron</w:t>
      </w:r>
      <w:r w:rsidR="0017064F" w:rsidRPr="006A0A3F">
        <w:rPr>
          <w:rFonts w:ascii="Verdana" w:hAnsi="Verdana"/>
          <w:sz w:val="20"/>
          <w:szCs w:val="20"/>
        </w:rPr>
        <w:t xml:space="preserve"> violaciones</w:t>
      </w:r>
      <w:r w:rsidR="00AC6DD3" w:rsidRPr="006A0A3F">
        <w:rPr>
          <w:rFonts w:ascii="Verdana" w:hAnsi="Verdana"/>
          <w:sz w:val="20"/>
          <w:szCs w:val="20"/>
        </w:rPr>
        <w:t xml:space="preserve"> de la libertad de expresión y </w:t>
      </w:r>
      <w:r w:rsidR="0017064F" w:rsidRPr="006A0A3F">
        <w:rPr>
          <w:rFonts w:ascii="Verdana" w:hAnsi="Verdana"/>
          <w:sz w:val="20"/>
          <w:szCs w:val="20"/>
        </w:rPr>
        <w:t>de los derechos a igual</w:t>
      </w:r>
      <w:r w:rsidR="00FC7852" w:rsidRPr="006A0A3F">
        <w:rPr>
          <w:rFonts w:ascii="Verdana" w:hAnsi="Verdana"/>
          <w:sz w:val="20"/>
          <w:szCs w:val="20"/>
        </w:rPr>
        <w:t>dad ante</w:t>
      </w:r>
      <w:r w:rsidR="0017064F" w:rsidRPr="006A0A3F">
        <w:rPr>
          <w:rFonts w:ascii="Verdana" w:hAnsi="Verdana"/>
          <w:sz w:val="20"/>
          <w:szCs w:val="20"/>
        </w:rPr>
        <w:t xml:space="preserve"> la ley</w:t>
      </w:r>
      <w:r w:rsidR="00FC7852" w:rsidRPr="006A0A3F">
        <w:rPr>
          <w:rFonts w:ascii="Verdana" w:hAnsi="Verdana"/>
          <w:sz w:val="20"/>
          <w:szCs w:val="20"/>
        </w:rPr>
        <w:t xml:space="preserve"> y a la integridad personal</w:t>
      </w:r>
      <w:r w:rsidR="0017064F" w:rsidRPr="006A0A3F">
        <w:rPr>
          <w:rFonts w:ascii="Verdana" w:hAnsi="Verdana"/>
          <w:sz w:val="20"/>
          <w:szCs w:val="20"/>
        </w:rPr>
        <w:t xml:space="preserve">, en los términos de los artículos </w:t>
      </w:r>
      <w:r w:rsidR="00AC6DD3" w:rsidRPr="006A0A3F">
        <w:rPr>
          <w:rFonts w:ascii="Verdana" w:hAnsi="Verdana"/>
          <w:sz w:val="20"/>
          <w:szCs w:val="20"/>
        </w:rPr>
        <w:t xml:space="preserve">13, </w:t>
      </w:r>
      <w:r w:rsidR="0017064F" w:rsidRPr="006A0A3F">
        <w:rPr>
          <w:rFonts w:ascii="Verdana" w:hAnsi="Verdana"/>
          <w:sz w:val="20"/>
          <w:szCs w:val="20"/>
        </w:rPr>
        <w:t xml:space="preserve">24 </w:t>
      </w:r>
      <w:r w:rsidR="00FC7852" w:rsidRPr="006A0A3F">
        <w:rPr>
          <w:rFonts w:ascii="Verdana" w:hAnsi="Verdana"/>
          <w:sz w:val="20"/>
          <w:szCs w:val="20"/>
        </w:rPr>
        <w:t>y 5</w:t>
      </w:r>
      <w:r w:rsidR="004054C5" w:rsidRPr="006A0A3F">
        <w:rPr>
          <w:rFonts w:ascii="Verdana" w:hAnsi="Verdana"/>
          <w:sz w:val="20"/>
          <w:szCs w:val="20"/>
        </w:rPr>
        <w:t xml:space="preserve"> en relación con los artículos 1.1 y 2</w:t>
      </w:r>
      <w:r w:rsidR="00FC7852" w:rsidRPr="006A0A3F">
        <w:rPr>
          <w:rFonts w:ascii="Verdana" w:hAnsi="Verdana"/>
          <w:sz w:val="20"/>
          <w:szCs w:val="20"/>
        </w:rPr>
        <w:t xml:space="preserve"> </w:t>
      </w:r>
      <w:r w:rsidR="0017064F" w:rsidRPr="006A0A3F">
        <w:rPr>
          <w:rFonts w:ascii="Verdana" w:hAnsi="Verdana"/>
          <w:sz w:val="20"/>
          <w:szCs w:val="20"/>
        </w:rPr>
        <w:t xml:space="preserve">de dicho instrumento. </w:t>
      </w:r>
    </w:p>
    <w:p w14:paraId="30B02107" w14:textId="77777777" w:rsidR="004F695E" w:rsidRPr="006A0A3F" w:rsidRDefault="004F695E" w:rsidP="004F695E">
      <w:pPr>
        <w:pBdr>
          <w:top w:val="nil"/>
        </w:pBdr>
        <w:spacing w:after="0" w:line="240" w:lineRule="auto"/>
        <w:jc w:val="both"/>
        <w:rPr>
          <w:rFonts w:ascii="Verdana" w:hAnsi="Verdana"/>
          <w:sz w:val="20"/>
          <w:szCs w:val="20"/>
        </w:rPr>
      </w:pPr>
    </w:p>
    <w:p w14:paraId="6EC3A085" w14:textId="20946553" w:rsidR="00231AC6" w:rsidRPr="006A0A3F" w:rsidRDefault="00231AC6" w:rsidP="00231AC6">
      <w:pPr>
        <w:pStyle w:val="Heading3"/>
        <w:numPr>
          <w:ilvl w:val="0"/>
          <w:numId w:val="16"/>
        </w:numPr>
        <w:jc w:val="both"/>
        <w:rPr>
          <w:rFonts w:ascii="Verdana" w:hAnsi="Verdana"/>
          <w:i/>
          <w:smallCaps/>
          <w:sz w:val="20"/>
          <w:lang w:val="es-CR"/>
        </w:rPr>
      </w:pPr>
      <w:bookmarkStart w:id="32" w:name="_Toc505876994"/>
      <w:r w:rsidRPr="006A0A3F">
        <w:rPr>
          <w:rFonts w:ascii="Verdana" w:hAnsi="Verdana"/>
          <w:i/>
          <w:smallCaps/>
          <w:sz w:val="20"/>
          <w:lang w:val="es-CR"/>
        </w:rPr>
        <w:t>Derecho a la participación política</w:t>
      </w:r>
      <w:r w:rsidR="003E2AF6" w:rsidRPr="006A0A3F">
        <w:rPr>
          <w:rFonts w:ascii="Verdana" w:hAnsi="Verdana"/>
          <w:i/>
          <w:smallCaps/>
          <w:sz w:val="20"/>
          <w:lang w:val="es-CR"/>
        </w:rPr>
        <w:t xml:space="preserve"> y</w:t>
      </w:r>
      <w:r w:rsidRPr="006A0A3F">
        <w:rPr>
          <w:rFonts w:ascii="Verdana" w:hAnsi="Verdana"/>
          <w:i/>
          <w:smallCaps/>
          <w:sz w:val="20"/>
          <w:lang w:val="es-CR"/>
        </w:rPr>
        <w:t xml:space="preserve"> principio de no discriminación</w:t>
      </w:r>
      <w:bookmarkEnd w:id="32"/>
      <w:r w:rsidRPr="006A0A3F">
        <w:rPr>
          <w:rFonts w:ascii="Verdana" w:hAnsi="Verdana"/>
          <w:i/>
          <w:smallCaps/>
          <w:sz w:val="20"/>
          <w:lang w:val="es-CR"/>
        </w:rPr>
        <w:t xml:space="preserve"> </w:t>
      </w:r>
    </w:p>
    <w:p w14:paraId="1E0CC94C" w14:textId="77777777" w:rsidR="00231AC6" w:rsidRPr="006A0A3F" w:rsidRDefault="00231AC6" w:rsidP="004F695E">
      <w:pPr>
        <w:pBdr>
          <w:top w:val="nil"/>
        </w:pBdr>
        <w:spacing w:after="0" w:line="240" w:lineRule="auto"/>
        <w:jc w:val="both"/>
        <w:rPr>
          <w:rFonts w:ascii="Verdana" w:hAnsi="Verdana"/>
          <w:sz w:val="20"/>
          <w:szCs w:val="20"/>
        </w:rPr>
      </w:pPr>
    </w:p>
    <w:p w14:paraId="4141E5A9" w14:textId="77777777" w:rsidR="00FA36AB" w:rsidRPr="006A0A3F" w:rsidRDefault="004F695E" w:rsidP="00092274">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artículo 1.1 de la Convención es una norma de carácter general, cuyo contenido se extiende a todas las disposiciones del tratado, ya que dispone la obligación de los Estados Parte de respetar y garantizar el pleno y libre ejercicio de los derechos y libertades </w:t>
      </w:r>
      <w:r w:rsidR="006E26B8" w:rsidRPr="006A0A3F">
        <w:rPr>
          <w:rFonts w:ascii="Verdana" w:hAnsi="Verdana"/>
          <w:sz w:val="20"/>
          <w:szCs w:val="20"/>
        </w:rPr>
        <w:t>en ella</w:t>
      </w:r>
      <w:r w:rsidRPr="006A0A3F">
        <w:rPr>
          <w:rFonts w:ascii="Verdana" w:hAnsi="Verdana"/>
          <w:sz w:val="20"/>
          <w:szCs w:val="20"/>
        </w:rPr>
        <w:t xml:space="preserve"> reconocidos, “sin discriminación alguna”. Es decir, cualquiera sea el origen o la forma que asuma, todo tratamiento que pueda ser considerado discriminatorio respecto del ejercicio de cualquiera de los derechos garantizados en la Convención es </w:t>
      </w:r>
      <w:r w:rsidRPr="006A0A3F">
        <w:rPr>
          <w:rFonts w:ascii="Verdana" w:hAnsi="Verdana"/>
          <w:i/>
          <w:sz w:val="20"/>
          <w:szCs w:val="20"/>
        </w:rPr>
        <w:t xml:space="preserve">per se </w:t>
      </w:r>
      <w:r w:rsidRPr="006A0A3F">
        <w:rPr>
          <w:rFonts w:ascii="Verdana" w:hAnsi="Verdana"/>
          <w:sz w:val="20"/>
          <w:szCs w:val="20"/>
        </w:rPr>
        <w:t>incompatible con la misma</w:t>
      </w:r>
      <w:r w:rsidRPr="006A0A3F">
        <w:rPr>
          <w:rFonts w:ascii="Verdana" w:hAnsi="Verdana"/>
          <w:sz w:val="20"/>
          <w:vertAlign w:val="superscript"/>
        </w:rPr>
        <w:footnoteReference w:id="178"/>
      </w:r>
      <w:r w:rsidRPr="006A0A3F">
        <w:rPr>
          <w:rFonts w:ascii="Verdana" w:hAnsi="Verdana"/>
          <w:sz w:val="20"/>
          <w:szCs w:val="20"/>
        </w:rPr>
        <w:t xml:space="preserve">. </w:t>
      </w:r>
    </w:p>
    <w:p w14:paraId="48834960" w14:textId="77777777" w:rsidR="009952FF" w:rsidRPr="006A0A3F" w:rsidRDefault="009952FF" w:rsidP="00FA36AB">
      <w:pPr>
        <w:pBdr>
          <w:top w:val="nil"/>
        </w:pBdr>
        <w:spacing w:after="0" w:line="240" w:lineRule="auto"/>
        <w:jc w:val="both"/>
        <w:rPr>
          <w:rFonts w:ascii="Verdana" w:hAnsi="Verdana"/>
          <w:sz w:val="20"/>
          <w:szCs w:val="20"/>
        </w:rPr>
      </w:pPr>
    </w:p>
    <w:p w14:paraId="6B721826" w14:textId="7082B617" w:rsidR="00837A8A" w:rsidRPr="006A0A3F" w:rsidRDefault="00837A8A" w:rsidP="00FA36AB">
      <w:pPr>
        <w:numPr>
          <w:ilvl w:val="0"/>
          <w:numId w:val="4"/>
        </w:numPr>
        <w:pBdr>
          <w:top w:val="nil"/>
        </w:pBdr>
        <w:spacing w:after="0" w:line="240" w:lineRule="auto"/>
        <w:ind w:left="0" w:firstLine="0"/>
        <w:jc w:val="both"/>
        <w:rPr>
          <w:rFonts w:ascii="Verdana" w:hAnsi="Verdana"/>
          <w:sz w:val="20"/>
        </w:rPr>
      </w:pPr>
      <w:r w:rsidRPr="006A0A3F">
        <w:rPr>
          <w:rFonts w:ascii="Verdana" w:hAnsi="Verdana"/>
          <w:sz w:val="20"/>
        </w:rPr>
        <w:t xml:space="preserve">El artículo 23 de la Convención Americana contiene diversas normas que se refieren a los </w:t>
      </w:r>
      <w:r w:rsidRPr="006A0A3F">
        <w:rPr>
          <w:rFonts w:ascii="Verdana" w:hAnsi="Verdana"/>
          <w:sz w:val="20"/>
          <w:szCs w:val="20"/>
        </w:rPr>
        <w:t>derechos</w:t>
      </w:r>
      <w:r w:rsidRPr="006A0A3F">
        <w:rPr>
          <w:rFonts w:ascii="Verdana" w:hAnsi="Verdana"/>
          <w:sz w:val="20"/>
        </w:rPr>
        <w:t xml:space="preserve"> de la persona como titular del proceso de toma de decisiones en los asuntos públicos, como elector a través del voto o como servidor público, es decir, a ser elegido popularmente o mediante designación o nombramiento para ocupar un cargo público. En virtud de esta disposición, las personas también tienen “el derecho de participar activamente en la dirección de los asuntos públicos directamente, mediante referendos, plebiscitos o consultas o bien, por </w:t>
      </w:r>
      <w:r w:rsidRPr="006A0A3F">
        <w:rPr>
          <w:rFonts w:ascii="Verdana" w:hAnsi="Verdana"/>
          <w:sz w:val="20"/>
        </w:rPr>
        <w:lastRenderedPageBreak/>
        <w:t>medio de representantes libremente elegidos”</w:t>
      </w:r>
      <w:r w:rsidRPr="006A0A3F">
        <w:rPr>
          <w:rStyle w:val="FootnoteReference"/>
          <w:rFonts w:ascii="Verdana" w:hAnsi="Verdana"/>
          <w:sz w:val="20"/>
        </w:rPr>
        <w:footnoteReference w:id="179"/>
      </w:r>
      <w:r w:rsidRPr="006A0A3F">
        <w:rPr>
          <w:rFonts w:ascii="Verdana" w:hAnsi="Verdana"/>
          <w:sz w:val="20"/>
        </w:rPr>
        <w:t>. A diferencia de casi todos los demás derechos previstos en la Convención que se reconocen a toda persona, el artículo 23 de la misma no sólo establece que sus titulares gozan de derechos, sino que agrega el término “oportunidades”, lo cual implica la obligación del Estado de garantizar con medidas positivas y de generar las condiciones y mecanismos óptimos para que toda persona formalmente titular de esos derechos tenga la oportunidad real para ejercerlos, de forma efectiva, respetando el principio de igualdad y no discriminación</w:t>
      </w:r>
      <w:r w:rsidRPr="006A0A3F">
        <w:rPr>
          <w:rStyle w:val="FootnoteReference"/>
          <w:rFonts w:ascii="Verdana" w:hAnsi="Verdana"/>
          <w:sz w:val="20"/>
        </w:rPr>
        <w:footnoteReference w:id="180"/>
      </w:r>
      <w:r w:rsidRPr="006A0A3F">
        <w:rPr>
          <w:rFonts w:ascii="Verdana" w:hAnsi="Verdana"/>
          <w:sz w:val="20"/>
        </w:rPr>
        <w:t>. En este sentido, es necesaria la existencia de institucionalidad y mecanismos de carácter procedimental que permitan y aseguren el efectivo ejercicio del derecho, previniendo o contrarrestando situaciones o prácticas legales o de facto que impliquen formas de estigmatización, discriminación o represalias para quien lo ejerce.</w:t>
      </w:r>
    </w:p>
    <w:p w14:paraId="55127CE8" w14:textId="77777777" w:rsidR="00AF137E" w:rsidRPr="006A0A3F" w:rsidRDefault="00AF137E" w:rsidP="00AF137E">
      <w:pPr>
        <w:pBdr>
          <w:top w:val="nil"/>
        </w:pBdr>
        <w:spacing w:after="0" w:line="240" w:lineRule="auto"/>
        <w:jc w:val="both"/>
        <w:rPr>
          <w:rFonts w:ascii="Verdana" w:hAnsi="Verdana"/>
          <w:sz w:val="20"/>
          <w:szCs w:val="20"/>
        </w:rPr>
      </w:pPr>
    </w:p>
    <w:p w14:paraId="12037F79" w14:textId="3B44A48F" w:rsidR="0088471E" w:rsidRPr="006A0A3F" w:rsidRDefault="00EF4196" w:rsidP="00F8746F">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w:t>
      </w:r>
      <w:r w:rsidR="009B29A9" w:rsidRPr="006A0A3F">
        <w:rPr>
          <w:rFonts w:ascii="Verdana" w:hAnsi="Verdana"/>
          <w:sz w:val="20"/>
          <w:szCs w:val="20"/>
        </w:rPr>
        <w:t>a Corte entiende que</w:t>
      </w:r>
      <w:r w:rsidR="00837A8A" w:rsidRPr="006A0A3F">
        <w:rPr>
          <w:rFonts w:ascii="Verdana" w:hAnsi="Verdana"/>
          <w:sz w:val="20"/>
          <w:szCs w:val="20"/>
        </w:rPr>
        <w:t xml:space="preserve">, en razón de lo dispuesto en </w:t>
      </w:r>
      <w:r w:rsidR="0073586C" w:rsidRPr="006A0A3F">
        <w:rPr>
          <w:rFonts w:ascii="Verdana" w:hAnsi="Verdana"/>
          <w:sz w:val="20"/>
          <w:szCs w:val="20"/>
        </w:rPr>
        <w:t>su artículo 23.1</w:t>
      </w:r>
      <w:r w:rsidR="00E128ED" w:rsidRPr="006A0A3F">
        <w:rPr>
          <w:rFonts w:ascii="Verdana" w:hAnsi="Verdana"/>
          <w:sz w:val="20"/>
          <w:szCs w:val="20"/>
        </w:rPr>
        <w:t>.a) y b)</w:t>
      </w:r>
      <w:r w:rsidR="00837A8A" w:rsidRPr="006A0A3F">
        <w:rPr>
          <w:rFonts w:ascii="Verdana" w:hAnsi="Verdana"/>
          <w:sz w:val="20"/>
          <w:szCs w:val="20"/>
        </w:rPr>
        <w:t xml:space="preserve">, </w:t>
      </w:r>
      <w:r w:rsidR="00E128ED" w:rsidRPr="006A0A3F">
        <w:rPr>
          <w:rFonts w:ascii="Verdana" w:hAnsi="Verdana"/>
          <w:sz w:val="20"/>
          <w:szCs w:val="20"/>
        </w:rPr>
        <w:t>el derecho a solicitar y participar en un procedimiento revocatorio como el referido en autos</w:t>
      </w:r>
      <w:r w:rsidRPr="006A0A3F">
        <w:rPr>
          <w:rFonts w:ascii="Verdana" w:hAnsi="Verdana"/>
          <w:sz w:val="20"/>
          <w:szCs w:val="20"/>
        </w:rPr>
        <w:t xml:space="preserve"> es un derecho político protegido por la Convención</w:t>
      </w:r>
      <w:r w:rsidR="00E128ED" w:rsidRPr="006A0A3F">
        <w:rPr>
          <w:rFonts w:ascii="Verdana" w:hAnsi="Verdana"/>
          <w:sz w:val="20"/>
          <w:szCs w:val="20"/>
        </w:rPr>
        <w:t xml:space="preserve">. Por otra parte, es asimismo evidente que, </w:t>
      </w:r>
      <w:r w:rsidR="00F8746F" w:rsidRPr="006A0A3F">
        <w:rPr>
          <w:rFonts w:ascii="Verdana" w:hAnsi="Verdana"/>
          <w:sz w:val="20"/>
          <w:szCs w:val="20"/>
        </w:rPr>
        <w:t>de conformidad con el artículo 29 de la Convención</w:t>
      </w:r>
      <w:r w:rsidR="00E128ED" w:rsidRPr="006A0A3F">
        <w:rPr>
          <w:rFonts w:ascii="Verdana" w:hAnsi="Verdana"/>
          <w:sz w:val="20"/>
          <w:szCs w:val="20"/>
        </w:rPr>
        <w:t>,</w:t>
      </w:r>
      <w:r w:rsidR="00F8746F" w:rsidRPr="006A0A3F">
        <w:rPr>
          <w:rFonts w:ascii="Verdana" w:hAnsi="Verdana"/>
          <w:sz w:val="20"/>
          <w:szCs w:val="20"/>
        </w:rPr>
        <w:t xml:space="preserve"> sus disposiciones no pueden interpretarse en el sentido de excluir derechos y garantías “que derivan de la forma democrática representativa de gobierno” (inciso c) o </w:t>
      </w:r>
      <w:r w:rsidR="006B7AD9" w:rsidRPr="006A0A3F">
        <w:rPr>
          <w:rFonts w:ascii="Verdana" w:hAnsi="Verdana"/>
          <w:sz w:val="20"/>
          <w:szCs w:val="20"/>
        </w:rPr>
        <w:t>de “limitar</w:t>
      </w:r>
      <w:r w:rsidR="00F8746F" w:rsidRPr="006A0A3F">
        <w:rPr>
          <w:rFonts w:ascii="Verdana" w:hAnsi="Verdana"/>
          <w:sz w:val="20"/>
          <w:szCs w:val="20"/>
        </w:rPr>
        <w:t xml:space="preserve"> el goce y ejercicio de cualquier derecho o libertad que pueda estar reconocido de acuerdo con las leyes de cualquiera de los Estados Partes” (inciso b). </w:t>
      </w:r>
      <w:r w:rsidR="009952FF" w:rsidRPr="006A0A3F">
        <w:rPr>
          <w:rFonts w:ascii="Verdana" w:hAnsi="Verdana"/>
          <w:sz w:val="20"/>
          <w:szCs w:val="20"/>
        </w:rPr>
        <w:t xml:space="preserve"> </w:t>
      </w:r>
    </w:p>
    <w:p w14:paraId="3EA5F83F" w14:textId="77777777" w:rsidR="00847F07" w:rsidRPr="006A0A3F" w:rsidRDefault="00847F07" w:rsidP="00847F07">
      <w:pPr>
        <w:pBdr>
          <w:top w:val="nil"/>
        </w:pBdr>
        <w:spacing w:after="0" w:line="240" w:lineRule="auto"/>
        <w:jc w:val="both"/>
        <w:rPr>
          <w:rFonts w:ascii="Verdana" w:hAnsi="Verdana"/>
          <w:sz w:val="20"/>
          <w:szCs w:val="20"/>
        </w:rPr>
      </w:pPr>
    </w:p>
    <w:p w14:paraId="438BA5D9" w14:textId="3D870493" w:rsidR="00847F07" w:rsidRPr="006A0A3F" w:rsidRDefault="00847F07" w:rsidP="00847F0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este sentido, es menester tener presente que, en este caso, el ejercicio del derecho a solicitar un referendo revocatorio estaba expresamente previsto en el artículo 72 de la Constitución de la República Bolivariana de Venezuela y </w:t>
      </w:r>
      <w:r w:rsidR="001B27B0">
        <w:rPr>
          <w:rFonts w:ascii="Verdana" w:hAnsi="Verdana"/>
          <w:sz w:val="20"/>
          <w:szCs w:val="20"/>
        </w:rPr>
        <w:t xml:space="preserve">que </w:t>
      </w:r>
      <w:r w:rsidRPr="006A0A3F">
        <w:rPr>
          <w:rFonts w:ascii="Verdana" w:hAnsi="Verdana"/>
          <w:sz w:val="20"/>
          <w:szCs w:val="20"/>
        </w:rPr>
        <w:t xml:space="preserve">las presuntas víctimas, como ciudadanas, estaban facultadas a solicitarlo de manera individual o, como en efecto ocurrió, en el marco de una organización ciudadana que recolectó las firmas y las presentó al </w:t>
      </w:r>
      <w:r w:rsidR="00D0656B" w:rsidRPr="006A0A3F">
        <w:rPr>
          <w:rFonts w:ascii="Verdana" w:hAnsi="Verdana"/>
          <w:sz w:val="20"/>
          <w:szCs w:val="20"/>
        </w:rPr>
        <w:t>Consejo Nacional Electoral</w:t>
      </w:r>
      <w:r w:rsidRPr="006A0A3F">
        <w:rPr>
          <w:rFonts w:ascii="Verdana" w:hAnsi="Verdana"/>
          <w:sz w:val="20"/>
          <w:szCs w:val="20"/>
        </w:rPr>
        <w:t>. En esos términos, tal mecanismo de democracia participativa estaba previsto como un derecho de carácter político para los ciudadanos.</w:t>
      </w:r>
      <w:r w:rsidR="00EF4196" w:rsidRPr="006A0A3F">
        <w:rPr>
          <w:rFonts w:ascii="Verdana" w:hAnsi="Verdana"/>
          <w:sz w:val="20"/>
          <w:szCs w:val="20"/>
        </w:rPr>
        <w:t xml:space="preserve"> </w:t>
      </w:r>
    </w:p>
    <w:p w14:paraId="6E218266" w14:textId="77777777" w:rsidR="0088471E" w:rsidRPr="006A0A3F" w:rsidRDefault="0088471E" w:rsidP="0088471E">
      <w:pPr>
        <w:pBdr>
          <w:top w:val="nil"/>
        </w:pBdr>
        <w:spacing w:after="0" w:line="240" w:lineRule="auto"/>
        <w:jc w:val="both"/>
        <w:rPr>
          <w:rFonts w:ascii="Verdana" w:hAnsi="Verdana"/>
          <w:sz w:val="20"/>
          <w:szCs w:val="20"/>
        </w:rPr>
      </w:pPr>
    </w:p>
    <w:p w14:paraId="5CC50215" w14:textId="7BD1056D" w:rsidR="0088471E" w:rsidRPr="006A0A3F" w:rsidRDefault="0088471E" w:rsidP="00FA36A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pacing w:val="-3"/>
          <w:sz w:val="20"/>
          <w:szCs w:val="20"/>
        </w:rPr>
        <w:t xml:space="preserve">Adicionalmente, es del caso considerar que el principio democrático permea la </w:t>
      </w:r>
      <w:r w:rsidRPr="006A0A3F">
        <w:rPr>
          <w:rFonts w:ascii="Verdana" w:hAnsi="Verdana"/>
          <w:sz w:val="20"/>
          <w:szCs w:val="20"/>
        </w:rPr>
        <w:t>Convención</w:t>
      </w:r>
      <w:r w:rsidRPr="006A0A3F">
        <w:rPr>
          <w:rFonts w:ascii="Verdana" w:hAnsi="Verdana"/>
          <w:spacing w:val="-3"/>
          <w:sz w:val="20"/>
          <w:szCs w:val="20"/>
        </w:rPr>
        <w:t xml:space="preserve"> y, en general, el Sistema Interamericano, en el cual, </w:t>
      </w:r>
      <w:r w:rsidRPr="006A0A3F">
        <w:rPr>
          <w:rFonts w:ascii="Verdana" w:hAnsi="Verdana"/>
          <w:sz w:val="20"/>
          <w:szCs w:val="20"/>
        </w:rPr>
        <w:t>la relación entre derechos humanos, democracia representativa y derechos políticos en particular, quedó plasmada en la Carta Democrática Interamericana</w:t>
      </w:r>
      <w:r w:rsidRPr="006A0A3F">
        <w:rPr>
          <w:rStyle w:val="FootnoteReference"/>
          <w:rFonts w:ascii="Verdana" w:hAnsi="Verdana"/>
          <w:sz w:val="20"/>
          <w:szCs w:val="20"/>
        </w:rPr>
        <w:footnoteReference w:id="181"/>
      </w:r>
      <w:r w:rsidRPr="006A0A3F">
        <w:rPr>
          <w:rFonts w:ascii="Verdana" w:hAnsi="Verdana"/>
          <w:sz w:val="20"/>
          <w:szCs w:val="20"/>
        </w:rPr>
        <w:t>. Este instrumento jurídico es una norma de interpretación auténtica de los tratados a que se refiere, pues recoge la interpretación que los propios Estados miembros de la OEA, incluyendo a los Estados parte en la Convención, hacen de las normas atingentes a la democracia tanto de la Carta de la OEA como de ésta</w:t>
      </w:r>
      <w:r w:rsidRPr="006A0A3F">
        <w:rPr>
          <w:rStyle w:val="FootnoteReference"/>
          <w:rFonts w:ascii="Verdana" w:hAnsi="Verdana"/>
          <w:sz w:val="20"/>
          <w:szCs w:val="20"/>
        </w:rPr>
        <w:footnoteReference w:id="182"/>
      </w:r>
      <w:r w:rsidRPr="006A0A3F">
        <w:rPr>
          <w:rFonts w:ascii="Verdana" w:hAnsi="Verdana"/>
          <w:sz w:val="20"/>
          <w:szCs w:val="20"/>
        </w:rPr>
        <w:t>. En los términos de la Carta Democrática, “e</w:t>
      </w:r>
      <w:r w:rsidRPr="006A0A3F">
        <w:rPr>
          <w:rFonts w:ascii="Verdana" w:hAnsi="Verdana"/>
          <w:sz w:val="20"/>
          <w:szCs w:val="20"/>
          <w:shd w:val="clear" w:color="auto" w:fill="FFFFFF"/>
        </w:rPr>
        <w:t xml:space="preserve">l ejercicio efectivo de la democracia representativa es la base del estado de derecho y los regímenes constitucionales de los Estados Miembros de la [OEA]” y aquélla “se </w:t>
      </w:r>
      <w:r w:rsidRPr="006A0A3F">
        <w:rPr>
          <w:rFonts w:ascii="Verdana" w:hAnsi="Verdana"/>
          <w:sz w:val="20"/>
          <w:szCs w:val="20"/>
          <w:shd w:val="clear" w:color="auto" w:fill="FFFFFF"/>
        </w:rPr>
        <w:lastRenderedPageBreak/>
        <w:t>refuerza y profundiza con la participación permanente, ética y responsable de la ciudadanía en un marco de legalidad conforme al respectivo orden constitucional”</w:t>
      </w:r>
      <w:r w:rsidRPr="006A0A3F">
        <w:rPr>
          <w:rStyle w:val="FootnoteReference"/>
          <w:rFonts w:ascii="Verdana" w:hAnsi="Verdana"/>
          <w:sz w:val="20"/>
          <w:szCs w:val="20"/>
          <w:shd w:val="clear" w:color="auto" w:fill="FFFFFF"/>
        </w:rPr>
        <w:footnoteReference w:id="183"/>
      </w:r>
      <w:r w:rsidRPr="006A0A3F">
        <w:rPr>
          <w:rFonts w:ascii="Verdana" w:hAnsi="Verdana"/>
          <w:sz w:val="20"/>
          <w:szCs w:val="20"/>
          <w:shd w:val="clear" w:color="auto" w:fill="FFFFFF"/>
        </w:rPr>
        <w:t xml:space="preserve">. El ejercicio efectivo de la democracia en los Estados americanos constituye, entonces, una obligación jurídica internacional y éstos soberanamente han consentido en que dicho ejercicio ha dejado de ser únicamente un asunto de su jurisdicción doméstica, interna o exclusiva. </w:t>
      </w:r>
    </w:p>
    <w:p w14:paraId="0CEDCB14" w14:textId="77777777" w:rsidR="0088471E" w:rsidRPr="006A0A3F" w:rsidRDefault="0088471E" w:rsidP="0088471E">
      <w:pPr>
        <w:pBdr>
          <w:top w:val="nil"/>
        </w:pBdr>
        <w:spacing w:after="0" w:line="240" w:lineRule="auto"/>
        <w:jc w:val="both"/>
        <w:rPr>
          <w:rFonts w:ascii="Verdana" w:hAnsi="Verdana"/>
          <w:b/>
          <w:color w:val="FF0000"/>
          <w:sz w:val="20"/>
          <w:szCs w:val="20"/>
        </w:rPr>
      </w:pPr>
    </w:p>
    <w:p w14:paraId="447B1A37" w14:textId="60F04036" w:rsidR="00F8746F" w:rsidRPr="006A0A3F" w:rsidRDefault="009172C8" w:rsidP="00FA36AB">
      <w:pPr>
        <w:numPr>
          <w:ilvl w:val="0"/>
          <w:numId w:val="4"/>
        </w:numPr>
        <w:pBdr>
          <w:top w:val="nil"/>
        </w:pBdr>
        <w:spacing w:after="0" w:line="240" w:lineRule="auto"/>
        <w:ind w:left="0" w:firstLine="0"/>
        <w:jc w:val="both"/>
        <w:rPr>
          <w:rFonts w:ascii="Verdana" w:hAnsi="Verdana"/>
          <w:b/>
          <w:sz w:val="20"/>
          <w:szCs w:val="20"/>
        </w:rPr>
      </w:pPr>
      <w:r w:rsidRPr="006A0A3F">
        <w:rPr>
          <w:rFonts w:ascii="Verdana" w:hAnsi="Verdana"/>
          <w:sz w:val="20"/>
          <w:szCs w:val="20"/>
          <w:shd w:val="clear" w:color="auto" w:fill="FFFFFF"/>
        </w:rPr>
        <w:t>Pues bien, s</w:t>
      </w:r>
      <w:r w:rsidR="0088471E" w:rsidRPr="006A0A3F">
        <w:rPr>
          <w:rFonts w:ascii="Verdana" w:hAnsi="Verdana"/>
          <w:sz w:val="20"/>
          <w:szCs w:val="20"/>
          <w:shd w:val="clear" w:color="auto" w:fill="FFFFFF"/>
        </w:rPr>
        <w:t>egún la referida Carta, son “elementos esenciales de la democracia represe</w:t>
      </w:r>
      <w:r w:rsidRPr="006A0A3F">
        <w:rPr>
          <w:rFonts w:ascii="Verdana" w:hAnsi="Verdana"/>
          <w:sz w:val="20"/>
          <w:szCs w:val="20"/>
          <w:shd w:val="clear" w:color="auto" w:fill="FFFFFF"/>
        </w:rPr>
        <w:t>ntativa”</w:t>
      </w:r>
      <w:r w:rsidR="0088471E" w:rsidRPr="006A0A3F">
        <w:rPr>
          <w:rFonts w:ascii="Verdana" w:hAnsi="Verdana"/>
          <w:sz w:val="20"/>
          <w:szCs w:val="20"/>
          <w:shd w:val="clear" w:color="auto" w:fill="FFFFFF"/>
        </w:rPr>
        <w:t>, entre otros: “el respeto a los derechos humanos y las libertades fundamentales; el acceso al poder y su ejercicio con sujeción al estado de der</w:t>
      </w:r>
      <w:r w:rsidRPr="006A0A3F">
        <w:rPr>
          <w:rFonts w:ascii="Verdana" w:hAnsi="Verdana"/>
          <w:sz w:val="20"/>
          <w:szCs w:val="20"/>
          <w:shd w:val="clear" w:color="auto" w:fill="FFFFFF"/>
        </w:rPr>
        <w:t>echo</w:t>
      </w:r>
      <w:r w:rsidR="00CC69E8" w:rsidRPr="006A0A3F">
        <w:rPr>
          <w:rFonts w:ascii="Verdana" w:hAnsi="Verdana"/>
          <w:sz w:val="20"/>
          <w:szCs w:val="20"/>
          <w:shd w:val="clear" w:color="auto" w:fill="FFFFFF"/>
        </w:rPr>
        <w:t xml:space="preserve">; </w:t>
      </w:r>
      <w:r w:rsidR="00CC69E8" w:rsidRPr="006A0A3F">
        <w:rPr>
          <w:rFonts w:ascii="Verdana" w:hAnsi="Verdana"/>
          <w:color w:val="000000"/>
          <w:sz w:val="20"/>
          <w:szCs w:val="20"/>
          <w:shd w:val="clear" w:color="auto" w:fill="FFFFFF"/>
        </w:rPr>
        <w:t>[…] la separación e independencia de los poderes públicos”</w:t>
      </w:r>
      <w:r w:rsidR="0088471E" w:rsidRPr="006A0A3F">
        <w:rPr>
          <w:rStyle w:val="FootnoteReference"/>
          <w:rFonts w:ascii="Verdana" w:hAnsi="Verdana"/>
          <w:sz w:val="20"/>
          <w:szCs w:val="20"/>
          <w:shd w:val="clear" w:color="auto" w:fill="FFFFFF"/>
        </w:rPr>
        <w:footnoteReference w:id="184"/>
      </w:r>
      <w:r w:rsidRPr="006A0A3F">
        <w:rPr>
          <w:rFonts w:ascii="Verdana" w:hAnsi="Verdana"/>
          <w:sz w:val="20"/>
          <w:szCs w:val="20"/>
          <w:shd w:val="clear" w:color="auto" w:fill="FFFFFF"/>
        </w:rPr>
        <w:t xml:space="preserve"> y</w:t>
      </w:r>
      <w:r w:rsidR="00CC69E8" w:rsidRPr="006A0A3F">
        <w:rPr>
          <w:rFonts w:ascii="Verdana" w:hAnsi="Verdana"/>
          <w:sz w:val="20"/>
          <w:szCs w:val="20"/>
          <w:shd w:val="clear" w:color="auto" w:fill="FFFFFF"/>
        </w:rPr>
        <w:t>,</w:t>
      </w:r>
      <w:r w:rsidRPr="006A0A3F">
        <w:rPr>
          <w:rFonts w:ascii="Verdana" w:hAnsi="Verdana"/>
          <w:sz w:val="20"/>
          <w:szCs w:val="20"/>
          <w:shd w:val="clear" w:color="auto" w:fill="FFFFFF"/>
        </w:rPr>
        <w:t xml:space="preserve"> e</w:t>
      </w:r>
      <w:r w:rsidR="0088471E" w:rsidRPr="006A0A3F">
        <w:rPr>
          <w:rFonts w:ascii="Verdana" w:hAnsi="Verdana"/>
          <w:sz w:val="20"/>
          <w:szCs w:val="20"/>
          <w:shd w:val="clear" w:color="auto" w:fill="FFFFFF"/>
        </w:rPr>
        <w:t>n definitiva, “la participación de la ciudadanía en las decisiones relativas a su propio desarrollo es un derecho y una responsabilidad” y “es también una condición necesaria para el pleno y efectivo ejercicio de la democracia”</w:t>
      </w:r>
      <w:r w:rsidR="0088471E" w:rsidRPr="006A0A3F">
        <w:rPr>
          <w:rStyle w:val="FootnoteReference"/>
          <w:rFonts w:ascii="Verdana" w:hAnsi="Verdana"/>
          <w:sz w:val="20"/>
          <w:szCs w:val="20"/>
          <w:shd w:val="clear" w:color="auto" w:fill="FFFFFF"/>
        </w:rPr>
        <w:footnoteReference w:id="185"/>
      </w:r>
      <w:r w:rsidR="0088471E" w:rsidRPr="006A0A3F">
        <w:rPr>
          <w:rFonts w:ascii="Verdana" w:hAnsi="Verdana"/>
          <w:sz w:val="20"/>
          <w:szCs w:val="20"/>
          <w:shd w:val="clear" w:color="auto" w:fill="FFFFFF"/>
        </w:rPr>
        <w:t>, por lo cual “la eliminación de toda forma de discriminación […] y de las diversas formas de intolerancia […] contribuyen al fortalecimiento de la democracia y la participación ciudadana”</w:t>
      </w:r>
      <w:r w:rsidR="0088471E" w:rsidRPr="006A0A3F">
        <w:rPr>
          <w:rStyle w:val="FootnoteReference"/>
          <w:rFonts w:ascii="Verdana" w:hAnsi="Verdana"/>
          <w:sz w:val="20"/>
          <w:szCs w:val="20"/>
          <w:shd w:val="clear" w:color="auto" w:fill="FFFFFF"/>
        </w:rPr>
        <w:footnoteReference w:id="186"/>
      </w:r>
      <w:r w:rsidR="0088471E" w:rsidRPr="006A0A3F">
        <w:rPr>
          <w:rFonts w:ascii="Verdana" w:hAnsi="Verdana"/>
          <w:sz w:val="20"/>
          <w:szCs w:val="20"/>
          <w:shd w:val="clear" w:color="auto" w:fill="FFFFFF"/>
        </w:rPr>
        <w:t>.</w:t>
      </w:r>
      <w:r w:rsidR="00641BB8" w:rsidRPr="006A0A3F">
        <w:rPr>
          <w:rFonts w:ascii="Verdana" w:hAnsi="Verdana"/>
          <w:sz w:val="20"/>
          <w:szCs w:val="20"/>
          <w:shd w:val="clear" w:color="auto" w:fill="FFFFFF"/>
        </w:rPr>
        <w:t xml:space="preserve"> </w:t>
      </w:r>
    </w:p>
    <w:p w14:paraId="5C773DFC" w14:textId="77777777" w:rsidR="00F8746F" w:rsidRPr="006A0A3F" w:rsidRDefault="00F8746F" w:rsidP="00F8746F">
      <w:pPr>
        <w:pBdr>
          <w:top w:val="nil"/>
        </w:pBdr>
        <w:spacing w:after="0" w:line="240" w:lineRule="auto"/>
        <w:jc w:val="both"/>
        <w:rPr>
          <w:rFonts w:ascii="Verdana" w:hAnsi="Verdana"/>
          <w:sz w:val="20"/>
          <w:szCs w:val="20"/>
        </w:rPr>
      </w:pPr>
    </w:p>
    <w:p w14:paraId="5CDA8AA9" w14:textId="7F0AA88B" w:rsidR="005545EF" w:rsidRPr="006A0A3F" w:rsidRDefault="00947A4E" w:rsidP="005545EF">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z w:val="20"/>
          <w:szCs w:val="20"/>
        </w:rPr>
        <w:t>En este caso se alega que las señoras San Miguel, Chang y Coromoto fueron discriminadas</w:t>
      </w:r>
      <w:r w:rsidR="000C5BEF" w:rsidRPr="006A0A3F">
        <w:rPr>
          <w:rFonts w:ascii="Verdana" w:hAnsi="Verdana"/>
          <w:sz w:val="20"/>
          <w:szCs w:val="20"/>
        </w:rPr>
        <w:t>,</w:t>
      </w:r>
      <w:r w:rsidRPr="006A0A3F">
        <w:rPr>
          <w:rFonts w:ascii="Verdana" w:hAnsi="Verdana"/>
          <w:sz w:val="20"/>
          <w:szCs w:val="20"/>
        </w:rPr>
        <w:t xml:space="preserve"> mediante la terminación de sus contratos de servicios con una entidad estatal</w:t>
      </w:r>
      <w:r w:rsidR="000C5BEF" w:rsidRPr="006A0A3F">
        <w:rPr>
          <w:rFonts w:ascii="Verdana" w:hAnsi="Verdana"/>
          <w:sz w:val="20"/>
          <w:szCs w:val="20"/>
        </w:rPr>
        <w:t xml:space="preserve">, precisamente </w:t>
      </w:r>
      <w:r w:rsidRPr="006A0A3F">
        <w:rPr>
          <w:rFonts w:ascii="Verdana" w:hAnsi="Verdana"/>
          <w:sz w:val="20"/>
          <w:szCs w:val="20"/>
        </w:rPr>
        <w:t>por haber</w:t>
      </w:r>
      <w:r w:rsidR="000C5BEF" w:rsidRPr="006A0A3F">
        <w:rPr>
          <w:rFonts w:ascii="Verdana" w:hAnsi="Verdana"/>
          <w:sz w:val="20"/>
          <w:szCs w:val="20"/>
        </w:rPr>
        <w:t xml:space="preserve"> firmado</w:t>
      </w:r>
      <w:r w:rsidRPr="006A0A3F">
        <w:rPr>
          <w:rFonts w:ascii="Verdana" w:hAnsi="Verdana"/>
          <w:sz w:val="20"/>
          <w:szCs w:val="20"/>
        </w:rPr>
        <w:t xml:space="preserve"> dicha solicitud de referendo. </w:t>
      </w:r>
      <w:r w:rsidR="0078387A" w:rsidRPr="006A0A3F">
        <w:rPr>
          <w:rFonts w:ascii="Verdana" w:hAnsi="Verdana"/>
          <w:sz w:val="20"/>
          <w:szCs w:val="20"/>
        </w:rPr>
        <w:t>Este Tribunal ha considerado que, a</w:t>
      </w:r>
      <w:r w:rsidR="005545EF" w:rsidRPr="006A0A3F">
        <w:rPr>
          <w:rFonts w:ascii="Verdana" w:hAnsi="Verdana"/>
          <w:sz w:val="20"/>
          <w:szCs w:val="20"/>
        </w:rPr>
        <w:t>l analizar un caso, se presume la existencia de un trato discriminatorio cuando éste se basa en una categoría prohibida de trato diferenciado establecida en el artículo 1.1 de la Convención</w:t>
      </w:r>
      <w:r w:rsidR="005545EF" w:rsidRPr="006A0A3F">
        <w:rPr>
          <w:rStyle w:val="FootnoteReference"/>
          <w:rFonts w:ascii="Verdana" w:hAnsi="Verdana" w:cs="Arial"/>
          <w:sz w:val="20"/>
          <w:szCs w:val="20"/>
        </w:rPr>
        <w:footnoteReference w:id="187"/>
      </w:r>
      <w:r w:rsidR="005545EF" w:rsidRPr="006A0A3F">
        <w:rPr>
          <w:rFonts w:ascii="Verdana" w:hAnsi="Verdana"/>
          <w:sz w:val="20"/>
          <w:szCs w:val="20"/>
        </w:rPr>
        <w:t xml:space="preserve">. </w:t>
      </w:r>
    </w:p>
    <w:p w14:paraId="1CF46D8F" w14:textId="77777777" w:rsidR="009516A3" w:rsidRPr="006A0A3F" w:rsidRDefault="009516A3" w:rsidP="004F249E">
      <w:pPr>
        <w:pBdr>
          <w:top w:val="nil"/>
        </w:pBdr>
        <w:spacing w:after="0" w:line="240" w:lineRule="auto"/>
        <w:jc w:val="both"/>
        <w:rPr>
          <w:rFonts w:ascii="Verdana" w:hAnsi="Verdana"/>
          <w:sz w:val="20"/>
          <w:szCs w:val="20"/>
        </w:rPr>
      </w:pPr>
    </w:p>
    <w:p w14:paraId="76243B4F" w14:textId="0424E9EE" w:rsidR="005545EF" w:rsidRPr="006A0A3F" w:rsidRDefault="002C6192" w:rsidP="005545EF">
      <w:pPr>
        <w:numPr>
          <w:ilvl w:val="0"/>
          <w:numId w:val="4"/>
        </w:numPr>
        <w:pBdr>
          <w:top w:val="nil"/>
        </w:pBdr>
        <w:spacing w:after="0" w:line="240" w:lineRule="auto"/>
        <w:ind w:left="0" w:firstLine="0"/>
        <w:jc w:val="both"/>
        <w:rPr>
          <w:rFonts w:ascii="Verdana" w:hAnsi="Verdana"/>
          <w:b/>
          <w:spacing w:val="-3"/>
          <w:sz w:val="20"/>
          <w:szCs w:val="20"/>
        </w:rPr>
      </w:pPr>
      <w:r w:rsidRPr="006A0A3F">
        <w:rPr>
          <w:rFonts w:ascii="Verdana" w:hAnsi="Verdana"/>
          <w:sz w:val="20"/>
          <w:szCs w:val="20"/>
        </w:rPr>
        <w:t>En los términos de las normas internacionales y constitucionales referidas,</w:t>
      </w:r>
      <w:r w:rsidR="007F50CC" w:rsidRPr="006A0A3F">
        <w:rPr>
          <w:rFonts w:ascii="Verdana" w:hAnsi="Verdana"/>
          <w:spacing w:val="-3"/>
          <w:sz w:val="20"/>
          <w:szCs w:val="20"/>
        </w:rPr>
        <w:t xml:space="preserve"> el acto de </w:t>
      </w:r>
      <w:r w:rsidR="00C968AB" w:rsidRPr="006A0A3F">
        <w:rPr>
          <w:rFonts w:ascii="Verdana" w:hAnsi="Verdana"/>
          <w:spacing w:val="-3"/>
          <w:sz w:val="20"/>
          <w:szCs w:val="20"/>
        </w:rPr>
        <w:t xml:space="preserve">firmar </w:t>
      </w:r>
      <w:r w:rsidR="007F50CC" w:rsidRPr="006A0A3F">
        <w:rPr>
          <w:rFonts w:ascii="Verdana" w:hAnsi="Verdana"/>
          <w:spacing w:val="-3"/>
          <w:sz w:val="20"/>
          <w:szCs w:val="20"/>
        </w:rPr>
        <w:t xml:space="preserve">la solicitud de </w:t>
      </w:r>
      <w:r w:rsidR="002C2419" w:rsidRPr="006A0A3F">
        <w:rPr>
          <w:rFonts w:ascii="Verdana" w:hAnsi="Verdana"/>
          <w:spacing w:val="-3"/>
          <w:sz w:val="20"/>
          <w:szCs w:val="20"/>
        </w:rPr>
        <w:t>referendo</w:t>
      </w:r>
      <w:r w:rsidRPr="006A0A3F">
        <w:rPr>
          <w:rFonts w:ascii="Verdana" w:hAnsi="Verdana"/>
          <w:spacing w:val="-3"/>
          <w:sz w:val="20"/>
          <w:szCs w:val="20"/>
        </w:rPr>
        <w:t>,</w:t>
      </w:r>
      <w:r w:rsidR="007F50CC" w:rsidRPr="006A0A3F">
        <w:rPr>
          <w:rFonts w:ascii="Verdana" w:hAnsi="Verdana"/>
          <w:spacing w:val="-3"/>
          <w:sz w:val="20"/>
          <w:szCs w:val="20"/>
        </w:rPr>
        <w:t xml:space="preserve"> </w:t>
      </w:r>
      <w:r w:rsidRPr="006A0A3F">
        <w:rPr>
          <w:rFonts w:ascii="Verdana" w:hAnsi="Verdana"/>
          <w:spacing w:val="-3"/>
          <w:sz w:val="20"/>
          <w:szCs w:val="20"/>
        </w:rPr>
        <w:t xml:space="preserve">a efectos de </w:t>
      </w:r>
      <w:r w:rsidRPr="006A0A3F">
        <w:rPr>
          <w:rFonts w:ascii="Verdana" w:hAnsi="Verdana"/>
          <w:sz w:val="20"/>
          <w:szCs w:val="20"/>
        </w:rPr>
        <w:t>la revocatoria de un funcionario público de alto rango, en este caso el Presidente de la República,</w:t>
      </w:r>
      <w:r w:rsidRPr="006A0A3F">
        <w:rPr>
          <w:rFonts w:ascii="Verdana" w:hAnsi="Verdana"/>
          <w:spacing w:val="-3"/>
          <w:sz w:val="20"/>
          <w:szCs w:val="20"/>
        </w:rPr>
        <w:t xml:space="preserve"> </w:t>
      </w:r>
      <w:r w:rsidR="00C968AB" w:rsidRPr="006A0A3F">
        <w:rPr>
          <w:rFonts w:ascii="Verdana" w:hAnsi="Verdana"/>
          <w:spacing w:val="-3"/>
          <w:sz w:val="20"/>
          <w:szCs w:val="20"/>
        </w:rPr>
        <w:t>implica</w:t>
      </w:r>
      <w:r w:rsidR="007F50CC" w:rsidRPr="006A0A3F">
        <w:rPr>
          <w:rFonts w:ascii="Verdana" w:hAnsi="Verdana"/>
          <w:spacing w:val="-3"/>
          <w:sz w:val="20"/>
          <w:szCs w:val="20"/>
        </w:rPr>
        <w:t xml:space="preserve">ba </w:t>
      </w:r>
      <w:r w:rsidR="0053228D" w:rsidRPr="006A0A3F">
        <w:rPr>
          <w:rFonts w:ascii="Verdana" w:hAnsi="Verdana"/>
          <w:spacing w:val="-3"/>
          <w:sz w:val="20"/>
          <w:szCs w:val="20"/>
        </w:rPr>
        <w:t>la participación en un procedimiento</w:t>
      </w:r>
      <w:r w:rsidRPr="006A0A3F">
        <w:rPr>
          <w:rFonts w:ascii="Verdana" w:hAnsi="Verdana"/>
          <w:spacing w:val="-3"/>
          <w:sz w:val="20"/>
          <w:szCs w:val="20"/>
        </w:rPr>
        <w:t xml:space="preserve"> de activación de </w:t>
      </w:r>
      <w:r w:rsidR="00C968AB" w:rsidRPr="006A0A3F">
        <w:rPr>
          <w:rFonts w:ascii="Verdana" w:hAnsi="Verdana"/>
          <w:spacing w:val="-3"/>
          <w:sz w:val="20"/>
          <w:szCs w:val="20"/>
        </w:rPr>
        <w:t xml:space="preserve">un </w:t>
      </w:r>
      <w:r w:rsidR="007F50CC" w:rsidRPr="006A0A3F">
        <w:rPr>
          <w:rFonts w:ascii="Verdana" w:hAnsi="Verdana"/>
          <w:spacing w:val="-3"/>
          <w:sz w:val="20"/>
          <w:szCs w:val="20"/>
        </w:rPr>
        <w:t>mecanismo de democracia directa</w:t>
      </w:r>
      <w:r w:rsidR="00AE2A7D" w:rsidRPr="006A0A3F">
        <w:rPr>
          <w:rFonts w:ascii="Verdana" w:hAnsi="Verdana"/>
          <w:spacing w:val="-3"/>
          <w:sz w:val="20"/>
          <w:szCs w:val="20"/>
        </w:rPr>
        <w:t xml:space="preserve"> reconocido en el ordenamiento jurídico interno</w:t>
      </w:r>
      <w:r w:rsidR="007F50CC" w:rsidRPr="006A0A3F">
        <w:rPr>
          <w:rFonts w:ascii="Verdana" w:hAnsi="Verdana"/>
          <w:spacing w:val="-3"/>
          <w:sz w:val="20"/>
          <w:szCs w:val="20"/>
        </w:rPr>
        <w:t>.</w:t>
      </w:r>
      <w:r w:rsidRPr="006A0A3F">
        <w:rPr>
          <w:rFonts w:ascii="Verdana" w:hAnsi="Verdana"/>
          <w:spacing w:val="-3"/>
          <w:sz w:val="20"/>
          <w:szCs w:val="20"/>
        </w:rPr>
        <w:t xml:space="preserve"> Es decir, </w:t>
      </w:r>
      <w:r w:rsidR="00C2538D" w:rsidRPr="006A0A3F">
        <w:rPr>
          <w:rFonts w:ascii="Verdana" w:hAnsi="Verdana"/>
          <w:spacing w:val="-3"/>
          <w:sz w:val="20"/>
          <w:szCs w:val="20"/>
        </w:rPr>
        <w:t xml:space="preserve">tal acto </w:t>
      </w:r>
      <w:r w:rsidRPr="006A0A3F">
        <w:rPr>
          <w:rFonts w:ascii="Verdana" w:hAnsi="Verdana"/>
          <w:spacing w:val="-3"/>
          <w:sz w:val="20"/>
          <w:szCs w:val="20"/>
        </w:rPr>
        <w:t xml:space="preserve">conllevaba intrínsecamente el ejercicio de un derecho de participación política, </w:t>
      </w:r>
      <w:r w:rsidRPr="006A0A3F">
        <w:rPr>
          <w:rFonts w:ascii="Verdana" w:hAnsi="Verdana"/>
          <w:sz w:val="20"/>
          <w:szCs w:val="20"/>
        </w:rPr>
        <w:t xml:space="preserve">previsto en la Constitución venezolana de manera específica y </w:t>
      </w:r>
      <w:r w:rsidRPr="006A0A3F">
        <w:rPr>
          <w:rFonts w:ascii="Verdana" w:hAnsi="Verdana"/>
          <w:spacing w:val="-3"/>
          <w:sz w:val="20"/>
          <w:szCs w:val="20"/>
        </w:rPr>
        <w:t xml:space="preserve">protegido </w:t>
      </w:r>
      <w:r w:rsidR="0053228D" w:rsidRPr="006A0A3F">
        <w:rPr>
          <w:rFonts w:ascii="Verdana" w:hAnsi="Verdana"/>
          <w:spacing w:val="-3"/>
          <w:sz w:val="20"/>
          <w:szCs w:val="20"/>
        </w:rPr>
        <w:t xml:space="preserve">entonces </w:t>
      </w:r>
      <w:r w:rsidRPr="006A0A3F">
        <w:rPr>
          <w:rFonts w:ascii="Verdana" w:hAnsi="Verdana"/>
          <w:spacing w:val="-3"/>
          <w:sz w:val="20"/>
          <w:szCs w:val="20"/>
        </w:rPr>
        <w:t>por el artículo 23 de la Convención.</w:t>
      </w:r>
      <w:r w:rsidR="00F8746F" w:rsidRPr="006A0A3F">
        <w:rPr>
          <w:rFonts w:ascii="Verdana" w:hAnsi="Verdana"/>
          <w:spacing w:val="-3"/>
          <w:sz w:val="20"/>
          <w:szCs w:val="20"/>
        </w:rPr>
        <w:t xml:space="preserve"> </w:t>
      </w:r>
      <w:r w:rsidR="00D77E10" w:rsidRPr="006A0A3F">
        <w:rPr>
          <w:rFonts w:ascii="Verdana" w:hAnsi="Verdana"/>
          <w:sz w:val="20"/>
          <w:szCs w:val="20"/>
        </w:rPr>
        <w:t xml:space="preserve">En efecto, al resolver la acción de amparo, el juzgado tomó como hecho no controvertido “que las accionantes firmaron apoyando el referéndum […] por lo que ejercieron válidamente su derecho de participación política”. </w:t>
      </w:r>
      <w:r w:rsidR="00C842D4" w:rsidRPr="006A0A3F">
        <w:rPr>
          <w:rFonts w:ascii="Verdana" w:hAnsi="Verdana"/>
          <w:spacing w:val="-3"/>
          <w:sz w:val="20"/>
          <w:szCs w:val="20"/>
        </w:rPr>
        <w:t>La Corte reafirma que, e</w:t>
      </w:r>
      <w:r w:rsidR="005545EF" w:rsidRPr="006A0A3F">
        <w:rPr>
          <w:rFonts w:ascii="Verdana" w:hAnsi="Verdana"/>
          <w:spacing w:val="-3"/>
          <w:sz w:val="20"/>
          <w:szCs w:val="20"/>
        </w:rPr>
        <w:t xml:space="preserve">n los términos del artículo 1.1 de la </w:t>
      </w:r>
      <w:r w:rsidR="00C842D4" w:rsidRPr="006A0A3F">
        <w:rPr>
          <w:rFonts w:ascii="Verdana" w:hAnsi="Verdana"/>
          <w:spacing w:val="-3"/>
          <w:sz w:val="20"/>
          <w:szCs w:val="20"/>
        </w:rPr>
        <w:t>Convención</w:t>
      </w:r>
      <w:r w:rsidR="005545EF" w:rsidRPr="006A0A3F">
        <w:rPr>
          <w:rFonts w:ascii="Verdana" w:hAnsi="Verdana"/>
          <w:spacing w:val="-3"/>
          <w:sz w:val="20"/>
          <w:szCs w:val="20"/>
        </w:rPr>
        <w:t>, en una sociedad democrática una persona nunca podría ser discriminada por sus opiniones políticas o por ejercer legítimamente derechos políticos.</w:t>
      </w:r>
      <w:r w:rsidR="005A26A4" w:rsidRPr="006A0A3F">
        <w:rPr>
          <w:rFonts w:ascii="Verdana" w:hAnsi="Verdana"/>
          <w:spacing w:val="-3"/>
          <w:sz w:val="20"/>
          <w:szCs w:val="20"/>
        </w:rPr>
        <w:t xml:space="preserve"> </w:t>
      </w:r>
    </w:p>
    <w:p w14:paraId="73AA198E" w14:textId="77777777" w:rsidR="00947A4E" w:rsidRPr="006A0A3F" w:rsidRDefault="00947A4E" w:rsidP="009B0592">
      <w:pPr>
        <w:pBdr>
          <w:top w:val="nil"/>
        </w:pBdr>
        <w:spacing w:after="0" w:line="240" w:lineRule="auto"/>
        <w:jc w:val="both"/>
        <w:rPr>
          <w:rFonts w:ascii="Verdana" w:hAnsi="Verdana"/>
          <w:sz w:val="20"/>
          <w:szCs w:val="20"/>
          <w:highlight w:val="yellow"/>
        </w:rPr>
      </w:pPr>
    </w:p>
    <w:p w14:paraId="26C82D2A" w14:textId="7BDE0FC7" w:rsidR="000F3F62" w:rsidRPr="006A0A3F" w:rsidRDefault="00964FFB" w:rsidP="000F3F62">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z w:val="20"/>
          <w:szCs w:val="20"/>
        </w:rPr>
        <w:t xml:space="preserve">En </w:t>
      </w:r>
      <w:r w:rsidR="005E3D33" w:rsidRPr="006A0A3F">
        <w:rPr>
          <w:rFonts w:ascii="Verdana" w:hAnsi="Verdana"/>
          <w:sz w:val="20"/>
          <w:szCs w:val="20"/>
        </w:rPr>
        <w:t>este</w:t>
      </w:r>
      <w:r w:rsidRPr="006A0A3F">
        <w:rPr>
          <w:rFonts w:ascii="Verdana" w:hAnsi="Verdana"/>
          <w:sz w:val="20"/>
          <w:szCs w:val="20"/>
        </w:rPr>
        <w:t xml:space="preserve"> caso l</w:t>
      </w:r>
      <w:r w:rsidR="0071433E" w:rsidRPr="006A0A3F">
        <w:rPr>
          <w:rFonts w:ascii="Verdana" w:hAnsi="Verdana"/>
          <w:spacing w:val="-3"/>
          <w:sz w:val="20"/>
          <w:szCs w:val="20"/>
        </w:rPr>
        <w:t xml:space="preserve">o que se ha alegado es que las presuntas víctimas fueron objeto de represalia </w:t>
      </w:r>
      <w:r w:rsidR="000C5BEF" w:rsidRPr="006A0A3F">
        <w:rPr>
          <w:rFonts w:ascii="Verdana" w:hAnsi="Verdana"/>
          <w:spacing w:val="-3"/>
          <w:sz w:val="20"/>
          <w:szCs w:val="20"/>
        </w:rPr>
        <w:t xml:space="preserve">y discriminación </w:t>
      </w:r>
      <w:r w:rsidR="0071433E" w:rsidRPr="006A0A3F">
        <w:rPr>
          <w:rFonts w:ascii="Verdana" w:hAnsi="Verdana"/>
          <w:spacing w:val="-3"/>
          <w:sz w:val="20"/>
          <w:szCs w:val="20"/>
        </w:rPr>
        <w:t>porque las autoridades del CNF que decidieron o justificaron la terminación de sus contratos consideraron la referida fi</w:t>
      </w:r>
      <w:r w:rsidR="000C5BEF" w:rsidRPr="006A0A3F">
        <w:rPr>
          <w:rFonts w:ascii="Verdana" w:hAnsi="Verdana"/>
          <w:spacing w:val="-3"/>
          <w:sz w:val="20"/>
          <w:szCs w:val="20"/>
        </w:rPr>
        <w:t>r</w:t>
      </w:r>
      <w:r w:rsidR="0071433E" w:rsidRPr="006A0A3F">
        <w:rPr>
          <w:rFonts w:ascii="Verdana" w:hAnsi="Verdana"/>
          <w:spacing w:val="-3"/>
          <w:sz w:val="20"/>
          <w:szCs w:val="20"/>
        </w:rPr>
        <w:t>ma como un acto de deslealtad hacia el gobierno o como un “gesto de desconfianza”, al enterarse de ello luego de la pu</w:t>
      </w:r>
      <w:r w:rsidR="0096520A" w:rsidRPr="006A0A3F">
        <w:rPr>
          <w:rFonts w:ascii="Verdana" w:hAnsi="Verdana"/>
          <w:spacing w:val="-3"/>
          <w:sz w:val="20"/>
          <w:szCs w:val="20"/>
        </w:rPr>
        <w:t xml:space="preserve">blicación de la lista </w:t>
      </w:r>
      <w:proofErr w:type="spellStart"/>
      <w:r w:rsidR="0096520A" w:rsidRPr="006A0A3F">
        <w:rPr>
          <w:rFonts w:ascii="Verdana" w:hAnsi="Verdana"/>
          <w:spacing w:val="-3"/>
          <w:sz w:val="20"/>
          <w:szCs w:val="20"/>
        </w:rPr>
        <w:t>Tascón</w:t>
      </w:r>
      <w:proofErr w:type="spellEnd"/>
      <w:r w:rsidR="0071433E" w:rsidRPr="006A0A3F">
        <w:rPr>
          <w:rFonts w:ascii="Verdana" w:hAnsi="Verdana"/>
          <w:spacing w:val="-3"/>
          <w:sz w:val="20"/>
          <w:szCs w:val="20"/>
        </w:rPr>
        <w:t>. Es decir, independien</w:t>
      </w:r>
      <w:r w:rsidR="00C64CD7" w:rsidRPr="006A0A3F">
        <w:rPr>
          <w:rFonts w:ascii="Verdana" w:hAnsi="Verdana"/>
          <w:spacing w:val="-3"/>
          <w:sz w:val="20"/>
          <w:szCs w:val="20"/>
        </w:rPr>
        <w:t>t</w:t>
      </w:r>
      <w:r w:rsidR="0071433E" w:rsidRPr="006A0A3F">
        <w:rPr>
          <w:rFonts w:ascii="Verdana" w:hAnsi="Verdana"/>
          <w:spacing w:val="-3"/>
          <w:sz w:val="20"/>
          <w:szCs w:val="20"/>
        </w:rPr>
        <w:t>emente</w:t>
      </w:r>
      <w:r w:rsidR="0069147C">
        <w:rPr>
          <w:rFonts w:ascii="Verdana" w:hAnsi="Verdana"/>
          <w:spacing w:val="-3"/>
          <w:sz w:val="20"/>
          <w:szCs w:val="20"/>
        </w:rPr>
        <w:t xml:space="preserve"> </w:t>
      </w:r>
      <w:r w:rsidR="0071433E" w:rsidRPr="006A0A3F">
        <w:rPr>
          <w:rFonts w:ascii="Verdana" w:hAnsi="Verdana"/>
          <w:spacing w:val="-3"/>
          <w:sz w:val="20"/>
          <w:szCs w:val="20"/>
        </w:rPr>
        <w:t xml:space="preserve">de alguna opinión política desfavorable hacia el gobierno efectivamente </w:t>
      </w:r>
      <w:proofErr w:type="gramStart"/>
      <w:r w:rsidR="0071433E" w:rsidRPr="006A0A3F">
        <w:rPr>
          <w:rFonts w:ascii="Verdana" w:hAnsi="Verdana"/>
          <w:spacing w:val="-3"/>
          <w:sz w:val="20"/>
          <w:szCs w:val="20"/>
        </w:rPr>
        <w:t>manifestada</w:t>
      </w:r>
      <w:proofErr w:type="gramEnd"/>
      <w:r w:rsidR="0071433E" w:rsidRPr="006A0A3F">
        <w:rPr>
          <w:rFonts w:ascii="Verdana" w:hAnsi="Verdana"/>
          <w:spacing w:val="-3"/>
          <w:sz w:val="20"/>
          <w:szCs w:val="20"/>
        </w:rPr>
        <w:t>, lo que se alega es que tales autoridades lo asumieron</w:t>
      </w:r>
      <w:r w:rsidR="005545EF" w:rsidRPr="006A0A3F">
        <w:rPr>
          <w:rFonts w:ascii="Verdana" w:hAnsi="Verdana"/>
          <w:spacing w:val="-3"/>
          <w:sz w:val="20"/>
          <w:szCs w:val="20"/>
        </w:rPr>
        <w:t xml:space="preserve"> o percibieron</w:t>
      </w:r>
      <w:r w:rsidR="0071433E" w:rsidRPr="006A0A3F">
        <w:rPr>
          <w:rFonts w:ascii="Verdana" w:hAnsi="Verdana"/>
          <w:spacing w:val="-3"/>
          <w:sz w:val="20"/>
          <w:szCs w:val="20"/>
        </w:rPr>
        <w:t xml:space="preserve"> así por el hecho </w:t>
      </w:r>
      <w:r w:rsidR="000C5BEF" w:rsidRPr="006A0A3F">
        <w:rPr>
          <w:rFonts w:ascii="Verdana" w:hAnsi="Verdana"/>
          <w:spacing w:val="-3"/>
          <w:sz w:val="20"/>
          <w:szCs w:val="20"/>
        </w:rPr>
        <w:t xml:space="preserve">mismo </w:t>
      </w:r>
      <w:r w:rsidR="0071433E" w:rsidRPr="006A0A3F">
        <w:rPr>
          <w:rFonts w:ascii="Verdana" w:hAnsi="Verdana"/>
          <w:spacing w:val="-3"/>
          <w:sz w:val="20"/>
          <w:szCs w:val="20"/>
        </w:rPr>
        <w:t>de haber firmado.</w:t>
      </w:r>
      <w:r w:rsidR="000F3F62" w:rsidRPr="006A0A3F">
        <w:rPr>
          <w:rFonts w:ascii="Verdana" w:hAnsi="Verdana"/>
          <w:spacing w:val="-3"/>
          <w:sz w:val="20"/>
          <w:szCs w:val="20"/>
        </w:rPr>
        <w:t xml:space="preserve"> </w:t>
      </w:r>
      <w:r w:rsidR="0096520A" w:rsidRPr="006A0A3F">
        <w:rPr>
          <w:rFonts w:ascii="Verdana" w:hAnsi="Verdana"/>
          <w:sz w:val="20"/>
          <w:szCs w:val="20"/>
        </w:rPr>
        <w:t xml:space="preserve">En una sociedad democrática, la oposición política es consustancial y funcional a su existencia misma, por lo cual el haber sido </w:t>
      </w:r>
      <w:r w:rsidR="0069147C">
        <w:rPr>
          <w:rFonts w:ascii="Verdana" w:hAnsi="Verdana"/>
          <w:sz w:val="20"/>
          <w:szCs w:val="20"/>
        </w:rPr>
        <w:t>percibidas</w:t>
      </w:r>
      <w:r w:rsidR="0096520A" w:rsidRPr="006A0A3F">
        <w:rPr>
          <w:rFonts w:ascii="Verdana" w:hAnsi="Verdana"/>
          <w:sz w:val="20"/>
          <w:szCs w:val="20"/>
        </w:rPr>
        <w:t xml:space="preserve"> como opositoras políticas por el hecho de la firma de la solicitud no debe ser considerado, en sí mismo, un problema bajo la Convención. Lo que sí sería incompatible con ésta es utilizar tal percepción para </w:t>
      </w:r>
      <w:r w:rsidR="00EF4196" w:rsidRPr="006A0A3F">
        <w:rPr>
          <w:rFonts w:ascii="Verdana" w:hAnsi="Verdana"/>
          <w:sz w:val="20"/>
          <w:szCs w:val="20"/>
        </w:rPr>
        <w:t xml:space="preserve">discriminarlas </w:t>
      </w:r>
      <w:r w:rsidR="0096520A" w:rsidRPr="006A0A3F">
        <w:rPr>
          <w:rFonts w:ascii="Verdana" w:hAnsi="Verdana"/>
          <w:sz w:val="20"/>
          <w:szCs w:val="20"/>
        </w:rPr>
        <w:t>y eso es lo que corresponde a este Tribunal examinar.</w:t>
      </w:r>
    </w:p>
    <w:p w14:paraId="7D9654E1" w14:textId="77777777" w:rsidR="000F3F62" w:rsidRPr="006A0A3F" w:rsidRDefault="000F3F62" w:rsidP="000F3F62">
      <w:pPr>
        <w:pStyle w:val="ListParagraph"/>
        <w:rPr>
          <w:rFonts w:ascii="Verdana" w:hAnsi="Verdana"/>
          <w:sz w:val="20"/>
          <w:lang w:val="es-CR"/>
        </w:rPr>
      </w:pPr>
    </w:p>
    <w:p w14:paraId="5961C303" w14:textId="21001B43" w:rsidR="00433C88" w:rsidRPr="006A0A3F" w:rsidRDefault="0078387A" w:rsidP="00F05EC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lastRenderedPageBreak/>
        <w:t>S</w:t>
      </w:r>
      <w:r w:rsidR="00AF78E0" w:rsidRPr="006A0A3F">
        <w:rPr>
          <w:rFonts w:ascii="Verdana" w:hAnsi="Verdana"/>
          <w:sz w:val="20"/>
          <w:szCs w:val="20"/>
        </w:rPr>
        <w:t>e</w:t>
      </w:r>
      <w:r w:rsidR="00C10F3A" w:rsidRPr="006A0A3F">
        <w:rPr>
          <w:rFonts w:ascii="Verdana" w:hAnsi="Verdana"/>
          <w:sz w:val="20"/>
          <w:szCs w:val="20"/>
        </w:rPr>
        <w:t xml:space="preserve"> hace notar que en la carta </w:t>
      </w:r>
      <w:r w:rsidR="00352F7C" w:rsidRPr="006A0A3F">
        <w:rPr>
          <w:rFonts w:ascii="Verdana" w:hAnsi="Verdana"/>
          <w:sz w:val="20"/>
          <w:szCs w:val="20"/>
        </w:rPr>
        <w:t>suscrita por el entonces Presidente del Consejo Nacional de Fronteras</w:t>
      </w:r>
      <w:r w:rsidR="00C10F3A" w:rsidRPr="006A0A3F">
        <w:rPr>
          <w:rFonts w:ascii="Verdana" w:hAnsi="Verdana"/>
          <w:sz w:val="20"/>
          <w:szCs w:val="20"/>
        </w:rPr>
        <w:t xml:space="preserve">, </w:t>
      </w:r>
      <w:r w:rsidR="00BA19B8" w:rsidRPr="006A0A3F">
        <w:rPr>
          <w:rFonts w:ascii="Verdana" w:hAnsi="Verdana"/>
          <w:sz w:val="20"/>
          <w:szCs w:val="20"/>
        </w:rPr>
        <w:t xml:space="preserve">fechada 12 de marzo de 2004, </w:t>
      </w:r>
      <w:r w:rsidR="00C10F3A" w:rsidRPr="006A0A3F">
        <w:rPr>
          <w:rFonts w:ascii="Verdana" w:hAnsi="Verdana"/>
          <w:sz w:val="20"/>
          <w:szCs w:val="20"/>
        </w:rPr>
        <w:t xml:space="preserve">mediante la cual se les comunicó la terminación de los contratos, no se hizo constar razón o justificación legal alguna para ello. Fue posteriormente, en comunicaciones dirigidas a la Fiscalía y la Defensoría del Pueblo y en una entrevista radial, que el Secretario de </w:t>
      </w:r>
      <w:r w:rsidR="00234491" w:rsidRPr="006A0A3F">
        <w:rPr>
          <w:rFonts w:ascii="Verdana" w:hAnsi="Verdana"/>
          <w:sz w:val="20"/>
          <w:szCs w:val="20"/>
        </w:rPr>
        <w:t>aquel</w:t>
      </w:r>
      <w:r w:rsidR="00C10F3A" w:rsidRPr="006A0A3F">
        <w:rPr>
          <w:rFonts w:ascii="Verdana" w:hAnsi="Verdana"/>
          <w:sz w:val="20"/>
          <w:szCs w:val="20"/>
        </w:rPr>
        <w:t xml:space="preserve"> organismo manifestó que </w:t>
      </w:r>
      <w:r w:rsidR="00311DB1" w:rsidRPr="006A0A3F">
        <w:rPr>
          <w:rFonts w:ascii="Verdana" w:hAnsi="Verdana"/>
          <w:sz w:val="20"/>
          <w:szCs w:val="20"/>
        </w:rPr>
        <w:t xml:space="preserve">aquel funcionario </w:t>
      </w:r>
      <w:r w:rsidR="00C10F3A" w:rsidRPr="006A0A3F">
        <w:rPr>
          <w:rFonts w:ascii="Verdana" w:hAnsi="Verdana"/>
          <w:sz w:val="20"/>
          <w:szCs w:val="20"/>
        </w:rPr>
        <w:t>tomó tal decisión en aplicación de una facultad discrecional contemplada en la cláusula séptima de los contratos y que ello se dio en función de una reestructuración del organismo</w:t>
      </w:r>
      <w:r w:rsidR="00460E39" w:rsidRPr="006A0A3F">
        <w:rPr>
          <w:rFonts w:ascii="Verdana" w:hAnsi="Verdana"/>
          <w:sz w:val="20"/>
          <w:szCs w:val="20"/>
        </w:rPr>
        <w:t xml:space="preserve"> y/o como “una simple reducción de personal”</w:t>
      </w:r>
      <w:r w:rsidR="00AF78E0" w:rsidRPr="006A0A3F">
        <w:rPr>
          <w:rFonts w:ascii="Verdana" w:hAnsi="Verdana"/>
          <w:sz w:val="20"/>
          <w:szCs w:val="20"/>
        </w:rPr>
        <w:t xml:space="preserve"> (</w:t>
      </w:r>
      <w:r w:rsidR="00AF78E0" w:rsidRPr="006A0A3F">
        <w:rPr>
          <w:rFonts w:ascii="Verdana" w:hAnsi="Verdana"/>
          <w:i/>
          <w:sz w:val="20"/>
          <w:szCs w:val="20"/>
        </w:rPr>
        <w:t xml:space="preserve">supra </w:t>
      </w:r>
      <w:proofErr w:type="spellStart"/>
      <w:r w:rsidR="00B9416C">
        <w:rPr>
          <w:rFonts w:ascii="Verdana" w:hAnsi="Verdana"/>
          <w:sz w:val="20"/>
          <w:szCs w:val="20"/>
        </w:rPr>
        <w:t>párrs</w:t>
      </w:r>
      <w:proofErr w:type="spellEnd"/>
      <w:r w:rsidR="00B9416C">
        <w:rPr>
          <w:rFonts w:ascii="Verdana" w:hAnsi="Verdana"/>
          <w:sz w:val="20"/>
          <w:szCs w:val="20"/>
        </w:rPr>
        <w:t>. 76,</w:t>
      </w:r>
      <w:r w:rsidR="00DD3A50" w:rsidRPr="006A0A3F">
        <w:rPr>
          <w:rFonts w:ascii="Verdana" w:hAnsi="Verdana"/>
          <w:sz w:val="20"/>
          <w:szCs w:val="20"/>
        </w:rPr>
        <w:t xml:space="preserve"> 81</w:t>
      </w:r>
      <w:r w:rsidR="00B9416C">
        <w:rPr>
          <w:rFonts w:ascii="Verdana" w:hAnsi="Verdana"/>
          <w:sz w:val="20"/>
          <w:szCs w:val="20"/>
        </w:rPr>
        <w:t xml:space="preserve"> y 82</w:t>
      </w:r>
      <w:r w:rsidR="00AF78E0" w:rsidRPr="006A0A3F">
        <w:rPr>
          <w:rFonts w:ascii="Verdana" w:hAnsi="Verdana"/>
          <w:sz w:val="20"/>
          <w:szCs w:val="20"/>
        </w:rPr>
        <w:t>)</w:t>
      </w:r>
      <w:r w:rsidR="00C10F3A" w:rsidRPr="006A0A3F">
        <w:rPr>
          <w:rFonts w:ascii="Verdana" w:hAnsi="Verdana"/>
          <w:sz w:val="20"/>
          <w:szCs w:val="20"/>
        </w:rPr>
        <w:t xml:space="preserve">. </w:t>
      </w:r>
      <w:r w:rsidR="005833CC" w:rsidRPr="006A0A3F">
        <w:rPr>
          <w:rFonts w:ascii="Verdana" w:hAnsi="Verdana"/>
          <w:sz w:val="20"/>
          <w:szCs w:val="20"/>
        </w:rPr>
        <w:t>C</w:t>
      </w:r>
      <w:r w:rsidR="00F05EC7" w:rsidRPr="006A0A3F">
        <w:rPr>
          <w:rFonts w:ascii="Verdana" w:hAnsi="Verdana"/>
          <w:sz w:val="20"/>
          <w:szCs w:val="20"/>
        </w:rPr>
        <w:t xml:space="preserve">onsta </w:t>
      </w:r>
      <w:r w:rsidR="00AF78E0" w:rsidRPr="006A0A3F">
        <w:rPr>
          <w:rFonts w:ascii="Verdana" w:hAnsi="Verdana"/>
          <w:sz w:val="20"/>
          <w:szCs w:val="20"/>
        </w:rPr>
        <w:t xml:space="preserve">también </w:t>
      </w:r>
      <w:r w:rsidR="005833CC" w:rsidRPr="006A0A3F">
        <w:rPr>
          <w:rFonts w:ascii="Verdana" w:hAnsi="Verdana"/>
          <w:sz w:val="20"/>
          <w:szCs w:val="20"/>
        </w:rPr>
        <w:t xml:space="preserve">que </w:t>
      </w:r>
      <w:r w:rsidR="00460E39" w:rsidRPr="006A0A3F">
        <w:rPr>
          <w:rFonts w:ascii="Verdana" w:hAnsi="Verdana"/>
          <w:sz w:val="20"/>
          <w:szCs w:val="20"/>
        </w:rPr>
        <w:t>bastó la primera de</w:t>
      </w:r>
      <w:r w:rsidR="005833CC" w:rsidRPr="006A0A3F">
        <w:rPr>
          <w:rFonts w:ascii="Verdana" w:hAnsi="Verdana"/>
          <w:sz w:val="20"/>
          <w:szCs w:val="20"/>
        </w:rPr>
        <w:t xml:space="preserve"> esas razones señaladas por dicho Secretario</w:t>
      </w:r>
      <w:r w:rsidR="00F05EC7" w:rsidRPr="006A0A3F">
        <w:rPr>
          <w:rFonts w:ascii="Verdana" w:hAnsi="Verdana"/>
          <w:sz w:val="20"/>
          <w:szCs w:val="20"/>
        </w:rPr>
        <w:t xml:space="preserve"> para que las a</w:t>
      </w:r>
      <w:r w:rsidR="0080507B" w:rsidRPr="006A0A3F">
        <w:rPr>
          <w:rFonts w:ascii="Verdana" w:hAnsi="Verdana"/>
          <w:sz w:val="20"/>
          <w:szCs w:val="20"/>
        </w:rPr>
        <w:t xml:space="preserve">utoridades judiciales, así como de la Fiscalía y Defensoría del Pueblo, </w:t>
      </w:r>
      <w:r w:rsidR="00F05EC7" w:rsidRPr="006A0A3F">
        <w:rPr>
          <w:rFonts w:ascii="Verdana" w:hAnsi="Verdana"/>
          <w:sz w:val="20"/>
          <w:szCs w:val="20"/>
        </w:rPr>
        <w:t xml:space="preserve">dieran por válida una justificación dada </w:t>
      </w:r>
      <w:r w:rsidR="00F05EC7" w:rsidRPr="006A0A3F">
        <w:rPr>
          <w:rFonts w:ascii="Verdana" w:hAnsi="Verdana"/>
          <w:i/>
          <w:sz w:val="20"/>
          <w:szCs w:val="20"/>
        </w:rPr>
        <w:t xml:space="preserve">ex post facto </w:t>
      </w:r>
      <w:r w:rsidR="00AF78E0" w:rsidRPr="006A0A3F">
        <w:rPr>
          <w:rFonts w:ascii="Verdana" w:hAnsi="Verdana"/>
          <w:sz w:val="20"/>
          <w:szCs w:val="20"/>
        </w:rPr>
        <w:t>(</w:t>
      </w:r>
      <w:r w:rsidR="00AF78E0" w:rsidRPr="006A0A3F">
        <w:rPr>
          <w:rFonts w:ascii="Verdana" w:hAnsi="Verdana"/>
          <w:i/>
          <w:sz w:val="20"/>
          <w:szCs w:val="20"/>
        </w:rPr>
        <w:t xml:space="preserve">supra </w:t>
      </w:r>
      <w:proofErr w:type="spellStart"/>
      <w:r w:rsidR="00AF78E0" w:rsidRPr="006A0A3F">
        <w:rPr>
          <w:rFonts w:ascii="Verdana" w:hAnsi="Verdana"/>
          <w:sz w:val="20"/>
          <w:szCs w:val="20"/>
        </w:rPr>
        <w:t>párrs</w:t>
      </w:r>
      <w:proofErr w:type="spellEnd"/>
      <w:r w:rsidR="00AF78E0" w:rsidRPr="006A0A3F">
        <w:rPr>
          <w:rFonts w:ascii="Verdana" w:hAnsi="Verdana"/>
          <w:sz w:val="20"/>
          <w:szCs w:val="20"/>
        </w:rPr>
        <w:t xml:space="preserve">. </w:t>
      </w:r>
      <w:r w:rsidR="00DD3A50" w:rsidRPr="006A0A3F">
        <w:rPr>
          <w:rFonts w:ascii="Verdana" w:hAnsi="Verdana"/>
          <w:sz w:val="20"/>
          <w:szCs w:val="20"/>
        </w:rPr>
        <w:t>86, 92, 94, 95 y 98 a 100</w:t>
      </w:r>
      <w:r w:rsidR="00AF78E0" w:rsidRPr="006A0A3F">
        <w:rPr>
          <w:rFonts w:ascii="Verdana" w:hAnsi="Verdana"/>
          <w:sz w:val="20"/>
          <w:szCs w:val="20"/>
        </w:rPr>
        <w:t xml:space="preserve">). </w:t>
      </w:r>
      <w:r w:rsidR="00460E6C" w:rsidRPr="006A0A3F">
        <w:rPr>
          <w:rFonts w:ascii="Verdana" w:hAnsi="Verdana"/>
          <w:sz w:val="20"/>
          <w:szCs w:val="20"/>
        </w:rPr>
        <w:t>No</w:t>
      </w:r>
      <w:r w:rsidR="00AF78E0" w:rsidRPr="006A0A3F">
        <w:rPr>
          <w:rFonts w:ascii="Verdana" w:hAnsi="Verdana"/>
          <w:sz w:val="20"/>
          <w:szCs w:val="20"/>
        </w:rPr>
        <w:t xml:space="preserve"> consta que la alegada reestructuración efectivamente ocurriera, ni</w:t>
      </w:r>
      <w:r w:rsidR="00F05EC7" w:rsidRPr="006A0A3F">
        <w:rPr>
          <w:rFonts w:ascii="Verdana" w:hAnsi="Verdana"/>
          <w:sz w:val="20"/>
          <w:szCs w:val="20"/>
        </w:rPr>
        <w:t xml:space="preserve"> alguna explicación razonable </w:t>
      </w:r>
      <w:r w:rsidR="00AC2A1C" w:rsidRPr="006A0A3F">
        <w:rPr>
          <w:rFonts w:ascii="Verdana" w:hAnsi="Verdana"/>
          <w:sz w:val="20"/>
          <w:szCs w:val="20"/>
        </w:rPr>
        <w:t>acerca de la necesidad de terminar</w:t>
      </w:r>
      <w:r w:rsidR="00F05EC7" w:rsidRPr="006A0A3F">
        <w:rPr>
          <w:rFonts w:ascii="Verdana" w:hAnsi="Verdana"/>
          <w:sz w:val="20"/>
          <w:szCs w:val="20"/>
        </w:rPr>
        <w:t xml:space="preserve"> </w:t>
      </w:r>
      <w:r w:rsidR="00234491" w:rsidRPr="006A0A3F">
        <w:rPr>
          <w:rFonts w:ascii="Verdana" w:hAnsi="Verdana"/>
          <w:sz w:val="20"/>
          <w:szCs w:val="20"/>
        </w:rPr>
        <w:t>específicamente esos</w:t>
      </w:r>
      <w:r w:rsidR="00F05EC7" w:rsidRPr="006A0A3F">
        <w:rPr>
          <w:rFonts w:ascii="Verdana" w:hAnsi="Verdana"/>
          <w:sz w:val="20"/>
          <w:szCs w:val="20"/>
        </w:rPr>
        <w:t xml:space="preserve"> contratos en función de </w:t>
      </w:r>
      <w:r w:rsidR="00AC2A1C" w:rsidRPr="006A0A3F">
        <w:rPr>
          <w:rFonts w:ascii="Verdana" w:hAnsi="Verdana"/>
          <w:sz w:val="20"/>
          <w:szCs w:val="20"/>
        </w:rPr>
        <w:t>la misma</w:t>
      </w:r>
      <w:r w:rsidR="00F05EC7" w:rsidRPr="006A0A3F">
        <w:rPr>
          <w:rFonts w:ascii="Verdana" w:hAnsi="Verdana"/>
          <w:sz w:val="20"/>
          <w:szCs w:val="20"/>
        </w:rPr>
        <w:t xml:space="preserve">. </w:t>
      </w:r>
    </w:p>
    <w:p w14:paraId="63D23B8C" w14:textId="77777777" w:rsidR="00433C88" w:rsidRPr="006A0A3F" w:rsidRDefault="00433C88" w:rsidP="00433C88">
      <w:pPr>
        <w:pStyle w:val="ListParagraph"/>
        <w:rPr>
          <w:rFonts w:ascii="Verdana" w:hAnsi="Verdana"/>
          <w:sz w:val="20"/>
          <w:lang w:val="es-CR"/>
        </w:rPr>
      </w:pPr>
    </w:p>
    <w:p w14:paraId="7017FB0E" w14:textId="58AAEDEF" w:rsidR="009E5CFE" w:rsidRPr="006A0A3F" w:rsidRDefault="00AF0DDD" w:rsidP="00F05EC7">
      <w:pPr>
        <w:numPr>
          <w:ilvl w:val="0"/>
          <w:numId w:val="4"/>
        </w:numPr>
        <w:pBdr>
          <w:top w:val="nil"/>
        </w:pBdr>
        <w:spacing w:after="0" w:line="240" w:lineRule="auto"/>
        <w:ind w:left="0" w:firstLine="0"/>
        <w:jc w:val="both"/>
        <w:rPr>
          <w:rFonts w:ascii="Verdana" w:hAnsi="Verdana"/>
          <w:b/>
          <w:sz w:val="20"/>
          <w:szCs w:val="20"/>
        </w:rPr>
      </w:pPr>
      <w:r w:rsidRPr="006A0A3F">
        <w:rPr>
          <w:rFonts w:ascii="Verdana" w:hAnsi="Verdana"/>
          <w:sz w:val="20"/>
          <w:szCs w:val="20"/>
        </w:rPr>
        <w:t>C</w:t>
      </w:r>
      <w:r w:rsidR="00312B65" w:rsidRPr="006A0A3F">
        <w:rPr>
          <w:rFonts w:ascii="Verdana" w:hAnsi="Verdana"/>
          <w:sz w:val="20"/>
          <w:szCs w:val="20"/>
        </w:rPr>
        <w:t>onsecuentemente, c</w:t>
      </w:r>
      <w:r w:rsidRPr="006A0A3F">
        <w:rPr>
          <w:rFonts w:ascii="Verdana" w:hAnsi="Verdana"/>
          <w:sz w:val="20"/>
          <w:szCs w:val="20"/>
        </w:rPr>
        <w:t xml:space="preserve">orresponde </w:t>
      </w:r>
      <w:r w:rsidR="00AC2A1C" w:rsidRPr="006A0A3F">
        <w:rPr>
          <w:rFonts w:ascii="Verdana" w:hAnsi="Verdana"/>
          <w:sz w:val="20"/>
          <w:szCs w:val="20"/>
        </w:rPr>
        <w:t xml:space="preserve">determinar si, más allá de la formalidad o potestad invocadas por la autoridad estatal para actuar, </w:t>
      </w:r>
      <w:r w:rsidR="00460E39" w:rsidRPr="006A0A3F">
        <w:rPr>
          <w:rFonts w:ascii="Verdana" w:hAnsi="Verdana"/>
          <w:sz w:val="20"/>
          <w:szCs w:val="20"/>
        </w:rPr>
        <w:t>existen evidencias para considerar que</w:t>
      </w:r>
      <w:r w:rsidR="00460E39" w:rsidRPr="006A0A3F">
        <w:rPr>
          <w:rFonts w:ascii="Verdana" w:hAnsi="Verdana"/>
          <w:b/>
          <w:sz w:val="20"/>
          <w:szCs w:val="20"/>
        </w:rPr>
        <w:t xml:space="preserve"> </w:t>
      </w:r>
      <w:r w:rsidR="00AC2A1C" w:rsidRPr="006A0A3F">
        <w:rPr>
          <w:rFonts w:ascii="Verdana" w:hAnsi="Verdana"/>
          <w:sz w:val="20"/>
          <w:szCs w:val="20"/>
        </w:rPr>
        <w:t>la motivación o propósito real de la terminación de sus contratos fue ejercer alguna forma de represalia, persecución o discrimin</w:t>
      </w:r>
      <w:r w:rsidR="00433EEA" w:rsidRPr="006A0A3F">
        <w:rPr>
          <w:rFonts w:ascii="Verdana" w:hAnsi="Verdana"/>
          <w:sz w:val="20"/>
          <w:szCs w:val="20"/>
        </w:rPr>
        <w:t>ación encubiertas en su contra</w:t>
      </w:r>
      <w:r w:rsidR="00AC2A1C" w:rsidRPr="006A0A3F">
        <w:rPr>
          <w:rFonts w:ascii="Verdana" w:hAnsi="Verdana"/>
          <w:sz w:val="20"/>
          <w:szCs w:val="20"/>
        </w:rPr>
        <w:t>.</w:t>
      </w:r>
      <w:r w:rsidR="005A26A4" w:rsidRPr="006A0A3F">
        <w:rPr>
          <w:rFonts w:ascii="Verdana" w:hAnsi="Verdana"/>
          <w:sz w:val="20"/>
          <w:szCs w:val="20"/>
        </w:rPr>
        <w:t xml:space="preserve"> </w:t>
      </w:r>
    </w:p>
    <w:p w14:paraId="28985A34" w14:textId="77777777" w:rsidR="009E5CFE" w:rsidRPr="006A0A3F" w:rsidRDefault="009E5CFE" w:rsidP="009E5CFE">
      <w:pPr>
        <w:pBdr>
          <w:top w:val="nil"/>
        </w:pBdr>
        <w:autoSpaceDE w:val="0"/>
        <w:autoSpaceDN w:val="0"/>
        <w:adjustRightInd w:val="0"/>
        <w:spacing w:after="0" w:line="240" w:lineRule="auto"/>
        <w:jc w:val="both"/>
        <w:rPr>
          <w:rFonts w:ascii="Verdana" w:hAnsi="Verdana"/>
          <w:sz w:val="20"/>
          <w:szCs w:val="20"/>
        </w:rPr>
      </w:pPr>
    </w:p>
    <w:p w14:paraId="5B2CFC58" w14:textId="5F9923C4" w:rsidR="00212807" w:rsidRPr="006A0A3F" w:rsidRDefault="009E5CFE" w:rsidP="00212807">
      <w:pPr>
        <w:numPr>
          <w:ilvl w:val="0"/>
          <w:numId w:val="4"/>
        </w:numPr>
        <w:pBdr>
          <w:top w:val="nil"/>
        </w:pBdr>
        <w:autoSpaceDE w:val="0"/>
        <w:autoSpaceDN w:val="0"/>
        <w:adjustRightInd w:val="0"/>
        <w:spacing w:after="0" w:line="240" w:lineRule="auto"/>
        <w:ind w:left="0" w:firstLine="0"/>
        <w:jc w:val="both"/>
        <w:rPr>
          <w:rFonts w:ascii="Verdana" w:hAnsi="Verdana"/>
          <w:b/>
          <w:sz w:val="20"/>
          <w:szCs w:val="20"/>
        </w:rPr>
      </w:pPr>
      <w:r w:rsidRPr="006A0A3F">
        <w:rPr>
          <w:rFonts w:ascii="Verdana" w:hAnsi="Verdana"/>
          <w:sz w:val="20"/>
          <w:szCs w:val="20"/>
        </w:rPr>
        <w:t>En este</w:t>
      </w:r>
      <w:r w:rsidR="00DA703E" w:rsidRPr="006A0A3F">
        <w:rPr>
          <w:rFonts w:ascii="Verdana" w:hAnsi="Verdana"/>
          <w:sz w:val="20"/>
          <w:szCs w:val="20"/>
        </w:rPr>
        <w:t xml:space="preserve"> </w:t>
      </w:r>
      <w:r w:rsidRPr="006A0A3F">
        <w:rPr>
          <w:rFonts w:ascii="Verdana" w:hAnsi="Verdana"/>
          <w:sz w:val="20"/>
          <w:szCs w:val="20"/>
        </w:rPr>
        <w:t xml:space="preserve">sentido, </w:t>
      </w:r>
      <w:r w:rsidR="002C66A6" w:rsidRPr="006A0A3F">
        <w:rPr>
          <w:rFonts w:ascii="Verdana" w:hAnsi="Verdana"/>
          <w:sz w:val="20"/>
          <w:szCs w:val="20"/>
        </w:rPr>
        <w:t xml:space="preserve">este Tribunal </w:t>
      </w:r>
      <w:r w:rsidR="00255B5C" w:rsidRPr="006A0A3F">
        <w:rPr>
          <w:rFonts w:ascii="Verdana" w:hAnsi="Verdana"/>
          <w:sz w:val="20"/>
          <w:szCs w:val="20"/>
        </w:rPr>
        <w:t xml:space="preserve">estima </w:t>
      </w:r>
      <w:r w:rsidRPr="006A0A3F">
        <w:rPr>
          <w:rFonts w:ascii="Verdana" w:hAnsi="Verdana"/>
          <w:sz w:val="20"/>
          <w:szCs w:val="20"/>
        </w:rPr>
        <w:t>que, en razón de</w:t>
      </w:r>
      <w:r w:rsidR="002C66A6" w:rsidRPr="006A0A3F">
        <w:rPr>
          <w:rFonts w:ascii="Verdana" w:hAnsi="Verdana"/>
          <w:sz w:val="20"/>
          <w:szCs w:val="20"/>
        </w:rPr>
        <w:t xml:space="preserve"> las circunstancias en que ocurrieron los hechos</w:t>
      </w:r>
      <w:r w:rsidRPr="006A0A3F">
        <w:rPr>
          <w:rFonts w:ascii="Verdana" w:hAnsi="Verdana"/>
          <w:sz w:val="20"/>
          <w:szCs w:val="20"/>
        </w:rPr>
        <w:t>, no corresponde analizar este caso como un supuesto de restricción directa de derechos</w:t>
      </w:r>
      <w:r w:rsidR="00764CD0" w:rsidRPr="006A0A3F">
        <w:rPr>
          <w:rFonts w:ascii="Verdana" w:hAnsi="Verdana"/>
          <w:sz w:val="20"/>
          <w:szCs w:val="20"/>
        </w:rPr>
        <w:t xml:space="preserve"> –en </w:t>
      </w:r>
      <w:r w:rsidR="002C66A6" w:rsidRPr="006A0A3F">
        <w:rPr>
          <w:rFonts w:ascii="Verdana" w:hAnsi="Verdana"/>
          <w:sz w:val="20"/>
          <w:szCs w:val="20"/>
        </w:rPr>
        <w:t xml:space="preserve">que </w:t>
      </w:r>
      <w:r w:rsidR="0080507B" w:rsidRPr="006A0A3F">
        <w:rPr>
          <w:rFonts w:ascii="Verdana" w:hAnsi="Verdana"/>
          <w:sz w:val="20"/>
          <w:szCs w:val="20"/>
        </w:rPr>
        <w:t>se analizaría</w:t>
      </w:r>
      <w:r w:rsidR="00764CD0" w:rsidRPr="006A0A3F">
        <w:rPr>
          <w:rFonts w:ascii="Verdana" w:hAnsi="Verdana"/>
          <w:sz w:val="20"/>
          <w:szCs w:val="20"/>
        </w:rPr>
        <w:t xml:space="preserve"> </w:t>
      </w:r>
      <w:r w:rsidR="0080507B" w:rsidRPr="006A0A3F">
        <w:rPr>
          <w:rFonts w:ascii="Verdana" w:hAnsi="Verdana"/>
          <w:sz w:val="20"/>
          <w:szCs w:val="20"/>
        </w:rPr>
        <w:t>la justificación de</w:t>
      </w:r>
      <w:r w:rsidR="00764CD0" w:rsidRPr="006A0A3F">
        <w:rPr>
          <w:rFonts w:ascii="Verdana" w:hAnsi="Verdana"/>
          <w:sz w:val="20"/>
          <w:szCs w:val="20"/>
        </w:rPr>
        <w:t xml:space="preserve"> </w:t>
      </w:r>
      <w:r w:rsidR="0080507B" w:rsidRPr="006A0A3F">
        <w:rPr>
          <w:rFonts w:ascii="Verdana" w:hAnsi="Verdana"/>
          <w:sz w:val="20"/>
          <w:szCs w:val="20"/>
        </w:rPr>
        <w:t xml:space="preserve">la restricción </w:t>
      </w:r>
      <w:r w:rsidR="002C66A6" w:rsidRPr="006A0A3F">
        <w:rPr>
          <w:rFonts w:ascii="Verdana" w:hAnsi="Verdana"/>
          <w:sz w:val="20"/>
          <w:szCs w:val="20"/>
        </w:rPr>
        <w:t>en los términos de</w:t>
      </w:r>
      <w:r w:rsidRPr="006A0A3F">
        <w:rPr>
          <w:rFonts w:ascii="Verdana" w:hAnsi="Verdana"/>
          <w:sz w:val="20"/>
          <w:szCs w:val="20"/>
        </w:rPr>
        <w:t xml:space="preserve"> </w:t>
      </w:r>
      <w:r w:rsidR="002C66A6" w:rsidRPr="006A0A3F">
        <w:rPr>
          <w:rFonts w:ascii="Verdana" w:hAnsi="Verdana"/>
          <w:sz w:val="20"/>
          <w:szCs w:val="20"/>
        </w:rPr>
        <w:t>la Convención</w:t>
      </w:r>
      <w:r w:rsidR="00764CD0" w:rsidRPr="006A0A3F">
        <w:rPr>
          <w:rFonts w:ascii="Verdana" w:hAnsi="Verdana"/>
          <w:sz w:val="20"/>
          <w:szCs w:val="20"/>
        </w:rPr>
        <w:t>–</w:t>
      </w:r>
      <w:r w:rsidR="002C66A6" w:rsidRPr="006A0A3F">
        <w:rPr>
          <w:rFonts w:ascii="Verdana" w:hAnsi="Verdana"/>
          <w:sz w:val="20"/>
          <w:szCs w:val="20"/>
        </w:rPr>
        <w:t>, ni</w:t>
      </w:r>
      <w:r w:rsidRPr="006A0A3F">
        <w:rPr>
          <w:rFonts w:ascii="Verdana" w:hAnsi="Verdana"/>
          <w:sz w:val="20"/>
          <w:szCs w:val="20"/>
        </w:rPr>
        <w:t xml:space="preserve"> como </w:t>
      </w:r>
      <w:r w:rsidR="002C66A6" w:rsidRPr="006A0A3F">
        <w:rPr>
          <w:rFonts w:ascii="Verdana" w:hAnsi="Verdana"/>
          <w:sz w:val="20"/>
          <w:szCs w:val="20"/>
        </w:rPr>
        <w:t>un caso de</w:t>
      </w:r>
      <w:r w:rsidRPr="006A0A3F">
        <w:rPr>
          <w:rFonts w:ascii="Verdana" w:hAnsi="Verdana"/>
          <w:sz w:val="20"/>
          <w:szCs w:val="20"/>
        </w:rPr>
        <w:t xml:space="preserve"> diferencia de trato directa</w:t>
      </w:r>
      <w:r w:rsidR="00764CD0" w:rsidRPr="006A0A3F">
        <w:rPr>
          <w:rFonts w:ascii="Verdana" w:hAnsi="Verdana"/>
          <w:sz w:val="20"/>
          <w:szCs w:val="20"/>
        </w:rPr>
        <w:t xml:space="preserve"> –</w:t>
      </w:r>
      <w:r w:rsidRPr="006A0A3F">
        <w:rPr>
          <w:rFonts w:ascii="Verdana" w:hAnsi="Verdana"/>
          <w:sz w:val="20"/>
          <w:szCs w:val="20"/>
        </w:rPr>
        <w:t xml:space="preserve">en que </w:t>
      </w:r>
      <w:r w:rsidR="0080507B" w:rsidRPr="006A0A3F">
        <w:rPr>
          <w:rFonts w:ascii="Verdana" w:hAnsi="Verdana"/>
          <w:sz w:val="20"/>
          <w:szCs w:val="20"/>
        </w:rPr>
        <w:t>se</w:t>
      </w:r>
      <w:r w:rsidRPr="006A0A3F">
        <w:rPr>
          <w:rFonts w:ascii="Verdana" w:hAnsi="Verdana"/>
          <w:sz w:val="20"/>
          <w:szCs w:val="20"/>
        </w:rPr>
        <w:t xml:space="preserve"> evaluar</w:t>
      </w:r>
      <w:r w:rsidR="0080507B" w:rsidRPr="006A0A3F">
        <w:rPr>
          <w:rFonts w:ascii="Verdana" w:hAnsi="Verdana"/>
          <w:sz w:val="20"/>
          <w:szCs w:val="20"/>
        </w:rPr>
        <w:t>ía</w:t>
      </w:r>
      <w:r w:rsidRPr="006A0A3F">
        <w:rPr>
          <w:rFonts w:ascii="Verdana" w:hAnsi="Verdana"/>
          <w:sz w:val="20"/>
          <w:szCs w:val="20"/>
        </w:rPr>
        <w:t xml:space="preserve"> </w:t>
      </w:r>
      <w:r w:rsidR="002C66A6" w:rsidRPr="006A0A3F">
        <w:rPr>
          <w:rFonts w:ascii="Verdana" w:hAnsi="Verdana"/>
          <w:sz w:val="20"/>
          <w:szCs w:val="20"/>
        </w:rPr>
        <w:t>la objetividad y razonabilidad de</w:t>
      </w:r>
      <w:r w:rsidRPr="006A0A3F">
        <w:rPr>
          <w:rFonts w:ascii="Verdana" w:hAnsi="Verdana"/>
          <w:sz w:val="20"/>
          <w:szCs w:val="20"/>
        </w:rPr>
        <w:t xml:space="preserve"> la justificación aportada por el Estado</w:t>
      </w:r>
      <w:r w:rsidR="00764CD0" w:rsidRPr="006A0A3F">
        <w:rPr>
          <w:rFonts w:ascii="Verdana" w:hAnsi="Verdana"/>
          <w:sz w:val="20"/>
          <w:szCs w:val="20"/>
        </w:rPr>
        <w:t>-</w:t>
      </w:r>
      <w:r w:rsidRPr="006A0A3F">
        <w:rPr>
          <w:rFonts w:ascii="Verdana" w:hAnsi="Verdana"/>
          <w:sz w:val="20"/>
          <w:szCs w:val="20"/>
        </w:rPr>
        <w:t xml:space="preserve">. En la medida en que se alega un acto de </w:t>
      </w:r>
      <w:r w:rsidR="002C66A6" w:rsidRPr="006A0A3F">
        <w:rPr>
          <w:rFonts w:ascii="Verdana" w:hAnsi="Verdana"/>
          <w:sz w:val="20"/>
          <w:szCs w:val="20"/>
        </w:rPr>
        <w:t xml:space="preserve">persecución, discriminación o represalia </w:t>
      </w:r>
      <w:r w:rsidRPr="006A0A3F">
        <w:rPr>
          <w:rFonts w:ascii="Verdana" w:hAnsi="Verdana"/>
          <w:sz w:val="20"/>
          <w:szCs w:val="20"/>
        </w:rPr>
        <w:t>encubierto</w:t>
      </w:r>
      <w:r w:rsidR="0080507B" w:rsidRPr="006A0A3F">
        <w:rPr>
          <w:rFonts w:ascii="Verdana" w:hAnsi="Verdana"/>
          <w:sz w:val="20"/>
          <w:szCs w:val="20"/>
        </w:rPr>
        <w:t>s</w:t>
      </w:r>
      <w:r w:rsidRPr="006A0A3F">
        <w:rPr>
          <w:rFonts w:ascii="Verdana" w:hAnsi="Verdana"/>
          <w:sz w:val="20"/>
          <w:szCs w:val="20"/>
        </w:rPr>
        <w:t xml:space="preserve"> o una </w:t>
      </w:r>
      <w:r w:rsidR="005833CC" w:rsidRPr="006A0A3F">
        <w:rPr>
          <w:rFonts w:ascii="Verdana" w:hAnsi="Verdana"/>
          <w:sz w:val="20"/>
          <w:szCs w:val="20"/>
        </w:rPr>
        <w:t>interferencia</w:t>
      </w:r>
      <w:r w:rsidRPr="006A0A3F">
        <w:rPr>
          <w:rFonts w:ascii="Verdana" w:hAnsi="Verdana"/>
          <w:sz w:val="20"/>
          <w:szCs w:val="20"/>
        </w:rPr>
        <w:t xml:space="preserve"> </w:t>
      </w:r>
      <w:r w:rsidR="00764CD0" w:rsidRPr="006A0A3F">
        <w:rPr>
          <w:rFonts w:ascii="Verdana" w:hAnsi="Verdana"/>
          <w:sz w:val="20"/>
          <w:szCs w:val="20"/>
        </w:rPr>
        <w:t xml:space="preserve">arbitraria </w:t>
      </w:r>
      <w:r w:rsidR="0080507B" w:rsidRPr="006A0A3F">
        <w:rPr>
          <w:rFonts w:ascii="Verdana" w:hAnsi="Verdana"/>
          <w:sz w:val="20"/>
          <w:szCs w:val="20"/>
        </w:rPr>
        <w:t xml:space="preserve">o </w:t>
      </w:r>
      <w:r w:rsidRPr="006A0A3F">
        <w:rPr>
          <w:rFonts w:ascii="Verdana" w:hAnsi="Verdana"/>
          <w:sz w:val="20"/>
          <w:szCs w:val="20"/>
        </w:rPr>
        <w:t xml:space="preserve">indirecta </w:t>
      </w:r>
      <w:r w:rsidR="005833CC" w:rsidRPr="006A0A3F">
        <w:rPr>
          <w:rFonts w:ascii="Verdana" w:hAnsi="Verdana"/>
          <w:sz w:val="20"/>
          <w:szCs w:val="20"/>
        </w:rPr>
        <w:t>en el</w:t>
      </w:r>
      <w:r w:rsidRPr="006A0A3F">
        <w:rPr>
          <w:rFonts w:ascii="Verdana" w:hAnsi="Verdana"/>
          <w:sz w:val="20"/>
          <w:szCs w:val="20"/>
        </w:rPr>
        <w:t xml:space="preserve"> ejercicio de un derecho, es relevante tomar en cuenta </w:t>
      </w:r>
      <w:r w:rsidR="000F79B2" w:rsidRPr="006A0A3F">
        <w:rPr>
          <w:rFonts w:ascii="Verdana" w:hAnsi="Verdana"/>
          <w:color w:val="000000"/>
          <w:sz w:val="20"/>
          <w:szCs w:val="20"/>
        </w:rPr>
        <w:t xml:space="preserve">que el motivo o propósito de un determinado acto de las autoridades estatales cobra </w:t>
      </w:r>
      <w:r w:rsidR="00255B5C" w:rsidRPr="006A0A3F">
        <w:rPr>
          <w:rFonts w:ascii="Verdana" w:hAnsi="Verdana"/>
          <w:sz w:val="20"/>
          <w:szCs w:val="20"/>
        </w:rPr>
        <w:t>significación</w:t>
      </w:r>
      <w:r w:rsidR="00433EEA" w:rsidRPr="006A0A3F">
        <w:rPr>
          <w:rFonts w:ascii="Verdana" w:hAnsi="Verdana"/>
          <w:sz w:val="20"/>
          <w:szCs w:val="20"/>
        </w:rPr>
        <w:t xml:space="preserve"> </w:t>
      </w:r>
      <w:r w:rsidR="000F79B2" w:rsidRPr="006A0A3F">
        <w:rPr>
          <w:rFonts w:ascii="Verdana" w:hAnsi="Verdana"/>
          <w:color w:val="000000"/>
          <w:sz w:val="20"/>
          <w:szCs w:val="20"/>
        </w:rPr>
        <w:t>para el análisis jurídico de un caso</w:t>
      </w:r>
      <w:r w:rsidR="000F79B2" w:rsidRPr="006A0A3F">
        <w:rPr>
          <w:rStyle w:val="FootnoteReference"/>
          <w:rFonts w:ascii="Verdana" w:eastAsia="Calibri" w:hAnsi="Verdana"/>
          <w:sz w:val="20"/>
          <w:szCs w:val="20"/>
        </w:rPr>
        <w:footnoteReference w:id="188"/>
      </w:r>
      <w:r w:rsidR="000F79B2" w:rsidRPr="006A0A3F">
        <w:rPr>
          <w:rFonts w:ascii="Verdana" w:hAnsi="Verdana"/>
          <w:color w:val="000000"/>
          <w:sz w:val="20"/>
          <w:szCs w:val="20"/>
        </w:rPr>
        <w:t>, por cuanto una motivación o un propósito distinto al de la norma que otorga las potestades a la autoridad estatal para actuar, puede llegar a demostrar si la acción puede ser considerada como actuación arbitraria</w:t>
      </w:r>
      <w:r w:rsidR="000F79B2" w:rsidRPr="006A0A3F">
        <w:rPr>
          <w:rStyle w:val="FootnoteReference"/>
          <w:rFonts w:ascii="Verdana" w:eastAsia="ヒラギノ角ゴ Pro W3" w:hAnsi="Verdana"/>
          <w:sz w:val="20"/>
          <w:szCs w:val="20"/>
        </w:rPr>
        <w:footnoteReference w:id="189"/>
      </w:r>
      <w:r w:rsidR="000F79B2" w:rsidRPr="006A0A3F">
        <w:rPr>
          <w:rFonts w:ascii="Verdana" w:hAnsi="Verdana"/>
          <w:color w:val="000000"/>
          <w:sz w:val="20"/>
          <w:szCs w:val="20"/>
        </w:rPr>
        <w:t xml:space="preserve"> o una desviación de poder</w:t>
      </w:r>
      <w:r w:rsidR="002756D2" w:rsidRPr="006A0A3F">
        <w:rPr>
          <w:rStyle w:val="FootnoteReference"/>
          <w:rFonts w:ascii="Verdana" w:hAnsi="Verdana"/>
          <w:color w:val="000000"/>
          <w:sz w:val="20"/>
          <w:szCs w:val="20"/>
        </w:rPr>
        <w:footnoteReference w:id="190"/>
      </w:r>
      <w:r w:rsidR="000F79B2" w:rsidRPr="006A0A3F">
        <w:rPr>
          <w:rFonts w:ascii="Verdana" w:hAnsi="Verdana"/>
          <w:color w:val="000000"/>
          <w:sz w:val="20"/>
          <w:szCs w:val="20"/>
        </w:rPr>
        <w:t>.</w:t>
      </w:r>
      <w:r w:rsidR="000F79B2" w:rsidRPr="006A0A3F">
        <w:rPr>
          <w:rFonts w:ascii="Verdana" w:hAnsi="Verdana"/>
          <w:color w:val="000000"/>
          <w:sz w:val="18"/>
        </w:rPr>
        <w:t xml:space="preserve"> </w:t>
      </w:r>
    </w:p>
    <w:p w14:paraId="4B4E36B5" w14:textId="77777777" w:rsidR="00212807" w:rsidRPr="006A0A3F" w:rsidRDefault="00212807" w:rsidP="00212807">
      <w:pPr>
        <w:tabs>
          <w:tab w:val="left" w:pos="142"/>
          <w:tab w:val="left" w:pos="709"/>
        </w:tabs>
        <w:spacing w:after="0" w:line="240" w:lineRule="auto"/>
        <w:jc w:val="both"/>
        <w:rPr>
          <w:rFonts w:ascii="Verdana" w:hAnsi="Verdana"/>
          <w:color w:val="000000"/>
          <w:sz w:val="18"/>
        </w:rPr>
      </w:pPr>
    </w:p>
    <w:p w14:paraId="00433905" w14:textId="6E46C9F5" w:rsidR="000F79B2" w:rsidRPr="006A0A3F" w:rsidRDefault="002756D2" w:rsidP="005A26A4">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color w:val="000000"/>
          <w:sz w:val="20"/>
          <w:szCs w:val="20"/>
        </w:rPr>
        <w:t>En relación con lo anterior</w:t>
      </w:r>
      <w:r w:rsidR="000F79B2" w:rsidRPr="006A0A3F">
        <w:rPr>
          <w:rFonts w:ascii="Verdana" w:hAnsi="Verdana"/>
          <w:color w:val="000000"/>
          <w:sz w:val="20"/>
          <w:szCs w:val="20"/>
        </w:rPr>
        <w:t>, el Tribunal toma como punto de partida que las actuaciones de las autoridades estatales están cubiertas por una presunción de comportamiento conforme a derecho</w:t>
      </w:r>
      <w:r w:rsidR="000F79B2" w:rsidRPr="006A0A3F">
        <w:rPr>
          <w:rStyle w:val="FootnoteReference"/>
          <w:rFonts w:ascii="Verdana" w:eastAsia="Calibri" w:hAnsi="Verdana"/>
          <w:color w:val="000000"/>
          <w:sz w:val="20"/>
          <w:szCs w:val="20"/>
        </w:rPr>
        <w:footnoteReference w:id="191"/>
      </w:r>
      <w:r w:rsidR="00212807" w:rsidRPr="006A0A3F">
        <w:rPr>
          <w:rFonts w:ascii="Verdana" w:hAnsi="Verdana"/>
          <w:color w:val="000000"/>
          <w:sz w:val="20"/>
          <w:szCs w:val="20"/>
        </w:rPr>
        <w:t>,</w:t>
      </w:r>
      <w:r w:rsidRPr="006A0A3F">
        <w:rPr>
          <w:rFonts w:ascii="Verdana" w:hAnsi="Verdana"/>
          <w:color w:val="000000"/>
          <w:sz w:val="20"/>
          <w:szCs w:val="20"/>
        </w:rPr>
        <w:t xml:space="preserve"> por lo cual, para</w:t>
      </w:r>
      <w:r w:rsidR="000F79B2" w:rsidRPr="006A0A3F">
        <w:rPr>
          <w:rFonts w:ascii="Verdana" w:hAnsi="Verdana"/>
          <w:color w:val="000000"/>
          <w:sz w:val="20"/>
          <w:szCs w:val="20"/>
        </w:rPr>
        <w:t xml:space="preserve"> </w:t>
      </w:r>
      <w:r w:rsidRPr="006A0A3F">
        <w:rPr>
          <w:rFonts w:ascii="Verdana" w:hAnsi="Verdana"/>
          <w:color w:val="000000"/>
          <w:sz w:val="20"/>
          <w:szCs w:val="20"/>
        </w:rPr>
        <w:t xml:space="preserve">desvirtuar esta presunción de buena fe, </w:t>
      </w:r>
      <w:r w:rsidR="000F79B2" w:rsidRPr="006A0A3F">
        <w:rPr>
          <w:rFonts w:ascii="Verdana" w:hAnsi="Verdana"/>
          <w:color w:val="000000"/>
          <w:sz w:val="20"/>
          <w:szCs w:val="20"/>
        </w:rPr>
        <w:t xml:space="preserve">una actuación irregular por parte de </w:t>
      </w:r>
      <w:r w:rsidRPr="006A0A3F">
        <w:rPr>
          <w:rFonts w:ascii="Verdana" w:hAnsi="Verdana"/>
          <w:color w:val="000000"/>
          <w:sz w:val="20"/>
          <w:szCs w:val="20"/>
        </w:rPr>
        <w:t xml:space="preserve">aquéllas </w:t>
      </w:r>
      <w:r w:rsidR="000F79B2" w:rsidRPr="006A0A3F">
        <w:rPr>
          <w:rFonts w:ascii="Verdana" w:hAnsi="Verdana"/>
          <w:color w:val="000000"/>
          <w:sz w:val="20"/>
          <w:szCs w:val="20"/>
        </w:rPr>
        <w:t>tiene que aparecer probada</w:t>
      </w:r>
      <w:r w:rsidR="000F79B2" w:rsidRPr="006A0A3F">
        <w:rPr>
          <w:rStyle w:val="FootnoteReference"/>
          <w:rFonts w:ascii="Verdana" w:eastAsia="Calibri" w:hAnsi="Verdana" w:cs="Arial"/>
          <w:sz w:val="20"/>
          <w:szCs w:val="20"/>
          <w:lang w:eastAsia="de-DE"/>
        </w:rPr>
        <w:footnoteReference w:id="192"/>
      </w:r>
      <w:r w:rsidR="000F79B2" w:rsidRPr="006A0A3F">
        <w:rPr>
          <w:rFonts w:ascii="Verdana" w:eastAsia="Calibri" w:hAnsi="Verdana" w:cs="Arial"/>
          <w:sz w:val="20"/>
          <w:szCs w:val="20"/>
          <w:lang w:eastAsia="de-DE"/>
        </w:rPr>
        <w:t xml:space="preserve">. Para </w:t>
      </w:r>
      <w:r w:rsidRPr="006A0A3F">
        <w:rPr>
          <w:rFonts w:ascii="Verdana" w:eastAsia="Calibri" w:hAnsi="Verdana" w:cs="Arial"/>
          <w:sz w:val="20"/>
          <w:szCs w:val="20"/>
          <w:lang w:eastAsia="de-DE"/>
        </w:rPr>
        <w:t>tales efectos</w:t>
      </w:r>
      <w:r w:rsidR="000F79B2" w:rsidRPr="006A0A3F">
        <w:rPr>
          <w:rFonts w:ascii="Verdana" w:eastAsia="Calibri" w:hAnsi="Verdana" w:cs="Arial"/>
          <w:sz w:val="20"/>
          <w:szCs w:val="20"/>
          <w:lang w:eastAsia="de-DE"/>
        </w:rPr>
        <w:t xml:space="preserve">, la Corte </w:t>
      </w:r>
      <w:r w:rsidRPr="006A0A3F">
        <w:rPr>
          <w:rFonts w:ascii="Verdana" w:eastAsia="Calibri" w:hAnsi="Verdana" w:cs="Arial"/>
          <w:sz w:val="20"/>
          <w:szCs w:val="20"/>
          <w:lang w:eastAsia="de-DE"/>
        </w:rPr>
        <w:t>ha procedido</w:t>
      </w:r>
      <w:r w:rsidR="000F79B2" w:rsidRPr="006A0A3F">
        <w:rPr>
          <w:rFonts w:ascii="Verdana" w:eastAsia="Calibri" w:hAnsi="Verdana" w:cs="Arial"/>
          <w:sz w:val="20"/>
          <w:szCs w:val="20"/>
          <w:lang w:eastAsia="de-DE"/>
        </w:rPr>
        <w:t xml:space="preserve"> a realizar un recuento de la prueba obrante en el expediente sobre la alegada finalidad no declara</w:t>
      </w:r>
      <w:r w:rsidR="00BB1579" w:rsidRPr="006A0A3F">
        <w:rPr>
          <w:rFonts w:ascii="Verdana" w:eastAsia="Calibri" w:hAnsi="Verdana" w:cs="Arial"/>
          <w:sz w:val="20"/>
          <w:szCs w:val="20"/>
          <w:lang w:eastAsia="de-DE"/>
        </w:rPr>
        <w:t>da</w:t>
      </w:r>
      <w:r w:rsidRPr="006A0A3F">
        <w:rPr>
          <w:rFonts w:ascii="Verdana" w:eastAsia="Calibri" w:hAnsi="Verdana" w:cs="Arial"/>
          <w:sz w:val="20"/>
          <w:szCs w:val="20"/>
          <w:lang w:eastAsia="de-DE"/>
        </w:rPr>
        <w:t xml:space="preserve"> y a</w:t>
      </w:r>
      <w:r w:rsidR="00BB1579" w:rsidRPr="006A0A3F">
        <w:rPr>
          <w:rFonts w:ascii="Verdana" w:eastAsia="Calibri" w:hAnsi="Verdana" w:cs="Arial"/>
          <w:sz w:val="20"/>
          <w:szCs w:val="20"/>
          <w:lang w:eastAsia="de-DE"/>
        </w:rPr>
        <w:t xml:space="preserve"> examinar dicha prueba</w:t>
      </w:r>
      <w:r w:rsidR="00BB1579" w:rsidRPr="006A0A3F">
        <w:rPr>
          <w:rStyle w:val="FootnoteReference"/>
          <w:rFonts w:ascii="Verdana" w:eastAsia="Calibri" w:hAnsi="Verdana" w:cs="Arial"/>
          <w:sz w:val="20"/>
          <w:szCs w:val="20"/>
          <w:lang w:eastAsia="de-DE"/>
        </w:rPr>
        <w:footnoteReference w:id="193"/>
      </w:r>
      <w:r w:rsidR="00BB1579" w:rsidRPr="006A0A3F">
        <w:rPr>
          <w:rFonts w:ascii="Verdana" w:eastAsia="Calibri" w:hAnsi="Verdana" w:cs="Arial"/>
          <w:sz w:val="20"/>
          <w:szCs w:val="20"/>
          <w:lang w:eastAsia="de-DE"/>
        </w:rPr>
        <w:t>.</w:t>
      </w:r>
      <w:r w:rsidR="005A26A4" w:rsidRPr="006A0A3F">
        <w:rPr>
          <w:rFonts w:ascii="Verdana" w:eastAsia="Calibri" w:hAnsi="Verdana" w:cs="Arial"/>
          <w:sz w:val="20"/>
          <w:szCs w:val="20"/>
          <w:lang w:eastAsia="de-DE"/>
        </w:rPr>
        <w:t xml:space="preserve"> </w:t>
      </w:r>
    </w:p>
    <w:p w14:paraId="4CF4C072" w14:textId="77777777" w:rsidR="00D967A9" w:rsidRPr="006A0A3F" w:rsidRDefault="00D967A9" w:rsidP="00D967A9">
      <w:pPr>
        <w:pBdr>
          <w:top w:val="nil"/>
        </w:pBdr>
        <w:autoSpaceDE w:val="0"/>
        <w:autoSpaceDN w:val="0"/>
        <w:adjustRightInd w:val="0"/>
        <w:spacing w:after="0" w:line="240" w:lineRule="auto"/>
        <w:jc w:val="both"/>
        <w:rPr>
          <w:rFonts w:ascii="Verdana" w:hAnsi="Verdana"/>
          <w:sz w:val="20"/>
          <w:szCs w:val="20"/>
        </w:rPr>
      </w:pPr>
    </w:p>
    <w:p w14:paraId="48AAB0C9" w14:textId="6D6F1979" w:rsidR="000F79B2" w:rsidRPr="006A0A3F" w:rsidRDefault="002C66A6" w:rsidP="005A26A4">
      <w:pPr>
        <w:numPr>
          <w:ilvl w:val="0"/>
          <w:numId w:val="4"/>
        </w:numPr>
        <w:pBdr>
          <w:top w:val="nil"/>
        </w:pBdr>
        <w:autoSpaceDE w:val="0"/>
        <w:autoSpaceDN w:val="0"/>
        <w:adjustRightInd w:val="0"/>
        <w:spacing w:after="0" w:line="240" w:lineRule="auto"/>
        <w:ind w:left="0" w:firstLine="0"/>
        <w:jc w:val="both"/>
        <w:rPr>
          <w:rFonts w:ascii="Verdana" w:hAnsi="Verdana"/>
          <w:b/>
          <w:sz w:val="20"/>
          <w:szCs w:val="20"/>
        </w:rPr>
      </w:pPr>
      <w:r w:rsidRPr="006A0A3F">
        <w:rPr>
          <w:rFonts w:ascii="Verdana" w:hAnsi="Verdana"/>
          <w:sz w:val="20"/>
          <w:szCs w:val="20"/>
        </w:rPr>
        <w:t>La Corte pasa a analizar entonces los e</w:t>
      </w:r>
      <w:r w:rsidR="0080507B" w:rsidRPr="006A0A3F">
        <w:rPr>
          <w:rFonts w:ascii="Verdana" w:hAnsi="Verdana"/>
          <w:sz w:val="20"/>
          <w:szCs w:val="20"/>
        </w:rPr>
        <w:t>lementos señalados en este caso</w:t>
      </w:r>
      <w:r w:rsidR="0080507B" w:rsidRPr="006A0A3F">
        <w:rPr>
          <w:rFonts w:ascii="Verdana" w:hAnsi="Verdana"/>
          <w:i/>
          <w:sz w:val="20"/>
        </w:rPr>
        <w:t xml:space="preserve"> </w:t>
      </w:r>
      <w:r w:rsidR="0080507B" w:rsidRPr="006A0A3F">
        <w:rPr>
          <w:rFonts w:ascii="Verdana" w:hAnsi="Verdana"/>
          <w:sz w:val="20"/>
        </w:rPr>
        <w:t>respecto de la alegada desviación de poder</w:t>
      </w:r>
      <w:r w:rsidR="00F67FB7" w:rsidRPr="006A0A3F">
        <w:rPr>
          <w:rFonts w:ascii="Verdana" w:hAnsi="Verdana"/>
          <w:sz w:val="20"/>
        </w:rPr>
        <w:t>, en el orden cronológico en que se dieron los hechos contextuales y específicos</w:t>
      </w:r>
      <w:r w:rsidR="0080507B" w:rsidRPr="006A0A3F">
        <w:rPr>
          <w:rFonts w:ascii="Verdana" w:hAnsi="Verdana"/>
          <w:sz w:val="20"/>
          <w:szCs w:val="20"/>
        </w:rPr>
        <w:t>:</w:t>
      </w:r>
      <w:r w:rsidR="005A26A4" w:rsidRPr="006A0A3F">
        <w:rPr>
          <w:rFonts w:ascii="Verdana" w:hAnsi="Verdana"/>
          <w:b/>
          <w:color w:val="000000"/>
          <w:sz w:val="20"/>
          <w:szCs w:val="20"/>
        </w:rPr>
        <w:t xml:space="preserve"> </w:t>
      </w:r>
    </w:p>
    <w:p w14:paraId="4E3E70B9" w14:textId="77777777" w:rsidR="00116FC4" w:rsidRPr="006A0A3F" w:rsidRDefault="00116FC4" w:rsidP="0085213F">
      <w:pPr>
        <w:pBdr>
          <w:top w:val="nil"/>
        </w:pBdr>
        <w:autoSpaceDE w:val="0"/>
        <w:autoSpaceDN w:val="0"/>
        <w:adjustRightInd w:val="0"/>
        <w:spacing w:after="0" w:line="240" w:lineRule="auto"/>
        <w:jc w:val="both"/>
        <w:rPr>
          <w:rFonts w:ascii="Verdana" w:hAnsi="Verdana"/>
          <w:sz w:val="20"/>
        </w:rPr>
      </w:pPr>
    </w:p>
    <w:p w14:paraId="5E6A49B8" w14:textId="6619CECA" w:rsidR="0085213F" w:rsidRPr="006A0A3F" w:rsidRDefault="0085213F" w:rsidP="006D7B01">
      <w:pPr>
        <w:pBdr>
          <w:top w:val="nil"/>
        </w:pBdr>
        <w:autoSpaceDE w:val="0"/>
        <w:autoSpaceDN w:val="0"/>
        <w:adjustRightInd w:val="0"/>
        <w:spacing w:after="0" w:line="240" w:lineRule="auto"/>
        <w:ind w:left="1839" w:hanging="705"/>
        <w:jc w:val="both"/>
        <w:rPr>
          <w:rFonts w:ascii="Verdana" w:hAnsi="Verdana"/>
          <w:b/>
          <w:i/>
          <w:sz w:val="20"/>
        </w:rPr>
      </w:pPr>
      <w:r w:rsidRPr="006A0A3F">
        <w:rPr>
          <w:rFonts w:ascii="Verdana" w:hAnsi="Verdana"/>
          <w:b/>
          <w:i/>
          <w:sz w:val="20"/>
        </w:rPr>
        <w:t xml:space="preserve">i. </w:t>
      </w:r>
      <w:r w:rsidRPr="006A0A3F">
        <w:rPr>
          <w:rFonts w:ascii="Verdana" w:hAnsi="Verdana"/>
          <w:b/>
          <w:i/>
          <w:sz w:val="20"/>
        </w:rPr>
        <w:tab/>
      </w:r>
      <w:r w:rsidR="002E342E" w:rsidRPr="006A0A3F">
        <w:rPr>
          <w:rFonts w:ascii="Verdana" w:hAnsi="Verdana"/>
          <w:b/>
          <w:i/>
          <w:sz w:val="20"/>
        </w:rPr>
        <w:t>P</w:t>
      </w:r>
      <w:r w:rsidRPr="006A0A3F">
        <w:rPr>
          <w:rFonts w:ascii="Verdana" w:hAnsi="Verdana"/>
          <w:b/>
          <w:i/>
          <w:sz w:val="20"/>
        </w:rPr>
        <w:t xml:space="preserve">ublicación de la Lista </w:t>
      </w:r>
      <w:proofErr w:type="spellStart"/>
      <w:r w:rsidRPr="006A0A3F">
        <w:rPr>
          <w:rFonts w:ascii="Verdana" w:hAnsi="Verdana"/>
          <w:b/>
          <w:i/>
          <w:sz w:val="20"/>
        </w:rPr>
        <w:t>Tascón</w:t>
      </w:r>
      <w:proofErr w:type="spellEnd"/>
      <w:r w:rsidR="002E342E" w:rsidRPr="006A0A3F">
        <w:rPr>
          <w:rFonts w:ascii="Verdana" w:hAnsi="Verdana"/>
          <w:b/>
          <w:i/>
          <w:sz w:val="20"/>
        </w:rPr>
        <w:t>, declaraciones de altos funcionarios públicos y contexto de polarización política</w:t>
      </w:r>
    </w:p>
    <w:p w14:paraId="2E9B052A" w14:textId="77777777" w:rsidR="0085213F" w:rsidRPr="006A0A3F" w:rsidRDefault="0085213F" w:rsidP="0085213F">
      <w:pPr>
        <w:pBdr>
          <w:top w:val="nil"/>
        </w:pBdr>
        <w:autoSpaceDE w:val="0"/>
        <w:autoSpaceDN w:val="0"/>
        <w:adjustRightInd w:val="0"/>
        <w:spacing w:after="0" w:line="240" w:lineRule="auto"/>
        <w:jc w:val="both"/>
        <w:rPr>
          <w:rFonts w:ascii="Verdana" w:hAnsi="Verdana"/>
          <w:sz w:val="20"/>
        </w:rPr>
      </w:pPr>
    </w:p>
    <w:p w14:paraId="0C21F6A0" w14:textId="44E535D3" w:rsidR="0085213F" w:rsidRPr="006A0A3F" w:rsidRDefault="00BD006B" w:rsidP="005A26A4">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Luego de la presentación a</w:t>
      </w:r>
      <w:r w:rsidR="00196447" w:rsidRPr="006A0A3F">
        <w:rPr>
          <w:rFonts w:ascii="Verdana" w:hAnsi="Verdana"/>
          <w:sz w:val="20"/>
          <w:szCs w:val="20"/>
        </w:rPr>
        <w:t>nte el</w:t>
      </w:r>
      <w:r w:rsidRPr="006A0A3F">
        <w:rPr>
          <w:rFonts w:ascii="Verdana" w:hAnsi="Verdana"/>
          <w:sz w:val="20"/>
          <w:szCs w:val="20"/>
        </w:rPr>
        <w:t xml:space="preserve"> </w:t>
      </w:r>
      <w:r w:rsidR="00196447" w:rsidRPr="006A0A3F">
        <w:rPr>
          <w:rFonts w:ascii="Verdana" w:hAnsi="Verdana"/>
          <w:sz w:val="20"/>
          <w:szCs w:val="20"/>
        </w:rPr>
        <w:t>Consejo Nacional Electoral</w:t>
      </w:r>
      <w:r w:rsidRPr="006A0A3F">
        <w:rPr>
          <w:rFonts w:ascii="Verdana" w:hAnsi="Verdana"/>
          <w:sz w:val="20"/>
          <w:szCs w:val="20"/>
        </w:rPr>
        <w:t xml:space="preserve"> de más de tres millones de firmas recolectadas en diciembre de 2003, en el llamado “</w:t>
      </w:r>
      <w:proofErr w:type="spellStart"/>
      <w:r w:rsidRPr="006A0A3F">
        <w:rPr>
          <w:rFonts w:ascii="Verdana" w:hAnsi="Verdana"/>
          <w:sz w:val="20"/>
          <w:szCs w:val="20"/>
        </w:rPr>
        <w:t>Reafirmazo</w:t>
      </w:r>
      <w:proofErr w:type="spellEnd"/>
      <w:r w:rsidRPr="006A0A3F">
        <w:rPr>
          <w:rFonts w:ascii="Verdana" w:hAnsi="Verdana"/>
          <w:sz w:val="20"/>
          <w:szCs w:val="20"/>
        </w:rPr>
        <w:t xml:space="preserve">”, para solicitar la convocatoria a un referendo revocatorio </w:t>
      </w:r>
      <w:r w:rsidR="00F85F53" w:rsidRPr="006A0A3F">
        <w:rPr>
          <w:rFonts w:ascii="Verdana" w:hAnsi="Verdana"/>
          <w:sz w:val="20"/>
          <w:szCs w:val="20"/>
        </w:rPr>
        <w:t>presidencial</w:t>
      </w:r>
      <w:r w:rsidRPr="006A0A3F">
        <w:rPr>
          <w:rFonts w:ascii="Verdana" w:hAnsi="Verdana"/>
          <w:sz w:val="20"/>
          <w:szCs w:val="20"/>
        </w:rPr>
        <w:t xml:space="preserve">, en </w:t>
      </w:r>
      <w:r w:rsidR="00EA5641" w:rsidRPr="006A0A3F">
        <w:rPr>
          <w:rFonts w:ascii="Verdana" w:hAnsi="Verdana"/>
          <w:sz w:val="20"/>
          <w:szCs w:val="20"/>
        </w:rPr>
        <w:t>enero</w:t>
      </w:r>
      <w:r w:rsidRPr="006A0A3F">
        <w:rPr>
          <w:rFonts w:ascii="Verdana" w:hAnsi="Verdana"/>
          <w:sz w:val="20"/>
          <w:szCs w:val="20"/>
        </w:rPr>
        <w:t xml:space="preserve"> de 2004 </w:t>
      </w:r>
      <w:r w:rsidR="00196447" w:rsidRPr="006A0A3F">
        <w:rPr>
          <w:rFonts w:ascii="Verdana" w:hAnsi="Verdana"/>
          <w:sz w:val="20"/>
          <w:szCs w:val="20"/>
        </w:rPr>
        <w:t xml:space="preserve">dicha institución </w:t>
      </w:r>
      <w:r w:rsidR="00EA5641" w:rsidRPr="006A0A3F">
        <w:rPr>
          <w:rFonts w:ascii="Verdana" w:hAnsi="Verdana"/>
          <w:sz w:val="20"/>
          <w:szCs w:val="20"/>
        </w:rPr>
        <w:t xml:space="preserve">entregó copias de las planillas que contenían las firmas consignadas para solicitar el referendo, al entonces </w:t>
      </w:r>
      <w:r w:rsidRPr="006A0A3F">
        <w:rPr>
          <w:rFonts w:ascii="Verdana" w:hAnsi="Verdana"/>
          <w:sz w:val="20"/>
          <w:szCs w:val="20"/>
        </w:rPr>
        <w:t>diputado</w:t>
      </w:r>
      <w:r w:rsidR="003D5455" w:rsidRPr="006A0A3F">
        <w:rPr>
          <w:rFonts w:ascii="Verdana" w:hAnsi="Verdana"/>
          <w:sz w:val="20"/>
          <w:szCs w:val="20"/>
        </w:rPr>
        <w:t xml:space="preserve"> </w:t>
      </w:r>
      <w:r w:rsidR="00EA5641" w:rsidRPr="006A0A3F">
        <w:rPr>
          <w:rFonts w:ascii="Verdana" w:hAnsi="Verdana"/>
          <w:sz w:val="20"/>
          <w:szCs w:val="20"/>
        </w:rPr>
        <w:t xml:space="preserve">Luis </w:t>
      </w:r>
      <w:proofErr w:type="spellStart"/>
      <w:r w:rsidR="00EA5641" w:rsidRPr="006A0A3F">
        <w:rPr>
          <w:rFonts w:ascii="Verdana" w:hAnsi="Verdana"/>
          <w:sz w:val="20"/>
          <w:szCs w:val="20"/>
        </w:rPr>
        <w:t>Tascón</w:t>
      </w:r>
      <w:proofErr w:type="spellEnd"/>
      <w:r w:rsidR="00EA5641" w:rsidRPr="006A0A3F">
        <w:rPr>
          <w:rFonts w:ascii="Verdana" w:hAnsi="Verdana"/>
          <w:sz w:val="20"/>
          <w:szCs w:val="20"/>
        </w:rPr>
        <w:t xml:space="preserve">, </w:t>
      </w:r>
      <w:r w:rsidRPr="006A0A3F">
        <w:rPr>
          <w:rFonts w:ascii="Verdana" w:hAnsi="Verdana"/>
          <w:sz w:val="20"/>
          <w:szCs w:val="20"/>
        </w:rPr>
        <w:t>qu</w:t>
      </w:r>
      <w:r w:rsidR="004D4559" w:rsidRPr="006A0A3F">
        <w:rPr>
          <w:rFonts w:ascii="Verdana" w:hAnsi="Verdana"/>
          <w:sz w:val="20"/>
          <w:szCs w:val="20"/>
        </w:rPr>
        <w:t>i</w:t>
      </w:r>
      <w:r w:rsidRPr="006A0A3F">
        <w:rPr>
          <w:rFonts w:ascii="Verdana" w:hAnsi="Verdana"/>
          <w:sz w:val="20"/>
          <w:szCs w:val="20"/>
        </w:rPr>
        <w:t>e</w:t>
      </w:r>
      <w:r w:rsidR="004D4559" w:rsidRPr="006A0A3F">
        <w:rPr>
          <w:rFonts w:ascii="Verdana" w:hAnsi="Verdana"/>
          <w:sz w:val="20"/>
          <w:szCs w:val="20"/>
        </w:rPr>
        <w:t>n</w:t>
      </w:r>
      <w:r w:rsidRPr="006A0A3F">
        <w:rPr>
          <w:rFonts w:ascii="Verdana" w:hAnsi="Verdana"/>
          <w:sz w:val="20"/>
          <w:szCs w:val="20"/>
        </w:rPr>
        <w:t xml:space="preserve"> </w:t>
      </w:r>
      <w:r w:rsidR="00EA5641" w:rsidRPr="006A0A3F">
        <w:rPr>
          <w:rFonts w:ascii="Verdana" w:hAnsi="Verdana"/>
          <w:sz w:val="20"/>
          <w:szCs w:val="20"/>
        </w:rPr>
        <w:t xml:space="preserve">había sido </w:t>
      </w:r>
      <w:r w:rsidRPr="006A0A3F">
        <w:rPr>
          <w:rFonts w:ascii="Verdana" w:hAnsi="Verdana"/>
          <w:sz w:val="20"/>
          <w:szCs w:val="20"/>
        </w:rPr>
        <w:t xml:space="preserve">autorizado </w:t>
      </w:r>
      <w:r w:rsidR="00EA5641" w:rsidRPr="006A0A3F">
        <w:rPr>
          <w:rFonts w:ascii="Verdana" w:hAnsi="Verdana"/>
          <w:sz w:val="20"/>
          <w:szCs w:val="20"/>
        </w:rPr>
        <w:t xml:space="preserve">para ello </w:t>
      </w:r>
      <w:r w:rsidR="004C0473" w:rsidRPr="006A0A3F">
        <w:rPr>
          <w:rFonts w:ascii="Verdana" w:hAnsi="Verdana"/>
          <w:sz w:val="20"/>
          <w:szCs w:val="20"/>
        </w:rPr>
        <w:t xml:space="preserve">ante ese Consejo </w:t>
      </w:r>
      <w:r w:rsidRPr="006A0A3F">
        <w:rPr>
          <w:rFonts w:ascii="Verdana" w:hAnsi="Verdana"/>
          <w:sz w:val="20"/>
          <w:szCs w:val="20"/>
        </w:rPr>
        <w:t xml:space="preserve">por el </w:t>
      </w:r>
      <w:r w:rsidR="00814E09" w:rsidRPr="006A0A3F">
        <w:rPr>
          <w:rFonts w:ascii="Verdana" w:hAnsi="Verdana"/>
          <w:sz w:val="20"/>
          <w:szCs w:val="20"/>
        </w:rPr>
        <w:t>funcionario cuyo mandato se pretendía revocar</w:t>
      </w:r>
      <w:r w:rsidRPr="006A0A3F">
        <w:rPr>
          <w:rFonts w:ascii="Verdana" w:hAnsi="Verdana"/>
          <w:sz w:val="20"/>
          <w:szCs w:val="20"/>
        </w:rPr>
        <w:t>.</w:t>
      </w:r>
      <w:r w:rsidR="00EA5641" w:rsidRPr="006A0A3F">
        <w:rPr>
          <w:rFonts w:ascii="Verdana" w:hAnsi="Verdana"/>
          <w:sz w:val="20"/>
          <w:szCs w:val="20"/>
        </w:rPr>
        <w:t xml:space="preserve"> </w:t>
      </w:r>
    </w:p>
    <w:p w14:paraId="0DFF0DDA" w14:textId="77777777" w:rsidR="0085213F" w:rsidRPr="006A0A3F" w:rsidRDefault="0085213F" w:rsidP="0085213F">
      <w:pPr>
        <w:pBdr>
          <w:top w:val="nil"/>
        </w:pBdr>
        <w:autoSpaceDE w:val="0"/>
        <w:autoSpaceDN w:val="0"/>
        <w:adjustRightInd w:val="0"/>
        <w:spacing w:after="0" w:line="240" w:lineRule="auto"/>
        <w:jc w:val="both"/>
        <w:rPr>
          <w:rFonts w:ascii="Verdana" w:hAnsi="Verdana"/>
          <w:sz w:val="20"/>
          <w:szCs w:val="20"/>
        </w:rPr>
      </w:pPr>
    </w:p>
    <w:p w14:paraId="5E2B996A" w14:textId="23C3CAA8" w:rsidR="00EA5641" w:rsidRPr="006A0A3F" w:rsidRDefault="00EA5641" w:rsidP="00EA5641">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No obstante,</w:t>
      </w:r>
      <w:r w:rsidR="004C0473" w:rsidRPr="006A0A3F">
        <w:rPr>
          <w:rFonts w:ascii="Verdana" w:hAnsi="Verdana"/>
          <w:sz w:val="20"/>
          <w:szCs w:val="20"/>
        </w:rPr>
        <w:t xml:space="preserve"> </w:t>
      </w:r>
      <w:r w:rsidR="00614843" w:rsidRPr="006A0A3F">
        <w:rPr>
          <w:rFonts w:ascii="Verdana" w:hAnsi="Verdana"/>
          <w:sz w:val="20"/>
          <w:szCs w:val="20"/>
        </w:rPr>
        <w:t xml:space="preserve">luego de recibir las planillas, </w:t>
      </w:r>
      <w:r w:rsidRPr="006A0A3F">
        <w:rPr>
          <w:rFonts w:ascii="Verdana" w:hAnsi="Verdana"/>
          <w:sz w:val="20"/>
          <w:szCs w:val="20"/>
        </w:rPr>
        <w:t xml:space="preserve">en febrero de 2004 </w:t>
      </w:r>
      <w:r w:rsidR="00614843" w:rsidRPr="006A0A3F">
        <w:rPr>
          <w:rFonts w:ascii="Verdana" w:hAnsi="Verdana"/>
          <w:sz w:val="20"/>
          <w:szCs w:val="20"/>
        </w:rPr>
        <w:t>tal diputado elaboró y publicó</w:t>
      </w:r>
      <w:r w:rsidRPr="006A0A3F">
        <w:rPr>
          <w:rFonts w:ascii="Verdana" w:hAnsi="Verdana"/>
          <w:sz w:val="20"/>
          <w:szCs w:val="20"/>
        </w:rPr>
        <w:t xml:space="preserve"> la llamada “Lista </w:t>
      </w:r>
      <w:proofErr w:type="spellStart"/>
      <w:r w:rsidRPr="006A0A3F">
        <w:rPr>
          <w:rFonts w:ascii="Verdana" w:hAnsi="Verdana"/>
          <w:sz w:val="20"/>
          <w:szCs w:val="20"/>
        </w:rPr>
        <w:t>Tascón</w:t>
      </w:r>
      <w:proofErr w:type="spellEnd"/>
      <w:r w:rsidRPr="006A0A3F">
        <w:rPr>
          <w:rFonts w:ascii="Verdana" w:hAnsi="Verdana"/>
          <w:sz w:val="20"/>
          <w:szCs w:val="20"/>
        </w:rPr>
        <w:t>”</w:t>
      </w:r>
      <w:r w:rsidR="00F05490" w:rsidRPr="006A0A3F">
        <w:rPr>
          <w:rFonts w:ascii="Verdana" w:hAnsi="Verdana"/>
          <w:sz w:val="20"/>
          <w:szCs w:val="20"/>
        </w:rPr>
        <w:t xml:space="preserve">, en la cual podía constatarse que </w:t>
      </w:r>
      <w:r w:rsidR="00614843" w:rsidRPr="006A0A3F">
        <w:rPr>
          <w:rFonts w:ascii="Verdana" w:hAnsi="Verdana"/>
          <w:sz w:val="20"/>
          <w:szCs w:val="20"/>
        </w:rPr>
        <w:t xml:space="preserve">las presuntas víctimas </w:t>
      </w:r>
      <w:r w:rsidR="00F05490" w:rsidRPr="006A0A3F">
        <w:rPr>
          <w:rFonts w:ascii="Verdana" w:hAnsi="Verdana"/>
          <w:sz w:val="20"/>
          <w:szCs w:val="20"/>
        </w:rPr>
        <w:t>habían efectivamente firmado a favor de la solicitud de convocatoria a referendo</w:t>
      </w:r>
      <w:r w:rsidR="00614843" w:rsidRPr="006A0A3F">
        <w:rPr>
          <w:rFonts w:ascii="Verdana" w:hAnsi="Verdana"/>
          <w:sz w:val="20"/>
          <w:szCs w:val="20"/>
        </w:rPr>
        <w:t>.</w:t>
      </w:r>
    </w:p>
    <w:p w14:paraId="305BE851" w14:textId="77777777" w:rsidR="00EA5641" w:rsidRPr="006A0A3F" w:rsidRDefault="00EA5641" w:rsidP="0085213F">
      <w:pPr>
        <w:pBdr>
          <w:top w:val="nil"/>
        </w:pBdr>
        <w:autoSpaceDE w:val="0"/>
        <w:autoSpaceDN w:val="0"/>
        <w:adjustRightInd w:val="0"/>
        <w:spacing w:after="0" w:line="240" w:lineRule="auto"/>
        <w:jc w:val="both"/>
        <w:rPr>
          <w:rFonts w:ascii="Verdana" w:hAnsi="Verdana"/>
          <w:sz w:val="20"/>
          <w:szCs w:val="20"/>
        </w:rPr>
      </w:pPr>
    </w:p>
    <w:p w14:paraId="57A8E973" w14:textId="0DE160D6" w:rsidR="00D65827" w:rsidRPr="006A0A3F" w:rsidRDefault="0085213F" w:rsidP="00DD03ED">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Según el planteamiento de la Comisión, la lista </w:t>
      </w:r>
      <w:proofErr w:type="spellStart"/>
      <w:r w:rsidRPr="006A0A3F">
        <w:rPr>
          <w:rFonts w:ascii="Verdana" w:hAnsi="Verdana"/>
          <w:sz w:val="20"/>
          <w:szCs w:val="20"/>
        </w:rPr>
        <w:t>Tascón</w:t>
      </w:r>
      <w:proofErr w:type="spellEnd"/>
      <w:r w:rsidRPr="006A0A3F">
        <w:rPr>
          <w:rFonts w:ascii="Verdana" w:hAnsi="Verdana"/>
          <w:sz w:val="20"/>
          <w:szCs w:val="20"/>
        </w:rPr>
        <w:t xml:space="preserve"> refleja </w:t>
      </w:r>
      <w:r w:rsidR="00C13743" w:rsidRPr="006A0A3F">
        <w:rPr>
          <w:rFonts w:ascii="Verdana" w:hAnsi="Verdana"/>
          <w:sz w:val="20"/>
          <w:szCs w:val="20"/>
        </w:rPr>
        <w:t>una</w:t>
      </w:r>
      <w:r w:rsidR="00116FC4" w:rsidRPr="006A0A3F">
        <w:rPr>
          <w:rFonts w:ascii="Verdana" w:hAnsi="Verdana"/>
          <w:sz w:val="20"/>
          <w:szCs w:val="20"/>
        </w:rPr>
        <w:t xml:space="preserve"> falta de garantías de mínima confidencialidad en la recolección de firmas y </w:t>
      </w:r>
      <w:r w:rsidRPr="006A0A3F">
        <w:rPr>
          <w:rFonts w:ascii="Verdana" w:hAnsi="Verdana"/>
          <w:sz w:val="20"/>
          <w:szCs w:val="20"/>
        </w:rPr>
        <w:t>la ausencia de salvaguardas en el referendo revocatorio presidencial, entendiendo que la protección contra presiones y posibles represalias en el marco de procesos electorales es una de la</w:t>
      </w:r>
      <w:r w:rsidR="00035060" w:rsidRPr="006A0A3F">
        <w:rPr>
          <w:rFonts w:ascii="Verdana" w:hAnsi="Verdana"/>
          <w:sz w:val="20"/>
          <w:szCs w:val="20"/>
        </w:rPr>
        <w:t>s finalidades del artículo 23.1.</w:t>
      </w:r>
      <w:r w:rsidRPr="006A0A3F">
        <w:rPr>
          <w:rFonts w:ascii="Verdana" w:hAnsi="Verdana"/>
          <w:sz w:val="20"/>
          <w:szCs w:val="20"/>
        </w:rPr>
        <w:t xml:space="preserve">b) de la Convención. A la vez, al reconocer que </w:t>
      </w:r>
      <w:r w:rsidR="00C13743" w:rsidRPr="006A0A3F">
        <w:rPr>
          <w:rFonts w:ascii="Verdana" w:hAnsi="Verdana"/>
          <w:sz w:val="20"/>
          <w:szCs w:val="20"/>
        </w:rPr>
        <w:t>la</w:t>
      </w:r>
      <w:r w:rsidRPr="006A0A3F">
        <w:rPr>
          <w:rFonts w:ascii="Verdana" w:hAnsi="Verdana"/>
          <w:sz w:val="20"/>
          <w:szCs w:val="20"/>
        </w:rPr>
        <w:t xml:space="preserve"> recolección de firmas para </w:t>
      </w:r>
      <w:r w:rsidR="00C13743" w:rsidRPr="006A0A3F">
        <w:rPr>
          <w:rFonts w:ascii="Verdana" w:hAnsi="Verdana"/>
          <w:sz w:val="20"/>
          <w:szCs w:val="20"/>
        </w:rPr>
        <w:t xml:space="preserve">esos efectos </w:t>
      </w:r>
      <w:r w:rsidRPr="006A0A3F">
        <w:rPr>
          <w:rFonts w:ascii="Verdana" w:hAnsi="Verdana"/>
          <w:sz w:val="20"/>
          <w:szCs w:val="20"/>
        </w:rPr>
        <w:t>no puede garantizar el anonimato de los electores, la Comisión consideró</w:t>
      </w:r>
      <w:r w:rsidR="00C13743" w:rsidRPr="006A0A3F">
        <w:rPr>
          <w:rFonts w:ascii="Verdana" w:hAnsi="Verdana"/>
          <w:sz w:val="20"/>
          <w:szCs w:val="20"/>
        </w:rPr>
        <w:t xml:space="preserve"> </w:t>
      </w:r>
      <w:r w:rsidRPr="006A0A3F">
        <w:rPr>
          <w:rFonts w:ascii="Verdana" w:hAnsi="Verdana"/>
          <w:sz w:val="20"/>
          <w:szCs w:val="20"/>
        </w:rPr>
        <w:t>que “ello no implica que la identidad de las personas que firmaron sea automáticamente información pública” y</w:t>
      </w:r>
      <w:r w:rsidR="003D5455" w:rsidRPr="006A0A3F">
        <w:rPr>
          <w:rFonts w:ascii="Verdana" w:hAnsi="Verdana"/>
          <w:sz w:val="20"/>
          <w:szCs w:val="20"/>
        </w:rPr>
        <w:t xml:space="preserve"> consideró</w:t>
      </w:r>
      <w:r w:rsidR="00C13743" w:rsidRPr="006A0A3F">
        <w:rPr>
          <w:rFonts w:ascii="Verdana" w:hAnsi="Verdana"/>
          <w:sz w:val="20"/>
          <w:szCs w:val="20"/>
        </w:rPr>
        <w:t xml:space="preserve">, sin señalar una regla clara al respecto, </w:t>
      </w:r>
      <w:r w:rsidRPr="006A0A3F">
        <w:rPr>
          <w:rFonts w:ascii="Verdana" w:hAnsi="Verdana"/>
          <w:sz w:val="20"/>
          <w:szCs w:val="20"/>
        </w:rPr>
        <w:t xml:space="preserve">que </w:t>
      </w:r>
      <w:r w:rsidR="00C13743" w:rsidRPr="006A0A3F">
        <w:rPr>
          <w:rFonts w:ascii="Verdana" w:hAnsi="Verdana"/>
          <w:sz w:val="20"/>
          <w:szCs w:val="20"/>
        </w:rPr>
        <w:t>“</w:t>
      </w:r>
      <w:r w:rsidRPr="006A0A3F">
        <w:rPr>
          <w:rFonts w:ascii="Verdana" w:hAnsi="Verdana"/>
          <w:sz w:val="20"/>
          <w:szCs w:val="20"/>
        </w:rPr>
        <w:t>deben explorarse mecanismos para que el órgano electoral independiente dé respuesta efectiva a denuncias de fraude, sin que ello implique dejar al electorado desprotegido contra posibles represalias</w:t>
      </w:r>
      <w:r w:rsidR="00C13743" w:rsidRPr="006A0A3F">
        <w:rPr>
          <w:rFonts w:ascii="Verdana" w:hAnsi="Verdana"/>
          <w:sz w:val="20"/>
          <w:szCs w:val="20"/>
        </w:rPr>
        <w:t>”</w:t>
      </w:r>
      <w:r w:rsidRPr="006A0A3F">
        <w:rPr>
          <w:rFonts w:ascii="Verdana" w:hAnsi="Verdana"/>
          <w:sz w:val="20"/>
          <w:szCs w:val="20"/>
        </w:rPr>
        <w:t xml:space="preserve">. </w:t>
      </w:r>
    </w:p>
    <w:p w14:paraId="4D7A728D" w14:textId="77777777" w:rsidR="00D65827" w:rsidRPr="006A0A3F" w:rsidRDefault="00D65827" w:rsidP="00D65827">
      <w:pPr>
        <w:pStyle w:val="ListParagraph"/>
        <w:rPr>
          <w:rFonts w:ascii="Verdana" w:hAnsi="Verdana"/>
          <w:sz w:val="20"/>
          <w:lang w:val="es-CR"/>
        </w:rPr>
      </w:pPr>
    </w:p>
    <w:p w14:paraId="0EB25512" w14:textId="7547F758" w:rsidR="00D65827" w:rsidRPr="006A0A3F" w:rsidRDefault="0085213F" w:rsidP="0085213F">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Por su parte, el Estado alegó que la publicación de firmas fue un acto legítimo compatible con la Convención, pues la solicitud de activación de un referendo revocatorio no es un acto electoral protegido por el secreto previsto en el art. 23.1.b) de la Convención</w:t>
      </w:r>
      <w:r w:rsidR="00133D7A" w:rsidRPr="006A0A3F">
        <w:rPr>
          <w:rStyle w:val="FootnoteReference"/>
          <w:rFonts w:ascii="Verdana" w:hAnsi="Verdana"/>
          <w:sz w:val="20"/>
          <w:szCs w:val="20"/>
        </w:rPr>
        <w:footnoteReference w:id="194"/>
      </w:r>
      <w:r w:rsidRPr="006A0A3F">
        <w:rPr>
          <w:rFonts w:ascii="Verdana" w:hAnsi="Verdana"/>
          <w:sz w:val="20"/>
          <w:szCs w:val="20"/>
        </w:rPr>
        <w:t xml:space="preserve">. </w:t>
      </w:r>
      <w:r w:rsidR="00D65827" w:rsidRPr="006A0A3F">
        <w:rPr>
          <w:rFonts w:ascii="Verdana" w:hAnsi="Verdana"/>
          <w:sz w:val="20"/>
          <w:szCs w:val="20"/>
        </w:rPr>
        <w:t>E</w:t>
      </w:r>
      <w:r w:rsidRPr="006A0A3F">
        <w:rPr>
          <w:rFonts w:ascii="Verdana" w:hAnsi="Verdana"/>
          <w:sz w:val="20"/>
          <w:szCs w:val="20"/>
        </w:rPr>
        <w:t>l Estado alegó que tal publicación respondía a un objetivo legítimo, pues el órgano electoral debía resguardar los derechos políticos de</w:t>
      </w:r>
      <w:r w:rsidR="00116FC4" w:rsidRPr="006A0A3F">
        <w:rPr>
          <w:rFonts w:ascii="Verdana" w:hAnsi="Verdana"/>
          <w:sz w:val="20"/>
          <w:szCs w:val="20"/>
        </w:rPr>
        <w:t>l funcionario cuya revocatoria se solicitaba, así como de</w:t>
      </w:r>
      <w:r w:rsidRPr="006A0A3F">
        <w:rPr>
          <w:rFonts w:ascii="Verdana" w:hAnsi="Verdana"/>
          <w:sz w:val="20"/>
          <w:szCs w:val="20"/>
        </w:rPr>
        <w:t xml:space="preserve"> quienes suscribieron la solicitud y de quienes no lo hicieron, particularmente ante casos de firmas irregulares</w:t>
      </w:r>
      <w:r w:rsidR="00D65827" w:rsidRPr="006A0A3F">
        <w:rPr>
          <w:rFonts w:ascii="Verdana" w:hAnsi="Verdana"/>
          <w:sz w:val="20"/>
          <w:szCs w:val="20"/>
        </w:rPr>
        <w:t>, para verificar si efectivamente se respetó la voluntad de firmar</w:t>
      </w:r>
      <w:r w:rsidRPr="006A0A3F">
        <w:rPr>
          <w:rFonts w:ascii="Verdana" w:hAnsi="Verdana"/>
          <w:sz w:val="20"/>
          <w:szCs w:val="20"/>
        </w:rPr>
        <w:t>. Por último, el Estado señaló que</w:t>
      </w:r>
      <w:r w:rsidR="00116FC4" w:rsidRPr="006A0A3F">
        <w:rPr>
          <w:rFonts w:ascii="Verdana" w:hAnsi="Verdana"/>
          <w:sz w:val="20"/>
          <w:szCs w:val="20"/>
        </w:rPr>
        <w:t xml:space="preserve"> tal </w:t>
      </w:r>
      <w:r w:rsidR="00D65827" w:rsidRPr="006A0A3F">
        <w:rPr>
          <w:rFonts w:ascii="Verdana" w:hAnsi="Verdana"/>
          <w:sz w:val="20"/>
          <w:szCs w:val="20"/>
        </w:rPr>
        <w:t xml:space="preserve">publicación estaba prevista, </w:t>
      </w:r>
      <w:r w:rsidR="00116FC4" w:rsidRPr="006A0A3F">
        <w:rPr>
          <w:rFonts w:ascii="Verdana" w:hAnsi="Verdana"/>
          <w:sz w:val="20"/>
          <w:szCs w:val="20"/>
        </w:rPr>
        <w:t>de forma previa al inicio del proceso de recolección de firmas</w:t>
      </w:r>
      <w:r w:rsidR="00D65827" w:rsidRPr="006A0A3F">
        <w:rPr>
          <w:rFonts w:ascii="Verdana" w:hAnsi="Verdana"/>
          <w:sz w:val="20"/>
          <w:szCs w:val="20"/>
        </w:rPr>
        <w:t xml:space="preserve">, </w:t>
      </w:r>
      <w:r w:rsidR="00967DA3" w:rsidRPr="006A0A3F">
        <w:rPr>
          <w:rFonts w:ascii="Verdana" w:hAnsi="Verdana"/>
          <w:sz w:val="20"/>
          <w:szCs w:val="20"/>
        </w:rPr>
        <w:t>en</w:t>
      </w:r>
      <w:r w:rsidR="00D65827" w:rsidRPr="006A0A3F">
        <w:rPr>
          <w:rFonts w:ascii="Verdana" w:hAnsi="Verdana"/>
          <w:sz w:val="20"/>
          <w:szCs w:val="20"/>
        </w:rPr>
        <w:t xml:space="preserve"> resoluciones del </w:t>
      </w:r>
      <w:r w:rsidR="00196447" w:rsidRPr="006A0A3F">
        <w:rPr>
          <w:rFonts w:ascii="Verdana" w:hAnsi="Verdana"/>
          <w:sz w:val="20"/>
          <w:szCs w:val="20"/>
        </w:rPr>
        <w:t xml:space="preserve">Consejo Nacional Electoral </w:t>
      </w:r>
      <w:r w:rsidR="00D65827" w:rsidRPr="006A0A3F">
        <w:rPr>
          <w:rFonts w:ascii="Verdana" w:hAnsi="Verdana"/>
          <w:sz w:val="20"/>
          <w:szCs w:val="20"/>
        </w:rPr>
        <w:t xml:space="preserve">de septiembre y octubre de 2003, el cual estaba facultado para </w:t>
      </w:r>
      <w:r w:rsidRPr="006A0A3F">
        <w:rPr>
          <w:rFonts w:ascii="Verdana" w:hAnsi="Verdana"/>
          <w:sz w:val="20"/>
          <w:szCs w:val="20"/>
        </w:rPr>
        <w:t>reglamentar el proceso</w:t>
      </w:r>
      <w:r w:rsidR="00660909" w:rsidRPr="006A0A3F">
        <w:rPr>
          <w:rFonts w:ascii="Verdana" w:hAnsi="Verdana"/>
          <w:sz w:val="20"/>
          <w:szCs w:val="20"/>
        </w:rPr>
        <w:t xml:space="preserve"> de referendo</w:t>
      </w:r>
      <w:r w:rsidRPr="006A0A3F">
        <w:rPr>
          <w:rStyle w:val="FootnoteReference"/>
          <w:rFonts w:ascii="Calibri" w:hAnsi="Calibri"/>
        </w:rPr>
        <w:footnoteReference w:id="195"/>
      </w:r>
      <w:r w:rsidRPr="006A0A3F">
        <w:rPr>
          <w:rFonts w:ascii="Calibri" w:hAnsi="Calibri"/>
        </w:rPr>
        <w:t>.</w:t>
      </w:r>
    </w:p>
    <w:p w14:paraId="34DEA879" w14:textId="77777777" w:rsidR="004C0473" w:rsidRPr="006A0A3F" w:rsidRDefault="004C0473" w:rsidP="004C0473">
      <w:pPr>
        <w:pBdr>
          <w:top w:val="nil"/>
        </w:pBdr>
        <w:autoSpaceDE w:val="0"/>
        <w:autoSpaceDN w:val="0"/>
        <w:adjustRightInd w:val="0"/>
        <w:spacing w:after="0" w:line="240" w:lineRule="auto"/>
        <w:jc w:val="both"/>
        <w:rPr>
          <w:rFonts w:ascii="Verdana" w:hAnsi="Verdana"/>
          <w:sz w:val="20"/>
          <w:szCs w:val="20"/>
        </w:rPr>
      </w:pPr>
    </w:p>
    <w:p w14:paraId="1FE8A75B" w14:textId="06F72E1A" w:rsidR="00094E81" w:rsidRPr="006A0A3F" w:rsidRDefault="0085213F" w:rsidP="00DD03E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En </w:t>
      </w:r>
      <w:r w:rsidR="00046B4A" w:rsidRPr="006A0A3F">
        <w:rPr>
          <w:rFonts w:ascii="Verdana" w:hAnsi="Verdana"/>
          <w:sz w:val="20"/>
        </w:rPr>
        <w:t>atención a</w:t>
      </w:r>
      <w:r w:rsidRPr="006A0A3F">
        <w:rPr>
          <w:rFonts w:ascii="Verdana" w:hAnsi="Verdana"/>
          <w:sz w:val="20"/>
        </w:rPr>
        <w:t xml:space="preserve"> lo</w:t>
      </w:r>
      <w:r w:rsidR="00046B4A" w:rsidRPr="006A0A3F">
        <w:rPr>
          <w:rFonts w:ascii="Verdana" w:hAnsi="Verdana"/>
          <w:sz w:val="20"/>
        </w:rPr>
        <w:t xml:space="preserve"> </w:t>
      </w:r>
      <w:r w:rsidR="003A5970" w:rsidRPr="006A0A3F">
        <w:rPr>
          <w:rFonts w:ascii="Verdana" w:hAnsi="Verdana"/>
          <w:sz w:val="20"/>
        </w:rPr>
        <w:t>anterior</w:t>
      </w:r>
      <w:r w:rsidR="00046B4A" w:rsidRPr="006A0A3F">
        <w:rPr>
          <w:rFonts w:ascii="Verdana" w:hAnsi="Verdana"/>
          <w:sz w:val="20"/>
        </w:rPr>
        <w:t>, la Corte hace notar que</w:t>
      </w:r>
      <w:r w:rsidR="007A7E28" w:rsidRPr="006A0A3F">
        <w:rPr>
          <w:rFonts w:ascii="Verdana" w:hAnsi="Verdana"/>
          <w:sz w:val="20"/>
        </w:rPr>
        <w:t xml:space="preserve"> las partes y la Comisión han planteado un debate sobre la necesidad y alcance de </w:t>
      </w:r>
      <w:r w:rsidR="007A7E28" w:rsidRPr="006A0A3F">
        <w:rPr>
          <w:rFonts w:ascii="Verdana" w:hAnsi="Verdana"/>
          <w:sz w:val="20"/>
          <w:szCs w:val="20"/>
        </w:rPr>
        <w:t xml:space="preserve">garantías de reserva o confidencialidad </w:t>
      </w:r>
      <w:r w:rsidR="00967DA3" w:rsidRPr="006A0A3F">
        <w:rPr>
          <w:rFonts w:ascii="Verdana" w:hAnsi="Verdana"/>
          <w:sz w:val="20"/>
          <w:szCs w:val="20"/>
        </w:rPr>
        <w:t xml:space="preserve">de la información e identidad de los solicitantes </w:t>
      </w:r>
      <w:r w:rsidR="007A7E28" w:rsidRPr="006A0A3F">
        <w:rPr>
          <w:rFonts w:ascii="Verdana" w:hAnsi="Verdana"/>
          <w:sz w:val="20"/>
          <w:szCs w:val="20"/>
        </w:rPr>
        <w:t xml:space="preserve">en procedimientos de recolección de firmas en mecanismos de referéndum. Ello podría </w:t>
      </w:r>
      <w:r w:rsidR="00F733A3" w:rsidRPr="006A0A3F">
        <w:rPr>
          <w:rFonts w:ascii="Verdana" w:hAnsi="Verdana"/>
          <w:sz w:val="20"/>
          <w:szCs w:val="20"/>
        </w:rPr>
        <w:t>conllevar</w:t>
      </w:r>
      <w:r w:rsidR="007A7E28" w:rsidRPr="006A0A3F">
        <w:rPr>
          <w:rFonts w:ascii="Verdana" w:hAnsi="Verdana"/>
          <w:sz w:val="20"/>
          <w:szCs w:val="20"/>
        </w:rPr>
        <w:t xml:space="preserve"> </w:t>
      </w:r>
      <w:r w:rsidR="00814E09" w:rsidRPr="006A0A3F">
        <w:rPr>
          <w:rFonts w:ascii="Verdana" w:hAnsi="Verdana"/>
          <w:sz w:val="20"/>
          <w:szCs w:val="20"/>
        </w:rPr>
        <w:t xml:space="preserve">un análisis sobre </w:t>
      </w:r>
      <w:r w:rsidR="007A7E28" w:rsidRPr="006A0A3F">
        <w:rPr>
          <w:rFonts w:ascii="Verdana" w:hAnsi="Verdana"/>
          <w:sz w:val="20"/>
          <w:szCs w:val="20"/>
        </w:rPr>
        <w:t xml:space="preserve">si la publicación de las </w:t>
      </w:r>
      <w:r w:rsidR="007A7E28" w:rsidRPr="006A0A3F">
        <w:rPr>
          <w:rFonts w:ascii="Verdana" w:hAnsi="Verdana"/>
          <w:sz w:val="20"/>
          <w:szCs w:val="20"/>
        </w:rPr>
        <w:lastRenderedPageBreak/>
        <w:t xml:space="preserve">firmas, en tanto </w:t>
      </w:r>
      <w:r w:rsidR="00EC65D6" w:rsidRPr="006A0A3F">
        <w:rPr>
          <w:rFonts w:ascii="Verdana" w:hAnsi="Verdana"/>
          <w:sz w:val="20"/>
          <w:szCs w:val="20"/>
        </w:rPr>
        <w:t xml:space="preserve">que una </w:t>
      </w:r>
      <w:r w:rsidR="007A7E28" w:rsidRPr="006A0A3F">
        <w:rPr>
          <w:rFonts w:ascii="Verdana" w:hAnsi="Verdana"/>
          <w:sz w:val="20"/>
          <w:szCs w:val="20"/>
        </w:rPr>
        <w:t xml:space="preserve">posible restricción a </w:t>
      </w:r>
      <w:r w:rsidR="00EC65D6" w:rsidRPr="006A0A3F">
        <w:rPr>
          <w:rFonts w:ascii="Verdana" w:hAnsi="Verdana"/>
          <w:sz w:val="20"/>
          <w:szCs w:val="20"/>
        </w:rPr>
        <w:t xml:space="preserve">los </w:t>
      </w:r>
      <w:r w:rsidR="007A7E28" w:rsidRPr="006A0A3F">
        <w:rPr>
          <w:rFonts w:ascii="Verdana" w:hAnsi="Verdana"/>
          <w:sz w:val="20"/>
          <w:szCs w:val="20"/>
        </w:rPr>
        <w:t xml:space="preserve">derechos de los solicitantes de la convocatoria a referéndum revocatorio, era una medida legal, que respondía a un objetivo legítimo y, como tal, necesaria y proporcional en una sociedad democrática, a efectos de verificar la validez de las firmas y resguardar así derechos del funcionario revocable, de los firmantes y de quienes no firmaron. </w:t>
      </w:r>
    </w:p>
    <w:p w14:paraId="3627097F" w14:textId="77777777" w:rsidR="00234491" w:rsidRPr="006A0A3F" w:rsidRDefault="00234491" w:rsidP="00234491">
      <w:pPr>
        <w:pStyle w:val="ListParagraph"/>
        <w:rPr>
          <w:rFonts w:ascii="Verdana" w:hAnsi="Verdana"/>
          <w:b/>
          <w:sz w:val="20"/>
          <w:lang w:val="es-CR"/>
        </w:rPr>
      </w:pPr>
    </w:p>
    <w:p w14:paraId="3B7B1ECA" w14:textId="1C229E47" w:rsidR="0028334A" w:rsidRPr="006A0A3F" w:rsidRDefault="00F733A3" w:rsidP="00DD03E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E</w:t>
      </w:r>
      <w:r w:rsidR="0028334A" w:rsidRPr="006A0A3F">
        <w:rPr>
          <w:rFonts w:ascii="Verdana" w:hAnsi="Verdana"/>
          <w:sz w:val="20"/>
        </w:rPr>
        <w:t>n septiembre de 2003</w:t>
      </w:r>
      <w:r w:rsidRPr="006A0A3F">
        <w:rPr>
          <w:rFonts w:ascii="Verdana" w:hAnsi="Verdana"/>
          <w:sz w:val="20"/>
        </w:rPr>
        <w:t>,</w:t>
      </w:r>
      <w:r w:rsidR="0028334A" w:rsidRPr="006A0A3F">
        <w:rPr>
          <w:rFonts w:ascii="Verdana" w:hAnsi="Verdana"/>
          <w:sz w:val="20"/>
        </w:rPr>
        <w:t xml:space="preserve"> el </w:t>
      </w:r>
      <w:r w:rsidR="00196447" w:rsidRPr="006A0A3F">
        <w:rPr>
          <w:rFonts w:ascii="Verdana" w:hAnsi="Verdana"/>
          <w:sz w:val="20"/>
          <w:szCs w:val="20"/>
        </w:rPr>
        <w:t>Consejo Nacional Electoral</w:t>
      </w:r>
      <w:r w:rsidR="00196447" w:rsidRPr="006A0A3F">
        <w:rPr>
          <w:rFonts w:ascii="Verdana" w:hAnsi="Verdana"/>
          <w:sz w:val="20"/>
        </w:rPr>
        <w:t xml:space="preserve"> </w:t>
      </w:r>
      <w:r w:rsidR="0028334A" w:rsidRPr="006A0A3F">
        <w:rPr>
          <w:rFonts w:ascii="Verdana" w:hAnsi="Verdana"/>
          <w:sz w:val="20"/>
        </w:rPr>
        <w:t>había emitido ciertas regulaciones que establecían su propia prerrogativa de publicar los resultados del eventual proceso de verificación de firmas, incluyendo la lista completa de firmantes acompañadas de su aceptación o rechazo como firma legítima</w:t>
      </w:r>
      <w:r w:rsidR="0028334A" w:rsidRPr="006A0A3F">
        <w:rPr>
          <w:rStyle w:val="FootnoteReference"/>
          <w:rFonts w:ascii="Verdana" w:hAnsi="Verdana"/>
          <w:sz w:val="20"/>
        </w:rPr>
        <w:footnoteReference w:id="196"/>
      </w:r>
      <w:r w:rsidR="0028334A" w:rsidRPr="006A0A3F">
        <w:rPr>
          <w:rFonts w:ascii="Verdana" w:hAnsi="Verdana"/>
          <w:sz w:val="20"/>
        </w:rPr>
        <w:t xml:space="preserve"> (</w:t>
      </w:r>
      <w:r w:rsidR="0028334A" w:rsidRPr="006A0A3F">
        <w:rPr>
          <w:rFonts w:ascii="Verdana" w:hAnsi="Verdana"/>
          <w:i/>
          <w:sz w:val="20"/>
        </w:rPr>
        <w:t xml:space="preserve">supra </w:t>
      </w:r>
      <w:r w:rsidR="00DD3A50" w:rsidRPr="006A0A3F">
        <w:rPr>
          <w:rFonts w:ascii="Verdana" w:hAnsi="Verdana"/>
          <w:sz w:val="20"/>
        </w:rPr>
        <w:t>párr. 51</w:t>
      </w:r>
      <w:r w:rsidR="0028334A" w:rsidRPr="006A0A3F">
        <w:rPr>
          <w:rFonts w:ascii="Verdana" w:hAnsi="Verdana"/>
          <w:sz w:val="20"/>
        </w:rPr>
        <w:t xml:space="preserve">). Es decir, según se reguló en ese momento, la participación en el proceso de convocatoria no garantizaba confidencialidad o anonimato absolutos de los solicitantes. Además, </w:t>
      </w:r>
      <w:r w:rsidR="00412590" w:rsidRPr="006A0A3F">
        <w:rPr>
          <w:rFonts w:ascii="Verdana" w:hAnsi="Verdana"/>
          <w:sz w:val="20"/>
        </w:rPr>
        <w:t>de ser cierto que</w:t>
      </w:r>
      <w:r w:rsidR="0028334A" w:rsidRPr="006A0A3F">
        <w:rPr>
          <w:rFonts w:ascii="Verdana" w:hAnsi="Verdana"/>
          <w:sz w:val="20"/>
        </w:rPr>
        <w:t xml:space="preserve"> existían denuncias reales de fraude electoral, </w:t>
      </w:r>
      <w:r w:rsidR="00A53200" w:rsidRPr="006A0A3F">
        <w:rPr>
          <w:rFonts w:ascii="Verdana" w:hAnsi="Verdana"/>
          <w:sz w:val="20"/>
        </w:rPr>
        <w:t>dicha autoridad</w:t>
      </w:r>
      <w:r w:rsidR="0028334A" w:rsidRPr="006A0A3F">
        <w:rPr>
          <w:rFonts w:ascii="Verdana" w:hAnsi="Verdana" w:cs="Arial"/>
          <w:sz w:val="20"/>
        </w:rPr>
        <w:t xml:space="preserve"> estaba</w:t>
      </w:r>
      <w:r w:rsidR="0028334A" w:rsidRPr="006A0A3F">
        <w:rPr>
          <w:rFonts w:ascii="Verdana" w:hAnsi="Verdana"/>
          <w:sz w:val="20"/>
        </w:rPr>
        <w:t xml:space="preserve"> </w:t>
      </w:r>
      <w:r w:rsidR="0028334A" w:rsidRPr="006A0A3F">
        <w:rPr>
          <w:rFonts w:ascii="Verdana" w:hAnsi="Verdana" w:cs="Arial"/>
          <w:sz w:val="20"/>
        </w:rPr>
        <w:t xml:space="preserve">en su deber </w:t>
      </w:r>
      <w:r w:rsidR="0028334A" w:rsidRPr="006A0A3F">
        <w:rPr>
          <w:rFonts w:ascii="Verdana" w:hAnsi="Verdana"/>
          <w:sz w:val="20"/>
        </w:rPr>
        <w:t>de responder e investigar</w:t>
      </w:r>
      <w:r w:rsidR="0028334A" w:rsidRPr="006A0A3F">
        <w:rPr>
          <w:rFonts w:ascii="Verdana" w:hAnsi="Verdana" w:cs="Arial"/>
          <w:sz w:val="20"/>
        </w:rPr>
        <w:t xml:space="preserve"> de manera independiente esas posibilidades, velando por los derechos en juego</w:t>
      </w:r>
      <w:r w:rsidR="0028334A" w:rsidRPr="006A0A3F">
        <w:rPr>
          <w:rFonts w:ascii="Verdana" w:hAnsi="Verdana"/>
          <w:sz w:val="20"/>
        </w:rPr>
        <w:t xml:space="preserve">. </w:t>
      </w:r>
      <w:r w:rsidR="00C12798" w:rsidRPr="006A0A3F">
        <w:rPr>
          <w:rFonts w:ascii="Verdana" w:hAnsi="Verdana"/>
          <w:sz w:val="20"/>
        </w:rPr>
        <w:t>Sin</w:t>
      </w:r>
      <w:r w:rsidR="00681F2D" w:rsidRPr="006A0A3F">
        <w:rPr>
          <w:rFonts w:ascii="Verdana" w:hAnsi="Verdana"/>
          <w:sz w:val="20"/>
        </w:rPr>
        <w:t xml:space="preserve"> embargo, sin</w:t>
      </w:r>
      <w:r w:rsidR="00C12798" w:rsidRPr="006A0A3F">
        <w:rPr>
          <w:rFonts w:ascii="Verdana" w:hAnsi="Verdana"/>
          <w:sz w:val="20"/>
        </w:rPr>
        <w:t xml:space="preserve"> que estuviese previsto en la norma</w:t>
      </w:r>
      <w:r w:rsidR="00D0656B" w:rsidRPr="006A0A3F">
        <w:rPr>
          <w:rFonts w:ascii="Verdana" w:hAnsi="Verdana"/>
          <w:sz w:val="20"/>
        </w:rPr>
        <w:t>,</w:t>
      </w:r>
      <w:r w:rsidR="00C12798" w:rsidRPr="006A0A3F">
        <w:rPr>
          <w:rFonts w:ascii="Verdana" w:hAnsi="Verdana"/>
          <w:sz w:val="20"/>
        </w:rPr>
        <w:t xml:space="preserve"> </w:t>
      </w:r>
      <w:r w:rsidRPr="006A0A3F">
        <w:rPr>
          <w:rFonts w:ascii="Verdana" w:hAnsi="Verdana" w:cs="Arial"/>
          <w:sz w:val="20"/>
        </w:rPr>
        <w:t xml:space="preserve">el </w:t>
      </w:r>
      <w:r w:rsidR="00196447" w:rsidRPr="006A0A3F">
        <w:rPr>
          <w:rFonts w:ascii="Verdana" w:hAnsi="Verdana"/>
          <w:sz w:val="20"/>
          <w:szCs w:val="20"/>
        </w:rPr>
        <w:t>Consejo Nacional Electoral</w:t>
      </w:r>
      <w:r w:rsidR="00196447" w:rsidRPr="006A0A3F">
        <w:rPr>
          <w:rFonts w:ascii="Verdana" w:hAnsi="Verdana" w:cs="Arial"/>
          <w:sz w:val="20"/>
        </w:rPr>
        <w:t xml:space="preserve"> </w:t>
      </w:r>
      <w:r w:rsidR="003D6401" w:rsidRPr="006A0A3F">
        <w:rPr>
          <w:rFonts w:ascii="Verdana" w:hAnsi="Verdana" w:cs="Arial"/>
          <w:sz w:val="20"/>
        </w:rPr>
        <w:t>entregó</w:t>
      </w:r>
      <w:r w:rsidR="0028334A" w:rsidRPr="006A0A3F">
        <w:rPr>
          <w:rFonts w:ascii="Verdana" w:hAnsi="Verdana" w:cs="Arial"/>
          <w:sz w:val="20"/>
        </w:rPr>
        <w:t xml:space="preserve"> copias de las planillas </w:t>
      </w:r>
      <w:r w:rsidR="003D6401" w:rsidRPr="006A0A3F">
        <w:rPr>
          <w:rFonts w:ascii="Verdana" w:hAnsi="Verdana" w:cs="Arial"/>
          <w:sz w:val="20"/>
        </w:rPr>
        <w:t xml:space="preserve">de firmas </w:t>
      </w:r>
      <w:r w:rsidR="0028334A" w:rsidRPr="006A0A3F">
        <w:rPr>
          <w:rFonts w:ascii="Verdana" w:hAnsi="Verdana" w:cs="Arial"/>
          <w:sz w:val="20"/>
        </w:rPr>
        <w:t>a</w:t>
      </w:r>
      <w:r w:rsidR="003D6401" w:rsidRPr="006A0A3F">
        <w:rPr>
          <w:rFonts w:ascii="Verdana" w:hAnsi="Verdana" w:cs="Arial"/>
          <w:sz w:val="20"/>
        </w:rPr>
        <w:t xml:space="preserve"> un diputado </w:t>
      </w:r>
      <w:r w:rsidR="00D0656B" w:rsidRPr="006A0A3F">
        <w:rPr>
          <w:rFonts w:ascii="Verdana" w:hAnsi="Verdana" w:cs="Arial"/>
          <w:sz w:val="20"/>
        </w:rPr>
        <w:t xml:space="preserve">que había sido </w:t>
      </w:r>
      <w:r w:rsidR="003D6401" w:rsidRPr="006A0A3F">
        <w:rPr>
          <w:rFonts w:ascii="Verdana" w:hAnsi="Verdana" w:cs="Arial"/>
          <w:sz w:val="20"/>
        </w:rPr>
        <w:t xml:space="preserve">autorizado </w:t>
      </w:r>
      <w:r w:rsidR="002C1CB4" w:rsidRPr="006A0A3F">
        <w:rPr>
          <w:rFonts w:ascii="Verdana" w:hAnsi="Verdana" w:cs="Arial"/>
          <w:sz w:val="20"/>
        </w:rPr>
        <w:t xml:space="preserve">para ello ante ese Consejo </w:t>
      </w:r>
      <w:r w:rsidR="003D6401" w:rsidRPr="006A0A3F">
        <w:rPr>
          <w:rFonts w:ascii="Verdana" w:hAnsi="Verdana" w:cs="Arial"/>
          <w:sz w:val="20"/>
        </w:rPr>
        <w:t>por el funcionario</w:t>
      </w:r>
      <w:r w:rsidR="0028334A" w:rsidRPr="006A0A3F">
        <w:rPr>
          <w:rFonts w:ascii="Verdana" w:hAnsi="Verdana" w:cs="Arial"/>
          <w:sz w:val="20"/>
        </w:rPr>
        <w:t xml:space="preserve"> </w:t>
      </w:r>
      <w:r w:rsidR="003D6401" w:rsidRPr="006A0A3F">
        <w:rPr>
          <w:rFonts w:ascii="Verdana" w:hAnsi="Verdana" w:cs="Arial"/>
          <w:sz w:val="20"/>
        </w:rPr>
        <w:t>cuyo mandato se pretendía revocar, a saber, el ento</w:t>
      </w:r>
      <w:r w:rsidR="002C1CB4" w:rsidRPr="006A0A3F">
        <w:rPr>
          <w:rFonts w:ascii="Verdana" w:hAnsi="Verdana" w:cs="Arial"/>
          <w:sz w:val="20"/>
        </w:rPr>
        <w:t>nces Presidente de la República.</w:t>
      </w:r>
      <w:r w:rsidRPr="006A0A3F">
        <w:rPr>
          <w:rFonts w:ascii="Verdana" w:hAnsi="Verdana" w:cs="Arial"/>
          <w:sz w:val="20"/>
        </w:rPr>
        <w:t xml:space="preserve"> </w:t>
      </w:r>
      <w:r w:rsidR="002C1CB4" w:rsidRPr="006A0A3F">
        <w:rPr>
          <w:rFonts w:ascii="Verdana" w:hAnsi="Verdana" w:cs="Arial"/>
          <w:sz w:val="20"/>
        </w:rPr>
        <w:t>P</w:t>
      </w:r>
      <w:r w:rsidR="0028334A" w:rsidRPr="006A0A3F">
        <w:rPr>
          <w:rFonts w:ascii="Verdana" w:hAnsi="Verdana" w:cs="Arial"/>
          <w:sz w:val="20"/>
        </w:rPr>
        <w:t>osteriormente</w:t>
      </w:r>
      <w:r w:rsidRPr="006A0A3F">
        <w:rPr>
          <w:rFonts w:ascii="Verdana" w:hAnsi="Verdana" w:cs="Arial"/>
          <w:sz w:val="20"/>
        </w:rPr>
        <w:t>, ese</w:t>
      </w:r>
      <w:r w:rsidR="0028334A" w:rsidRPr="006A0A3F">
        <w:rPr>
          <w:rFonts w:ascii="Verdana" w:hAnsi="Verdana" w:cs="Arial"/>
          <w:sz w:val="20"/>
        </w:rPr>
        <w:t xml:space="preserve"> diputado difundió tal información con los alcances y magnitud ya conocidos.</w:t>
      </w:r>
      <w:r w:rsidR="00DD03ED" w:rsidRPr="006A0A3F">
        <w:rPr>
          <w:rFonts w:ascii="Verdana" w:hAnsi="Verdana" w:cs="Arial"/>
          <w:sz w:val="20"/>
        </w:rPr>
        <w:t xml:space="preserve"> </w:t>
      </w:r>
    </w:p>
    <w:p w14:paraId="74248292" w14:textId="77777777" w:rsidR="00F733A3" w:rsidRPr="006A0A3F" w:rsidRDefault="00F733A3" w:rsidP="00F733A3">
      <w:pPr>
        <w:pBdr>
          <w:top w:val="nil"/>
        </w:pBdr>
        <w:autoSpaceDE w:val="0"/>
        <w:autoSpaceDN w:val="0"/>
        <w:adjustRightInd w:val="0"/>
        <w:spacing w:after="0" w:line="240" w:lineRule="auto"/>
        <w:jc w:val="both"/>
        <w:rPr>
          <w:rFonts w:ascii="Verdana" w:hAnsi="Verdana"/>
          <w:sz w:val="20"/>
        </w:rPr>
      </w:pPr>
    </w:p>
    <w:p w14:paraId="4832712A" w14:textId="49491263" w:rsidR="0085213F" w:rsidRPr="006A0A3F" w:rsidRDefault="00F733A3" w:rsidP="00DD03E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Cabe considerar que, en principio, el </w:t>
      </w:r>
      <w:r w:rsidR="00196447" w:rsidRPr="006A0A3F">
        <w:rPr>
          <w:rFonts w:ascii="Verdana" w:hAnsi="Verdana"/>
          <w:sz w:val="20"/>
          <w:szCs w:val="20"/>
        </w:rPr>
        <w:t>Consejo Nacional Electoral</w:t>
      </w:r>
      <w:r w:rsidR="00196447" w:rsidRPr="006A0A3F">
        <w:rPr>
          <w:rFonts w:ascii="Verdana" w:hAnsi="Verdana"/>
          <w:sz w:val="20"/>
        </w:rPr>
        <w:t xml:space="preserve"> </w:t>
      </w:r>
      <w:r w:rsidRPr="006A0A3F">
        <w:rPr>
          <w:rFonts w:ascii="Verdana" w:hAnsi="Verdana"/>
          <w:sz w:val="20"/>
        </w:rPr>
        <w:t>tenía, como ente rector en esta materia, la facultad y obligación de dar acceso a la información en su poder sobre los firmantes de la solicitud de activación de referendo, si quien la solicitaba era el propio funcionario cuyo mandato se pretendía revocar, en ejercicio de una garantía mínima del debido proceso en esa materia, pues</w:t>
      </w:r>
      <w:r w:rsidRPr="006A0A3F">
        <w:rPr>
          <w:rFonts w:ascii="Verdana" w:hAnsi="Verdana" w:cs="Arial"/>
          <w:sz w:val="20"/>
        </w:rPr>
        <w:t xml:space="preserve"> podía estar legítimamente interesado en verificarlas</w:t>
      </w:r>
      <w:r w:rsidRPr="006A0A3F">
        <w:rPr>
          <w:rFonts w:ascii="Verdana" w:hAnsi="Verdana"/>
          <w:sz w:val="20"/>
        </w:rPr>
        <w:t xml:space="preserve">. </w:t>
      </w:r>
      <w:r w:rsidR="00EF5BCF" w:rsidRPr="006A0A3F">
        <w:rPr>
          <w:rFonts w:ascii="Verdana" w:hAnsi="Verdana"/>
          <w:sz w:val="20"/>
        </w:rPr>
        <w:t xml:space="preserve">Sin embargo, </w:t>
      </w:r>
      <w:r w:rsidR="00734DBA" w:rsidRPr="006A0A3F">
        <w:rPr>
          <w:rFonts w:ascii="Verdana" w:hAnsi="Verdana"/>
          <w:sz w:val="20"/>
        </w:rPr>
        <w:t xml:space="preserve">al evaluar la pertinencia y necesidad de entregar tal información a la persona interesada, </w:t>
      </w:r>
      <w:r w:rsidR="00EF5BCF" w:rsidRPr="006A0A3F">
        <w:rPr>
          <w:rFonts w:ascii="Verdana" w:hAnsi="Verdana"/>
          <w:sz w:val="20"/>
        </w:rPr>
        <w:t xml:space="preserve">también correspondía a la autoridad competente </w:t>
      </w:r>
      <w:r w:rsidR="00A00249" w:rsidRPr="006A0A3F">
        <w:rPr>
          <w:rFonts w:ascii="Verdana" w:hAnsi="Verdana"/>
          <w:sz w:val="20"/>
        </w:rPr>
        <w:t xml:space="preserve">ponderar las posibles consecuencias que conllevaría la </w:t>
      </w:r>
      <w:r w:rsidR="0028334A" w:rsidRPr="006A0A3F">
        <w:rPr>
          <w:rFonts w:ascii="Verdana" w:hAnsi="Verdana"/>
          <w:sz w:val="20"/>
        </w:rPr>
        <w:t xml:space="preserve">eventual </w:t>
      </w:r>
      <w:r w:rsidR="00A00249" w:rsidRPr="006A0A3F">
        <w:rPr>
          <w:rFonts w:ascii="Verdana" w:hAnsi="Verdana"/>
          <w:sz w:val="20"/>
        </w:rPr>
        <w:t xml:space="preserve">difusión de </w:t>
      </w:r>
      <w:r w:rsidR="00BA19B8" w:rsidRPr="006A0A3F">
        <w:rPr>
          <w:rFonts w:ascii="Verdana" w:hAnsi="Verdana"/>
          <w:sz w:val="20"/>
        </w:rPr>
        <w:t xml:space="preserve">la </w:t>
      </w:r>
      <w:r w:rsidR="0028334A" w:rsidRPr="006A0A3F">
        <w:rPr>
          <w:rFonts w:ascii="Verdana" w:hAnsi="Verdana"/>
          <w:sz w:val="20"/>
        </w:rPr>
        <w:t>misma</w:t>
      </w:r>
      <w:r w:rsidR="00A00249" w:rsidRPr="006A0A3F">
        <w:rPr>
          <w:rFonts w:ascii="Verdana" w:hAnsi="Verdana"/>
          <w:sz w:val="20"/>
        </w:rPr>
        <w:t xml:space="preserve"> en el contexto</w:t>
      </w:r>
      <w:r w:rsidR="00BA19B8" w:rsidRPr="006A0A3F">
        <w:rPr>
          <w:rFonts w:ascii="Verdana" w:hAnsi="Verdana"/>
          <w:sz w:val="20"/>
        </w:rPr>
        <w:t xml:space="preserve"> particular</w:t>
      </w:r>
      <w:r w:rsidR="00A00249" w:rsidRPr="006A0A3F">
        <w:rPr>
          <w:rFonts w:ascii="Verdana" w:hAnsi="Verdana"/>
          <w:sz w:val="20"/>
        </w:rPr>
        <w:t xml:space="preserve"> relevante, descartando las posibilidades reales y razonables </w:t>
      </w:r>
      <w:r w:rsidR="0028334A" w:rsidRPr="006A0A3F">
        <w:rPr>
          <w:rFonts w:ascii="Verdana" w:hAnsi="Verdana"/>
          <w:sz w:val="20"/>
        </w:rPr>
        <w:t xml:space="preserve">de </w:t>
      </w:r>
      <w:r w:rsidR="00A00249" w:rsidRPr="006A0A3F">
        <w:rPr>
          <w:rFonts w:ascii="Verdana" w:hAnsi="Verdana"/>
          <w:sz w:val="20"/>
        </w:rPr>
        <w:t xml:space="preserve">que </w:t>
      </w:r>
      <w:r w:rsidR="00BA19B8" w:rsidRPr="006A0A3F">
        <w:rPr>
          <w:rFonts w:ascii="Verdana" w:hAnsi="Verdana"/>
          <w:sz w:val="20"/>
        </w:rPr>
        <w:t>tal difusión</w:t>
      </w:r>
      <w:r w:rsidR="0028334A" w:rsidRPr="006A0A3F">
        <w:rPr>
          <w:rFonts w:ascii="Verdana" w:hAnsi="Verdana"/>
          <w:sz w:val="20"/>
        </w:rPr>
        <w:t xml:space="preserve"> </w:t>
      </w:r>
      <w:r w:rsidR="00B27473" w:rsidRPr="006A0A3F">
        <w:rPr>
          <w:rFonts w:ascii="Verdana" w:hAnsi="Verdana"/>
          <w:sz w:val="20"/>
        </w:rPr>
        <w:t>pudiese</w:t>
      </w:r>
      <w:r w:rsidR="00A00249" w:rsidRPr="006A0A3F">
        <w:rPr>
          <w:rFonts w:ascii="Verdana" w:hAnsi="Verdana"/>
          <w:sz w:val="20"/>
        </w:rPr>
        <w:t xml:space="preserve"> generar amenazas, acosos o represalias por parte del gobierno o incluso de terceros o particulares contra los solicitantes o firmantes. En este supuesto, </w:t>
      </w:r>
      <w:r w:rsidR="009370E5" w:rsidRPr="006A0A3F">
        <w:rPr>
          <w:rFonts w:ascii="Verdana" w:hAnsi="Verdana"/>
          <w:sz w:val="20"/>
        </w:rPr>
        <w:t xml:space="preserve">el ente electoral competente </w:t>
      </w:r>
      <w:r w:rsidR="00A00249" w:rsidRPr="006A0A3F">
        <w:rPr>
          <w:rFonts w:ascii="Verdana" w:hAnsi="Verdana"/>
          <w:sz w:val="20"/>
        </w:rPr>
        <w:t xml:space="preserve">debía </w:t>
      </w:r>
      <w:r w:rsidR="00EF5BCF" w:rsidRPr="006A0A3F">
        <w:rPr>
          <w:rFonts w:ascii="Verdana" w:hAnsi="Verdana"/>
          <w:sz w:val="20"/>
        </w:rPr>
        <w:t xml:space="preserve">analizar si </w:t>
      </w:r>
      <w:r w:rsidR="00A00249" w:rsidRPr="006A0A3F">
        <w:rPr>
          <w:rFonts w:ascii="Verdana" w:hAnsi="Verdana"/>
          <w:sz w:val="20"/>
        </w:rPr>
        <w:t xml:space="preserve">correspondía </w:t>
      </w:r>
      <w:r w:rsidR="0061723D" w:rsidRPr="006A0A3F">
        <w:rPr>
          <w:rFonts w:ascii="Verdana" w:hAnsi="Verdana"/>
          <w:sz w:val="20"/>
        </w:rPr>
        <w:t xml:space="preserve">disponer que la </w:t>
      </w:r>
      <w:r w:rsidR="00A00249" w:rsidRPr="006A0A3F">
        <w:rPr>
          <w:rFonts w:ascii="Verdana" w:hAnsi="Verdana"/>
          <w:sz w:val="20"/>
        </w:rPr>
        <w:t xml:space="preserve">información </w:t>
      </w:r>
      <w:r w:rsidR="0061723D" w:rsidRPr="006A0A3F">
        <w:rPr>
          <w:rFonts w:ascii="Verdana" w:hAnsi="Verdana"/>
          <w:sz w:val="20"/>
        </w:rPr>
        <w:t xml:space="preserve">guardara </w:t>
      </w:r>
      <w:r w:rsidR="00EF5BCF" w:rsidRPr="006A0A3F">
        <w:rPr>
          <w:rFonts w:ascii="Verdana" w:hAnsi="Verdana"/>
          <w:sz w:val="20"/>
        </w:rPr>
        <w:t>algún</w:t>
      </w:r>
      <w:r w:rsidR="0085213F" w:rsidRPr="006A0A3F">
        <w:rPr>
          <w:rFonts w:ascii="Verdana" w:hAnsi="Verdana"/>
          <w:sz w:val="20"/>
        </w:rPr>
        <w:t xml:space="preserve"> carácter </w:t>
      </w:r>
      <w:r w:rsidR="00F73C30" w:rsidRPr="006A0A3F">
        <w:rPr>
          <w:rFonts w:ascii="Verdana" w:hAnsi="Verdana"/>
          <w:sz w:val="20"/>
        </w:rPr>
        <w:t xml:space="preserve">restringido, </w:t>
      </w:r>
      <w:r w:rsidR="00EF5BCF" w:rsidRPr="006A0A3F">
        <w:rPr>
          <w:rFonts w:ascii="Verdana" w:hAnsi="Verdana"/>
          <w:sz w:val="20"/>
        </w:rPr>
        <w:t xml:space="preserve">reservado, </w:t>
      </w:r>
      <w:r w:rsidR="0085213F" w:rsidRPr="006A0A3F">
        <w:rPr>
          <w:rFonts w:ascii="Verdana" w:hAnsi="Verdana"/>
          <w:sz w:val="20"/>
        </w:rPr>
        <w:t xml:space="preserve">confidencial </w:t>
      </w:r>
      <w:r w:rsidR="00F73C30" w:rsidRPr="006A0A3F">
        <w:rPr>
          <w:rFonts w:ascii="Verdana" w:hAnsi="Verdana"/>
          <w:sz w:val="20"/>
        </w:rPr>
        <w:t>o</w:t>
      </w:r>
      <w:r w:rsidR="0085213F" w:rsidRPr="006A0A3F">
        <w:rPr>
          <w:rFonts w:ascii="Verdana" w:hAnsi="Verdana"/>
          <w:sz w:val="20"/>
        </w:rPr>
        <w:t xml:space="preserve"> privilegiado,</w:t>
      </w:r>
      <w:r w:rsidR="0061723D" w:rsidRPr="006A0A3F">
        <w:rPr>
          <w:rFonts w:ascii="Verdana" w:hAnsi="Verdana"/>
          <w:sz w:val="20"/>
        </w:rPr>
        <w:t xml:space="preserve"> bajo responsabilidad de quien la recibiera;</w:t>
      </w:r>
      <w:r w:rsidR="0085213F" w:rsidRPr="006A0A3F">
        <w:rPr>
          <w:rFonts w:ascii="Verdana" w:hAnsi="Verdana"/>
          <w:sz w:val="20"/>
        </w:rPr>
        <w:t xml:space="preserve"> </w:t>
      </w:r>
      <w:r w:rsidR="00EF5BCF" w:rsidRPr="006A0A3F">
        <w:rPr>
          <w:rFonts w:ascii="Verdana" w:hAnsi="Verdana"/>
          <w:sz w:val="20"/>
        </w:rPr>
        <w:t xml:space="preserve">es decir, si </w:t>
      </w:r>
      <w:r w:rsidR="0061723D" w:rsidRPr="006A0A3F">
        <w:rPr>
          <w:rFonts w:ascii="Verdana" w:hAnsi="Verdana"/>
          <w:sz w:val="20"/>
        </w:rPr>
        <w:t xml:space="preserve">en ese contexto particular </w:t>
      </w:r>
      <w:r w:rsidR="0082706D" w:rsidRPr="006A0A3F">
        <w:rPr>
          <w:rFonts w:ascii="Verdana" w:hAnsi="Verdana"/>
          <w:sz w:val="20"/>
        </w:rPr>
        <w:t>debía</w:t>
      </w:r>
      <w:r w:rsidR="00EF5BCF" w:rsidRPr="006A0A3F">
        <w:rPr>
          <w:rFonts w:ascii="Verdana" w:hAnsi="Verdana"/>
          <w:sz w:val="20"/>
        </w:rPr>
        <w:t xml:space="preserve"> disponer</w:t>
      </w:r>
      <w:r w:rsidR="0085213F" w:rsidRPr="006A0A3F">
        <w:rPr>
          <w:rFonts w:ascii="Verdana" w:hAnsi="Verdana"/>
          <w:sz w:val="20"/>
        </w:rPr>
        <w:t xml:space="preserve"> </w:t>
      </w:r>
      <w:r w:rsidR="0061723D" w:rsidRPr="006A0A3F">
        <w:rPr>
          <w:rFonts w:ascii="Verdana" w:hAnsi="Verdana"/>
          <w:sz w:val="20"/>
        </w:rPr>
        <w:t xml:space="preserve">medidas de salvaguarda </w:t>
      </w:r>
      <w:r w:rsidR="00EF5BCF" w:rsidRPr="006A0A3F">
        <w:rPr>
          <w:rFonts w:ascii="Verdana" w:hAnsi="Verdana"/>
          <w:sz w:val="20"/>
        </w:rPr>
        <w:t xml:space="preserve">para </w:t>
      </w:r>
      <w:r w:rsidR="00E42EE6" w:rsidRPr="006A0A3F">
        <w:rPr>
          <w:rFonts w:ascii="Verdana" w:hAnsi="Verdana"/>
          <w:sz w:val="20"/>
        </w:rPr>
        <w:t>asegura</w:t>
      </w:r>
      <w:r w:rsidR="00A53200" w:rsidRPr="006A0A3F">
        <w:rPr>
          <w:rFonts w:ascii="Verdana" w:hAnsi="Verdana"/>
          <w:sz w:val="20"/>
        </w:rPr>
        <w:t>r</w:t>
      </w:r>
      <w:r w:rsidR="00E42EE6" w:rsidRPr="006A0A3F">
        <w:rPr>
          <w:rFonts w:ascii="Verdana" w:hAnsi="Verdana"/>
          <w:sz w:val="20"/>
        </w:rPr>
        <w:t xml:space="preserve"> una protección mínima</w:t>
      </w:r>
      <w:r w:rsidR="00B27473" w:rsidRPr="006A0A3F">
        <w:rPr>
          <w:rFonts w:ascii="Verdana" w:hAnsi="Verdana"/>
          <w:sz w:val="20"/>
        </w:rPr>
        <w:t>me</w:t>
      </w:r>
      <w:r w:rsidR="00E42EE6" w:rsidRPr="006A0A3F">
        <w:rPr>
          <w:rFonts w:ascii="Verdana" w:hAnsi="Verdana"/>
          <w:sz w:val="20"/>
        </w:rPr>
        <w:t xml:space="preserve">nte razonable </w:t>
      </w:r>
      <w:r w:rsidR="00EF5BCF" w:rsidRPr="006A0A3F">
        <w:rPr>
          <w:rFonts w:ascii="Verdana" w:hAnsi="Verdana"/>
          <w:sz w:val="20"/>
        </w:rPr>
        <w:t>a los firmantes</w:t>
      </w:r>
      <w:r w:rsidR="00E42EE6" w:rsidRPr="006A0A3F">
        <w:rPr>
          <w:rFonts w:ascii="Verdana" w:hAnsi="Verdana"/>
          <w:sz w:val="20"/>
        </w:rPr>
        <w:t>,</w:t>
      </w:r>
      <w:r w:rsidR="00EF5BCF" w:rsidRPr="006A0A3F">
        <w:rPr>
          <w:rFonts w:ascii="Verdana" w:hAnsi="Verdana"/>
          <w:sz w:val="20"/>
        </w:rPr>
        <w:t xml:space="preserve"> de modo que tal información no fuese utilizada </w:t>
      </w:r>
      <w:r w:rsidR="0061723D" w:rsidRPr="006A0A3F">
        <w:rPr>
          <w:rFonts w:ascii="Verdana" w:hAnsi="Verdana"/>
          <w:sz w:val="20"/>
        </w:rPr>
        <w:t xml:space="preserve">o instrumentalizada </w:t>
      </w:r>
      <w:r w:rsidR="00EF5BCF" w:rsidRPr="006A0A3F">
        <w:rPr>
          <w:rFonts w:ascii="Verdana" w:hAnsi="Verdana"/>
          <w:sz w:val="20"/>
        </w:rPr>
        <w:t xml:space="preserve">para fines </w:t>
      </w:r>
      <w:r w:rsidR="00E42EE6" w:rsidRPr="006A0A3F">
        <w:rPr>
          <w:rFonts w:ascii="Verdana" w:hAnsi="Verdana"/>
          <w:sz w:val="20"/>
        </w:rPr>
        <w:t>intimidatorios,</w:t>
      </w:r>
      <w:r w:rsidR="0061723D" w:rsidRPr="006A0A3F">
        <w:rPr>
          <w:rFonts w:ascii="Verdana" w:hAnsi="Verdana"/>
          <w:sz w:val="20"/>
        </w:rPr>
        <w:t xml:space="preserve"> de persecución</w:t>
      </w:r>
      <w:r w:rsidR="00E42EE6" w:rsidRPr="006A0A3F">
        <w:rPr>
          <w:rFonts w:ascii="Verdana" w:hAnsi="Verdana"/>
          <w:sz w:val="20"/>
        </w:rPr>
        <w:t xml:space="preserve"> o </w:t>
      </w:r>
      <w:r w:rsidR="00BA19B8" w:rsidRPr="006A0A3F">
        <w:rPr>
          <w:rFonts w:ascii="Verdana" w:hAnsi="Verdana"/>
          <w:sz w:val="20"/>
        </w:rPr>
        <w:t xml:space="preserve">de </w:t>
      </w:r>
      <w:r w:rsidR="00E42EE6" w:rsidRPr="006A0A3F">
        <w:rPr>
          <w:rFonts w:ascii="Verdana" w:hAnsi="Verdana"/>
          <w:sz w:val="20"/>
        </w:rPr>
        <w:t>represalias</w:t>
      </w:r>
      <w:r w:rsidR="0085213F" w:rsidRPr="006A0A3F">
        <w:rPr>
          <w:rFonts w:ascii="Verdana" w:hAnsi="Verdana"/>
          <w:sz w:val="20"/>
        </w:rPr>
        <w:t xml:space="preserve">. </w:t>
      </w:r>
    </w:p>
    <w:p w14:paraId="44016F0C" w14:textId="77777777" w:rsidR="00814E09" w:rsidRPr="006A0A3F" w:rsidRDefault="00814E09" w:rsidP="0085213F">
      <w:pPr>
        <w:pStyle w:val="ListParagraph"/>
        <w:rPr>
          <w:rFonts w:ascii="Verdana" w:hAnsi="Verdana"/>
          <w:sz w:val="20"/>
          <w:lang w:val="es-CR"/>
        </w:rPr>
      </w:pPr>
    </w:p>
    <w:p w14:paraId="08E754B7" w14:textId="6E87ACEC" w:rsidR="00E42EE6" w:rsidRPr="006A0A3F" w:rsidRDefault="00F733A3" w:rsidP="00DD03E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szCs w:val="20"/>
        </w:rPr>
        <w:t>E</w:t>
      </w:r>
      <w:r w:rsidR="00E42EE6" w:rsidRPr="006A0A3F">
        <w:rPr>
          <w:rFonts w:ascii="Verdana" w:hAnsi="Verdana"/>
          <w:sz w:val="20"/>
          <w:szCs w:val="20"/>
        </w:rPr>
        <w:t xml:space="preserve">ra un hecho notorio que </w:t>
      </w:r>
      <w:r w:rsidR="0085213F" w:rsidRPr="006A0A3F">
        <w:rPr>
          <w:rFonts w:ascii="Verdana" w:hAnsi="Verdana"/>
          <w:sz w:val="20"/>
        </w:rPr>
        <w:t xml:space="preserve">el contexto particular en que se </w:t>
      </w:r>
      <w:r w:rsidR="00A00249" w:rsidRPr="006A0A3F">
        <w:rPr>
          <w:rFonts w:ascii="Verdana" w:hAnsi="Verdana"/>
          <w:sz w:val="20"/>
        </w:rPr>
        <w:t xml:space="preserve">realizaba </w:t>
      </w:r>
      <w:r w:rsidR="0085213F" w:rsidRPr="006A0A3F">
        <w:rPr>
          <w:rFonts w:ascii="Verdana" w:hAnsi="Verdana"/>
          <w:sz w:val="20"/>
        </w:rPr>
        <w:t xml:space="preserve">la recolección de firmas </w:t>
      </w:r>
      <w:r w:rsidR="00A00249" w:rsidRPr="006A0A3F">
        <w:rPr>
          <w:rFonts w:ascii="Verdana" w:hAnsi="Verdana"/>
          <w:sz w:val="20"/>
        </w:rPr>
        <w:t>estaba</w:t>
      </w:r>
      <w:r w:rsidR="0085213F" w:rsidRPr="006A0A3F">
        <w:rPr>
          <w:rFonts w:ascii="Verdana" w:hAnsi="Verdana"/>
          <w:sz w:val="20"/>
        </w:rPr>
        <w:t xml:space="preserve"> caracterizado </w:t>
      </w:r>
      <w:r w:rsidR="00A77735" w:rsidRPr="006A0A3F">
        <w:rPr>
          <w:rFonts w:ascii="Verdana" w:hAnsi="Verdana"/>
          <w:sz w:val="20"/>
        </w:rPr>
        <w:t xml:space="preserve">por </w:t>
      </w:r>
      <w:r w:rsidR="0085213F" w:rsidRPr="006A0A3F">
        <w:rPr>
          <w:rFonts w:ascii="Verdana" w:hAnsi="Verdana"/>
          <w:sz w:val="20"/>
        </w:rPr>
        <w:t>alta</w:t>
      </w:r>
      <w:r w:rsidR="00A00249" w:rsidRPr="006A0A3F">
        <w:rPr>
          <w:rFonts w:ascii="Verdana" w:hAnsi="Verdana"/>
          <w:sz w:val="20"/>
        </w:rPr>
        <w:t xml:space="preserve"> inestabilidad y polarización política y por un clima de intolerancia a la disidencia</w:t>
      </w:r>
      <w:r w:rsidR="00E42EE6" w:rsidRPr="006A0A3F">
        <w:rPr>
          <w:rFonts w:ascii="Verdana" w:hAnsi="Verdana"/>
          <w:sz w:val="20"/>
        </w:rPr>
        <w:t xml:space="preserve">. </w:t>
      </w:r>
      <w:r w:rsidR="0085213F" w:rsidRPr="006A0A3F">
        <w:rPr>
          <w:rFonts w:ascii="Verdana" w:hAnsi="Verdana"/>
          <w:sz w:val="20"/>
        </w:rPr>
        <w:t>En particular,</w:t>
      </w:r>
      <w:r w:rsidR="00A77735" w:rsidRPr="006A0A3F">
        <w:rPr>
          <w:rFonts w:ascii="Verdana" w:hAnsi="Verdana"/>
          <w:sz w:val="20"/>
        </w:rPr>
        <w:t xml:space="preserve"> han sido aportadas</w:t>
      </w:r>
      <w:r w:rsidR="0085213F" w:rsidRPr="006A0A3F">
        <w:rPr>
          <w:rFonts w:ascii="Verdana" w:hAnsi="Verdana"/>
          <w:sz w:val="20"/>
        </w:rPr>
        <w:t xml:space="preserve"> declaraciones</w:t>
      </w:r>
      <w:r w:rsidR="002E342E" w:rsidRPr="006A0A3F">
        <w:rPr>
          <w:rFonts w:ascii="Verdana" w:hAnsi="Verdana"/>
          <w:sz w:val="20"/>
        </w:rPr>
        <w:t xml:space="preserve"> públicas</w:t>
      </w:r>
      <w:r w:rsidR="0085213F" w:rsidRPr="006A0A3F">
        <w:rPr>
          <w:rFonts w:ascii="Verdana" w:hAnsi="Verdana"/>
          <w:sz w:val="20"/>
        </w:rPr>
        <w:t xml:space="preserve"> del entonces P</w:t>
      </w:r>
      <w:r w:rsidR="002E342E" w:rsidRPr="006A0A3F">
        <w:rPr>
          <w:rFonts w:ascii="Verdana" w:hAnsi="Verdana"/>
          <w:sz w:val="20"/>
        </w:rPr>
        <w:t>residente Chávez,</w:t>
      </w:r>
      <w:r w:rsidR="0085213F" w:rsidRPr="006A0A3F">
        <w:rPr>
          <w:rFonts w:ascii="Verdana" w:hAnsi="Verdana"/>
          <w:sz w:val="20"/>
        </w:rPr>
        <w:t xml:space="preserve"> </w:t>
      </w:r>
      <w:r w:rsidR="00A77735" w:rsidRPr="006A0A3F">
        <w:rPr>
          <w:rFonts w:ascii="Verdana" w:hAnsi="Verdana"/>
          <w:sz w:val="20"/>
        </w:rPr>
        <w:t xml:space="preserve">de </w:t>
      </w:r>
      <w:r w:rsidR="0085213F" w:rsidRPr="006A0A3F">
        <w:rPr>
          <w:rFonts w:ascii="Verdana" w:hAnsi="Verdana"/>
          <w:sz w:val="20"/>
        </w:rPr>
        <w:t xml:space="preserve">otros </w:t>
      </w:r>
      <w:r w:rsidR="00A77735" w:rsidRPr="006A0A3F">
        <w:rPr>
          <w:rFonts w:ascii="Verdana" w:hAnsi="Verdana"/>
          <w:sz w:val="20"/>
        </w:rPr>
        <w:t xml:space="preserve">altos </w:t>
      </w:r>
      <w:r w:rsidR="0085213F" w:rsidRPr="006A0A3F">
        <w:rPr>
          <w:rFonts w:ascii="Verdana" w:hAnsi="Verdana"/>
          <w:sz w:val="20"/>
        </w:rPr>
        <w:t>funcionarios</w:t>
      </w:r>
      <w:r w:rsidR="00A77735" w:rsidRPr="006A0A3F">
        <w:rPr>
          <w:rFonts w:ascii="Verdana" w:hAnsi="Verdana"/>
          <w:sz w:val="20"/>
        </w:rPr>
        <w:t xml:space="preserve"> </w:t>
      </w:r>
      <w:r w:rsidR="002E342E" w:rsidRPr="006A0A3F">
        <w:rPr>
          <w:rFonts w:ascii="Verdana" w:hAnsi="Verdana"/>
          <w:sz w:val="20"/>
        </w:rPr>
        <w:t xml:space="preserve">públicos y de una </w:t>
      </w:r>
      <w:r w:rsidR="002E342E" w:rsidRPr="006A0A3F">
        <w:rPr>
          <w:rFonts w:ascii="Verdana" w:hAnsi="Verdana"/>
          <w:sz w:val="20"/>
          <w:szCs w:val="20"/>
        </w:rPr>
        <w:t>coordinadora de los llamados “</w:t>
      </w:r>
      <w:r w:rsidR="00F05490" w:rsidRPr="006A0A3F">
        <w:rPr>
          <w:rFonts w:ascii="Verdana" w:hAnsi="Verdana"/>
          <w:sz w:val="20"/>
          <w:szCs w:val="20"/>
        </w:rPr>
        <w:t>c</w:t>
      </w:r>
      <w:r w:rsidR="002E342E" w:rsidRPr="006A0A3F">
        <w:rPr>
          <w:rFonts w:ascii="Verdana" w:hAnsi="Verdana"/>
          <w:sz w:val="20"/>
          <w:szCs w:val="20"/>
        </w:rPr>
        <w:t xml:space="preserve">írculos </w:t>
      </w:r>
      <w:r w:rsidR="00F05490" w:rsidRPr="006A0A3F">
        <w:rPr>
          <w:rFonts w:ascii="Verdana" w:hAnsi="Verdana"/>
          <w:sz w:val="20"/>
          <w:szCs w:val="20"/>
        </w:rPr>
        <w:t>b</w:t>
      </w:r>
      <w:r w:rsidR="002E342E" w:rsidRPr="006A0A3F">
        <w:rPr>
          <w:rFonts w:ascii="Verdana" w:hAnsi="Verdana"/>
          <w:sz w:val="20"/>
          <w:szCs w:val="20"/>
        </w:rPr>
        <w:t xml:space="preserve">olivarianos” </w:t>
      </w:r>
      <w:r w:rsidR="002E342E" w:rsidRPr="006A0A3F">
        <w:rPr>
          <w:rFonts w:ascii="Verdana" w:hAnsi="Verdana"/>
          <w:sz w:val="20"/>
        </w:rPr>
        <w:t>en los años 2003 y 2004, durante las recolecciones de firmas llamadas “</w:t>
      </w:r>
      <w:proofErr w:type="spellStart"/>
      <w:r w:rsidR="002E342E" w:rsidRPr="006A0A3F">
        <w:rPr>
          <w:rFonts w:ascii="Verdana" w:hAnsi="Verdana"/>
          <w:sz w:val="20"/>
        </w:rPr>
        <w:t>Firmazo</w:t>
      </w:r>
      <w:proofErr w:type="spellEnd"/>
      <w:r w:rsidR="002E342E" w:rsidRPr="006A0A3F">
        <w:rPr>
          <w:rFonts w:ascii="Verdana" w:hAnsi="Verdana"/>
          <w:sz w:val="20"/>
        </w:rPr>
        <w:t>” y “</w:t>
      </w:r>
      <w:proofErr w:type="spellStart"/>
      <w:r w:rsidR="002E342E" w:rsidRPr="006A0A3F">
        <w:rPr>
          <w:rFonts w:ascii="Verdana" w:hAnsi="Verdana"/>
          <w:sz w:val="20"/>
        </w:rPr>
        <w:t>Reafirmazo</w:t>
      </w:r>
      <w:proofErr w:type="spellEnd"/>
      <w:r w:rsidR="002E342E" w:rsidRPr="006A0A3F">
        <w:rPr>
          <w:rFonts w:ascii="Verdana" w:hAnsi="Verdana"/>
          <w:sz w:val="20"/>
        </w:rPr>
        <w:t xml:space="preserve">” y antes de que el </w:t>
      </w:r>
      <w:r w:rsidR="00196447" w:rsidRPr="006A0A3F">
        <w:rPr>
          <w:rFonts w:ascii="Verdana" w:hAnsi="Verdana"/>
          <w:sz w:val="20"/>
          <w:szCs w:val="20"/>
        </w:rPr>
        <w:t>Consejo Nacional Electoral</w:t>
      </w:r>
      <w:r w:rsidR="00196447" w:rsidRPr="006A0A3F">
        <w:rPr>
          <w:rFonts w:ascii="Verdana" w:hAnsi="Verdana"/>
          <w:sz w:val="20"/>
        </w:rPr>
        <w:t xml:space="preserve"> </w:t>
      </w:r>
      <w:r w:rsidR="002E342E" w:rsidRPr="006A0A3F">
        <w:rPr>
          <w:rFonts w:ascii="Verdana" w:hAnsi="Verdana"/>
          <w:sz w:val="20"/>
        </w:rPr>
        <w:t xml:space="preserve">entregara las planillas al diputado </w:t>
      </w:r>
      <w:proofErr w:type="spellStart"/>
      <w:r w:rsidR="002E342E" w:rsidRPr="006A0A3F">
        <w:rPr>
          <w:rFonts w:ascii="Verdana" w:hAnsi="Verdana"/>
          <w:sz w:val="20"/>
        </w:rPr>
        <w:t>Tascón</w:t>
      </w:r>
      <w:proofErr w:type="spellEnd"/>
      <w:r w:rsidR="002E342E" w:rsidRPr="006A0A3F">
        <w:rPr>
          <w:rFonts w:ascii="Verdana" w:hAnsi="Verdana"/>
          <w:sz w:val="20"/>
        </w:rPr>
        <w:t xml:space="preserve"> </w:t>
      </w:r>
      <w:r w:rsidR="00A77735" w:rsidRPr="006A0A3F">
        <w:rPr>
          <w:rFonts w:ascii="Verdana" w:hAnsi="Verdana"/>
          <w:sz w:val="20"/>
        </w:rPr>
        <w:t>(</w:t>
      </w:r>
      <w:r w:rsidR="00A77735" w:rsidRPr="006A0A3F">
        <w:rPr>
          <w:rFonts w:ascii="Verdana" w:hAnsi="Verdana"/>
          <w:i/>
          <w:sz w:val="20"/>
        </w:rPr>
        <w:t xml:space="preserve">supra </w:t>
      </w:r>
      <w:proofErr w:type="spellStart"/>
      <w:r w:rsidR="00DD3A50" w:rsidRPr="006A0A3F">
        <w:rPr>
          <w:rFonts w:ascii="Verdana" w:hAnsi="Verdana"/>
          <w:sz w:val="20"/>
        </w:rPr>
        <w:t>párrs</w:t>
      </w:r>
      <w:proofErr w:type="spellEnd"/>
      <w:r w:rsidR="00DD3A50" w:rsidRPr="006A0A3F">
        <w:rPr>
          <w:rFonts w:ascii="Verdana" w:hAnsi="Verdana"/>
          <w:sz w:val="20"/>
        </w:rPr>
        <w:t>. 53 a 60</w:t>
      </w:r>
      <w:r w:rsidR="00A77735" w:rsidRPr="006A0A3F">
        <w:rPr>
          <w:rFonts w:ascii="Verdana" w:hAnsi="Verdana"/>
          <w:sz w:val="20"/>
        </w:rPr>
        <w:t>)</w:t>
      </w:r>
      <w:r w:rsidR="002E342E" w:rsidRPr="006A0A3F">
        <w:rPr>
          <w:rFonts w:ascii="Verdana" w:hAnsi="Verdana"/>
          <w:sz w:val="20"/>
        </w:rPr>
        <w:t xml:space="preserve">, que </w:t>
      </w:r>
      <w:r w:rsidR="002E342E" w:rsidRPr="006A0A3F">
        <w:rPr>
          <w:rFonts w:ascii="Verdana" w:hAnsi="Verdana"/>
          <w:sz w:val="20"/>
          <w:szCs w:val="20"/>
        </w:rPr>
        <w:t xml:space="preserve">sugerían que la recolección de firmas podía ser fraudulenta, que contenían amenazas a quienes participaran en </w:t>
      </w:r>
      <w:r w:rsidR="00C11968" w:rsidRPr="006A0A3F">
        <w:rPr>
          <w:rFonts w:ascii="Verdana" w:hAnsi="Verdana"/>
          <w:sz w:val="20"/>
          <w:szCs w:val="20"/>
        </w:rPr>
        <w:t>la solicitud de</w:t>
      </w:r>
      <w:r w:rsidR="002E342E" w:rsidRPr="006A0A3F">
        <w:rPr>
          <w:rFonts w:ascii="Verdana" w:hAnsi="Verdana"/>
          <w:sz w:val="20"/>
          <w:szCs w:val="20"/>
        </w:rPr>
        <w:t xml:space="preserve"> referendo, así como calificativos de </w:t>
      </w:r>
      <w:r w:rsidR="004E33D2" w:rsidRPr="006A0A3F">
        <w:rPr>
          <w:rFonts w:ascii="Verdana" w:hAnsi="Verdana"/>
          <w:sz w:val="20"/>
          <w:szCs w:val="20"/>
        </w:rPr>
        <w:t>“traidores” o “</w:t>
      </w:r>
      <w:r w:rsidR="002E342E" w:rsidRPr="006A0A3F">
        <w:rPr>
          <w:rFonts w:ascii="Verdana" w:hAnsi="Verdana"/>
          <w:sz w:val="20"/>
          <w:szCs w:val="20"/>
        </w:rPr>
        <w:t>antipat</w:t>
      </w:r>
      <w:r w:rsidR="00C11968" w:rsidRPr="006A0A3F">
        <w:rPr>
          <w:rFonts w:ascii="Verdana" w:hAnsi="Verdana"/>
          <w:sz w:val="20"/>
          <w:szCs w:val="20"/>
        </w:rPr>
        <w:t>riotas</w:t>
      </w:r>
      <w:r w:rsidR="004E33D2" w:rsidRPr="006A0A3F">
        <w:rPr>
          <w:rFonts w:ascii="Verdana" w:hAnsi="Verdana"/>
          <w:sz w:val="20"/>
          <w:szCs w:val="20"/>
        </w:rPr>
        <w:t>”</w:t>
      </w:r>
      <w:r w:rsidR="008F5D4F" w:rsidRPr="006A0A3F">
        <w:rPr>
          <w:rFonts w:ascii="Verdana" w:hAnsi="Verdana"/>
          <w:sz w:val="20"/>
          <w:szCs w:val="20"/>
        </w:rPr>
        <w:t>, entre otros</w:t>
      </w:r>
      <w:r w:rsidR="00C11968" w:rsidRPr="006A0A3F">
        <w:rPr>
          <w:rFonts w:ascii="Verdana" w:hAnsi="Verdana"/>
          <w:sz w:val="20"/>
          <w:szCs w:val="20"/>
        </w:rPr>
        <w:t xml:space="preserve">. </w:t>
      </w:r>
      <w:r w:rsidR="00F05490" w:rsidRPr="006A0A3F">
        <w:rPr>
          <w:rFonts w:ascii="Verdana" w:hAnsi="Verdana"/>
          <w:sz w:val="20"/>
          <w:szCs w:val="20"/>
        </w:rPr>
        <w:t xml:space="preserve">Más aún, el </w:t>
      </w:r>
      <w:r w:rsidR="00196447" w:rsidRPr="006A0A3F">
        <w:rPr>
          <w:rFonts w:ascii="Verdana" w:hAnsi="Verdana"/>
          <w:sz w:val="20"/>
          <w:szCs w:val="20"/>
        </w:rPr>
        <w:t xml:space="preserve">Consejo Nacional Electoral </w:t>
      </w:r>
      <w:r w:rsidR="00F05490" w:rsidRPr="006A0A3F">
        <w:rPr>
          <w:rFonts w:ascii="Verdana" w:hAnsi="Verdana"/>
          <w:sz w:val="20"/>
          <w:szCs w:val="20"/>
        </w:rPr>
        <w:t>entregó las planillas al diputado a pesar de que éste se había referido en un programa de televisión a quienes pretendían activar el referendo como “escuálidos”</w:t>
      </w:r>
      <w:r w:rsidR="00FA44C4" w:rsidRPr="006A0A3F">
        <w:rPr>
          <w:rStyle w:val="FootnoteReference"/>
          <w:rFonts w:ascii="Verdana" w:hAnsi="Verdana"/>
          <w:sz w:val="20"/>
          <w:szCs w:val="20"/>
        </w:rPr>
        <w:footnoteReference w:id="197"/>
      </w:r>
      <w:r w:rsidR="00F05490" w:rsidRPr="006A0A3F">
        <w:rPr>
          <w:rFonts w:ascii="Verdana" w:hAnsi="Verdana"/>
          <w:sz w:val="20"/>
          <w:szCs w:val="20"/>
        </w:rPr>
        <w:t xml:space="preserve">, en el cual también manifestó que su intención con tal información era “darle rostro al fraude” </w:t>
      </w:r>
      <w:r w:rsidR="00F05490" w:rsidRPr="006A0A3F">
        <w:rPr>
          <w:rFonts w:ascii="Verdana" w:hAnsi="Verdana"/>
          <w:sz w:val="20"/>
          <w:szCs w:val="20"/>
        </w:rPr>
        <w:lastRenderedPageBreak/>
        <w:t>(</w:t>
      </w:r>
      <w:r w:rsidR="00F05490" w:rsidRPr="006A0A3F">
        <w:rPr>
          <w:rFonts w:ascii="Verdana" w:hAnsi="Verdana"/>
          <w:i/>
          <w:sz w:val="20"/>
          <w:szCs w:val="20"/>
        </w:rPr>
        <w:t xml:space="preserve">supra </w:t>
      </w:r>
      <w:r w:rsidR="00F05490" w:rsidRPr="006A0A3F">
        <w:rPr>
          <w:rFonts w:ascii="Verdana" w:hAnsi="Verdana"/>
          <w:sz w:val="20"/>
          <w:szCs w:val="20"/>
        </w:rPr>
        <w:t xml:space="preserve">párr. 59). </w:t>
      </w:r>
      <w:r w:rsidR="00A77735" w:rsidRPr="006A0A3F">
        <w:rPr>
          <w:rFonts w:ascii="Verdana" w:hAnsi="Verdana"/>
          <w:sz w:val="20"/>
        </w:rPr>
        <w:t xml:space="preserve">Si a ello se suman otros hechos, como </w:t>
      </w:r>
      <w:r w:rsidR="0085213F" w:rsidRPr="006A0A3F">
        <w:rPr>
          <w:rFonts w:ascii="Verdana" w:hAnsi="Verdana"/>
          <w:sz w:val="20"/>
        </w:rPr>
        <w:t xml:space="preserve">las dificultades que la organización “SÚMATE” encontró para entregar las firmas necesarias para activar </w:t>
      </w:r>
      <w:r w:rsidR="00C11968" w:rsidRPr="006A0A3F">
        <w:rPr>
          <w:rFonts w:ascii="Verdana" w:hAnsi="Verdana"/>
          <w:sz w:val="20"/>
        </w:rPr>
        <w:t>la convocatoria a</w:t>
      </w:r>
      <w:r w:rsidR="00DD3A50" w:rsidRPr="006A0A3F">
        <w:rPr>
          <w:rFonts w:ascii="Verdana" w:hAnsi="Verdana"/>
          <w:sz w:val="20"/>
        </w:rPr>
        <w:t xml:space="preserve"> referendo</w:t>
      </w:r>
      <w:r w:rsidR="0085213F" w:rsidRPr="006A0A3F">
        <w:rPr>
          <w:rFonts w:ascii="Verdana" w:hAnsi="Verdana"/>
          <w:sz w:val="20"/>
        </w:rPr>
        <w:t xml:space="preserve">, </w:t>
      </w:r>
      <w:r w:rsidR="00C11968" w:rsidRPr="006A0A3F">
        <w:rPr>
          <w:rFonts w:ascii="Verdana" w:hAnsi="Verdana"/>
          <w:sz w:val="20"/>
        </w:rPr>
        <w:t xml:space="preserve">es claro que existían riesgos </w:t>
      </w:r>
      <w:r w:rsidR="000B5525" w:rsidRPr="006A0A3F">
        <w:rPr>
          <w:rFonts w:ascii="Verdana" w:hAnsi="Verdana"/>
          <w:sz w:val="20"/>
        </w:rPr>
        <w:t>–</w:t>
      </w:r>
      <w:r w:rsidR="00C11968" w:rsidRPr="006A0A3F">
        <w:rPr>
          <w:rFonts w:ascii="Verdana" w:hAnsi="Verdana"/>
          <w:sz w:val="20"/>
        </w:rPr>
        <w:t>para quienes promovieron tal solicitud y para los eventuales firmantes</w:t>
      </w:r>
      <w:r w:rsidR="000B5525" w:rsidRPr="006A0A3F">
        <w:rPr>
          <w:rFonts w:ascii="Verdana" w:hAnsi="Verdana"/>
          <w:sz w:val="20"/>
        </w:rPr>
        <w:t>–</w:t>
      </w:r>
      <w:r w:rsidR="00C11968" w:rsidRPr="006A0A3F">
        <w:rPr>
          <w:rFonts w:ascii="Verdana" w:hAnsi="Verdana"/>
          <w:sz w:val="20"/>
        </w:rPr>
        <w:t xml:space="preserve"> que </w:t>
      </w:r>
      <w:r w:rsidR="008F5D4F" w:rsidRPr="006A0A3F">
        <w:rPr>
          <w:rFonts w:ascii="Verdana" w:hAnsi="Verdana"/>
          <w:sz w:val="20"/>
        </w:rPr>
        <w:t>trascendían</w:t>
      </w:r>
      <w:r w:rsidR="00C11968" w:rsidRPr="006A0A3F">
        <w:rPr>
          <w:rFonts w:ascii="Verdana" w:hAnsi="Verdana"/>
          <w:sz w:val="20"/>
        </w:rPr>
        <w:t xml:space="preserve"> la natural </w:t>
      </w:r>
      <w:r w:rsidR="0085213F" w:rsidRPr="006A0A3F">
        <w:rPr>
          <w:rFonts w:ascii="Verdana" w:hAnsi="Verdana"/>
          <w:sz w:val="20"/>
        </w:rPr>
        <w:t xml:space="preserve">resistencia </w:t>
      </w:r>
      <w:r w:rsidR="00C11968" w:rsidRPr="006A0A3F">
        <w:rPr>
          <w:rFonts w:ascii="Verdana" w:hAnsi="Verdana"/>
          <w:sz w:val="20"/>
        </w:rPr>
        <w:t xml:space="preserve">política que pueda darse en el </w:t>
      </w:r>
      <w:r w:rsidR="0085213F" w:rsidRPr="006A0A3F">
        <w:rPr>
          <w:rFonts w:ascii="Verdana" w:hAnsi="Verdana"/>
          <w:sz w:val="20"/>
        </w:rPr>
        <w:t xml:space="preserve">transcurso de un </w:t>
      </w:r>
      <w:r w:rsidR="00C11968" w:rsidRPr="006A0A3F">
        <w:rPr>
          <w:rFonts w:ascii="Verdana" w:hAnsi="Verdana"/>
          <w:sz w:val="20"/>
        </w:rPr>
        <w:t xml:space="preserve">procedimiento </w:t>
      </w:r>
      <w:r w:rsidR="0085213F" w:rsidRPr="006A0A3F">
        <w:rPr>
          <w:rFonts w:ascii="Verdana" w:hAnsi="Verdana"/>
          <w:sz w:val="20"/>
        </w:rPr>
        <w:t xml:space="preserve">revocatorio </w:t>
      </w:r>
      <w:r w:rsidR="00C11968" w:rsidRPr="006A0A3F">
        <w:rPr>
          <w:rFonts w:ascii="Verdana" w:hAnsi="Verdana"/>
          <w:sz w:val="20"/>
        </w:rPr>
        <w:t>de ese nivel</w:t>
      </w:r>
      <w:r w:rsidR="0085213F" w:rsidRPr="006A0A3F">
        <w:rPr>
          <w:rFonts w:ascii="Verdana" w:hAnsi="Verdana"/>
          <w:sz w:val="20"/>
        </w:rPr>
        <w:t xml:space="preserve">. </w:t>
      </w:r>
    </w:p>
    <w:p w14:paraId="20E49721" w14:textId="77777777" w:rsidR="00E42EE6" w:rsidRPr="006A0A3F" w:rsidRDefault="00E42EE6" w:rsidP="00E42EE6">
      <w:pPr>
        <w:pStyle w:val="ListParagraph"/>
        <w:rPr>
          <w:rFonts w:ascii="Verdana" w:hAnsi="Verdana"/>
          <w:sz w:val="20"/>
          <w:lang w:val="es-CR"/>
        </w:rPr>
      </w:pPr>
    </w:p>
    <w:p w14:paraId="444EC618" w14:textId="5F07E103" w:rsidR="00C94657" w:rsidRPr="006A0A3F" w:rsidRDefault="00E10B2E" w:rsidP="00DD03E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Sin embargo</w:t>
      </w:r>
      <w:r w:rsidR="008F5D4F" w:rsidRPr="006A0A3F">
        <w:rPr>
          <w:rFonts w:ascii="Verdana" w:hAnsi="Verdana"/>
          <w:sz w:val="20"/>
        </w:rPr>
        <w:t>, n</w:t>
      </w:r>
      <w:r w:rsidR="0085213F" w:rsidRPr="006A0A3F">
        <w:rPr>
          <w:rFonts w:ascii="Verdana" w:hAnsi="Verdana"/>
          <w:sz w:val="20"/>
        </w:rPr>
        <w:t>o consta alguna decisión motivada o fundamentada</w:t>
      </w:r>
      <w:r w:rsidR="00DD2CDA" w:rsidRPr="006A0A3F">
        <w:rPr>
          <w:rFonts w:ascii="Verdana" w:hAnsi="Verdana"/>
          <w:sz w:val="20"/>
        </w:rPr>
        <w:t xml:space="preserve"> por parte</w:t>
      </w:r>
      <w:r w:rsidR="0085213F" w:rsidRPr="006A0A3F">
        <w:rPr>
          <w:rFonts w:ascii="Verdana" w:hAnsi="Verdana"/>
          <w:sz w:val="20"/>
        </w:rPr>
        <w:t xml:space="preserve"> del </w:t>
      </w:r>
      <w:r w:rsidR="00196447" w:rsidRPr="006A0A3F">
        <w:rPr>
          <w:rFonts w:ascii="Verdana" w:hAnsi="Verdana"/>
          <w:sz w:val="20"/>
          <w:szCs w:val="20"/>
        </w:rPr>
        <w:t>Consejo Nacional Electoral</w:t>
      </w:r>
      <w:r w:rsidR="00196447" w:rsidRPr="006A0A3F">
        <w:rPr>
          <w:rFonts w:ascii="Verdana" w:hAnsi="Verdana"/>
          <w:sz w:val="20"/>
        </w:rPr>
        <w:t xml:space="preserve"> </w:t>
      </w:r>
      <w:r w:rsidRPr="006A0A3F">
        <w:rPr>
          <w:rFonts w:ascii="Verdana" w:hAnsi="Verdana"/>
          <w:sz w:val="20"/>
        </w:rPr>
        <w:t>que, en resguardo d</w:t>
      </w:r>
      <w:r w:rsidR="006B5896" w:rsidRPr="006A0A3F">
        <w:rPr>
          <w:rFonts w:ascii="Verdana" w:hAnsi="Verdana"/>
          <w:sz w:val="20"/>
        </w:rPr>
        <w:t>el libre y efectivo desarrollo del procedimiento de verificación de firmas y eventual convocatoria a referendo,</w:t>
      </w:r>
      <w:r w:rsidR="0085213F" w:rsidRPr="006A0A3F">
        <w:rPr>
          <w:rFonts w:ascii="Verdana" w:hAnsi="Verdana"/>
          <w:sz w:val="20"/>
        </w:rPr>
        <w:t xml:space="preserve"> </w:t>
      </w:r>
      <w:r w:rsidR="000B5525" w:rsidRPr="006A0A3F">
        <w:rPr>
          <w:rFonts w:ascii="Verdana" w:hAnsi="Verdana"/>
          <w:sz w:val="20"/>
        </w:rPr>
        <w:t>evalua</w:t>
      </w:r>
      <w:r w:rsidRPr="006A0A3F">
        <w:rPr>
          <w:rFonts w:ascii="Verdana" w:hAnsi="Verdana"/>
          <w:sz w:val="20"/>
        </w:rPr>
        <w:t>ra</w:t>
      </w:r>
      <w:r w:rsidR="000B5525" w:rsidRPr="006A0A3F">
        <w:rPr>
          <w:rFonts w:ascii="Verdana" w:hAnsi="Verdana"/>
          <w:sz w:val="20"/>
        </w:rPr>
        <w:t xml:space="preserve"> adecuadamente</w:t>
      </w:r>
      <w:r w:rsidR="0085213F" w:rsidRPr="006A0A3F">
        <w:rPr>
          <w:rFonts w:ascii="Verdana" w:hAnsi="Verdana"/>
          <w:sz w:val="20"/>
        </w:rPr>
        <w:t xml:space="preserve"> </w:t>
      </w:r>
      <w:r w:rsidR="00492369" w:rsidRPr="006A0A3F">
        <w:rPr>
          <w:rFonts w:ascii="Verdana" w:hAnsi="Verdana"/>
          <w:sz w:val="20"/>
        </w:rPr>
        <w:t>la necesidad de entregar o publicar tal información frente a los riesgos evidentes en el contexto social y político del momento,</w:t>
      </w:r>
      <w:r w:rsidR="0085213F" w:rsidRPr="006A0A3F">
        <w:rPr>
          <w:rFonts w:ascii="Verdana" w:hAnsi="Verdana"/>
          <w:sz w:val="20"/>
        </w:rPr>
        <w:t xml:space="preserve"> </w:t>
      </w:r>
      <w:r w:rsidR="00492369" w:rsidRPr="006A0A3F">
        <w:rPr>
          <w:rFonts w:ascii="Verdana" w:hAnsi="Verdana"/>
          <w:sz w:val="20"/>
        </w:rPr>
        <w:t>disponiendo</w:t>
      </w:r>
      <w:r w:rsidR="006B5896" w:rsidRPr="006A0A3F">
        <w:rPr>
          <w:rFonts w:ascii="Verdana" w:hAnsi="Verdana"/>
          <w:sz w:val="20"/>
        </w:rPr>
        <w:t>, en su caso,</w:t>
      </w:r>
      <w:r w:rsidR="0085213F" w:rsidRPr="006A0A3F">
        <w:rPr>
          <w:rFonts w:ascii="Verdana" w:hAnsi="Verdana"/>
          <w:sz w:val="20"/>
        </w:rPr>
        <w:t xml:space="preserve"> algún tipo de restricciones a la publicidad de la información al momento de entregarlas </w:t>
      </w:r>
      <w:r w:rsidR="00A74D80" w:rsidRPr="006A0A3F">
        <w:rPr>
          <w:rFonts w:ascii="Verdana" w:hAnsi="Verdana"/>
          <w:sz w:val="20"/>
        </w:rPr>
        <w:t xml:space="preserve">al diputado </w:t>
      </w:r>
      <w:r w:rsidR="0085213F" w:rsidRPr="006A0A3F">
        <w:rPr>
          <w:rFonts w:ascii="Verdana" w:hAnsi="Verdana"/>
          <w:sz w:val="20"/>
        </w:rPr>
        <w:t xml:space="preserve">o posteriormente cuando </w:t>
      </w:r>
      <w:r w:rsidR="006B5896" w:rsidRPr="006A0A3F">
        <w:rPr>
          <w:rFonts w:ascii="Verdana" w:hAnsi="Verdana"/>
          <w:sz w:val="20"/>
        </w:rPr>
        <w:t>fue publicada</w:t>
      </w:r>
      <w:r w:rsidR="0085213F" w:rsidRPr="006A0A3F">
        <w:rPr>
          <w:rFonts w:ascii="Verdana" w:hAnsi="Verdana"/>
          <w:sz w:val="20"/>
        </w:rPr>
        <w:t xml:space="preserve"> la Lista </w:t>
      </w:r>
      <w:proofErr w:type="spellStart"/>
      <w:r w:rsidR="0085213F" w:rsidRPr="006A0A3F">
        <w:rPr>
          <w:rFonts w:ascii="Verdana" w:hAnsi="Verdana"/>
          <w:sz w:val="20"/>
        </w:rPr>
        <w:t>Tascón</w:t>
      </w:r>
      <w:proofErr w:type="spellEnd"/>
      <w:r w:rsidR="0085213F" w:rsidRPr="006A0A3F">
        <w:rPr>
          <w:rFonts w:ascii="Verdana" w:hAnsi="Verdana"/>
          <w:sz w:val="20"/>
        </w:rPr>
        <w:t>.</w:t>
      </w:r>
      <w:r w:rsidR="00C94657" w:rsidRPr="006A0A3F">
        <w:rPr>
          <w:rFonts w:ascii="Verdana" w:hAnsi="Verdana"/>
          <w:sz w:val="20"/>
        </w:rPr>
        <w:t xml:space="preserve"> </w:t>
      </w:r>
    </w:p>
    <w:p w14:paraId="4B40CDB8" w14:textId="77777777" w:rsidR="00E10B2E" w:rsidRPr="006A0A3F" w:rsidRDefault="00E10B2E" w:rsidP="006B5896">
      <w:pPr>
        <w:pBdr>
          <w:top w:val="nil"/>
        </w:pBdr>
        <w:autoSpaceDE w:val="0"/>
        <w:autoSpaceDN w:val="0"/>
        <w:adjustRightInd w:val="0"/>
        <w:spacing w:after="0" w:line="240" w:lineRule="auto"/>
        <w:jc w:val="both"/>
        <w:rPr>
          <w:rFonts w:ascii="Verdana" w:hAnsi="Verdana"/>
          <w:sz w:val="20"/>
        </w:rPr>
      </w:pPr>
    </w:p>
    <w:p w14:paraId="6EE0438A" w14:textId="367B96DA" w:rsidR="00E10B2E" w:rsidRPr="006A0A3F" w:rsidRDefault="006B5896" w:rsidP="00DD03ED">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Así, la entrega de las planillas, por parte del </w:t>
      </w:r>
      <w:r w:rsidR="00196447" w:rsidRPr="006A0A3F">
        <w:rPr>
          <w:rFonts w:ascii="Verdana" w:hAnsi="Verdana"/>
          <w:sz w:val="20"/>
          <w:szCs w:val="20"/>
        </w:rPr>
        <w:t>Consejo Nacional Electoral</w:t>
      </w:r>
      <w:r w:rsidRPr="006A0A3F">
        <w:rPr>
          <w:rFonts w:ascii="Verdana" w:hAnsi="Verdana"/>
          <w:sz w:val="20"/>
          <w:szCs w:val="20"/>
        </w:rPr>
        <w:t xml:space="preserve">, </w:t>
      </w:r>
      <w:r w:rsidR="004E33D2" w:rsidRPr="006A0A3F">
        <w:rPr>
          <w:rFonts w:ascii="Verdana" w:hAnsi="Verdana"/>
          <w:sz w:val="20"/>
          <w:szCs w:val="20"/>
        </w:rPr>
        <w:t>con</w:t>
      </w:r>
      <w:r w:rsidRPr="006A0A3F">
        <w:rPr>
          <w:rFonts w:ascii="Verdana" w:hAnsi="Verdana"/>
          <w:sz w:val="20"/>
          <w:szCs w:val="20"/>
        </w:rPr>
        <w:t xml:space="preserve"> la información sobre la identidad de los firmantes, a un diputado autorizado </w:t>
      </w:r>
      <w:r w:rsidR="00BA19B8" w:rsidRPr="006A0A3F">
        <w:rPr>
          <w:rFonts w:ascii="Verdana" w:hAnsi="Verdana"/>
          <w:sz w:val="20"/>
          <w:szCs w:val="20"/>
        </w:rPr>
        <w:t>por el Presidente para pedirla</w:t>
      </w:r>
      <w:r w:rsidRPr="006A0A3F">
        <w:rPr>
          <w:rFonts w:ascii="Verdana" w:hAnsi="Verdana"/>
          <w:sz w:val="20"/>
          <w:szCs w:val="20"/>
        </w:rPr>
        <w:t>, pudo ser percibido, en ese contexto, como una falta de garantías ante posibles y eventuales actos de represalia o amenazas de represalia.</w:t>
      </w:r>
      <w:r w:rsidR="00E10B2E" w:rsidRPr="006A0A3F">
        <w:rPr>
          <w:rFonts w:ascii="Verdana" w:hAnsi="Verdana"/>
          <w:sz w:val="20"/>
          <w:szCs w:val="20"/>
        </w:rPr>
        <w:t xml:space="preserve"> D</w:t>
      </w:r>
      <w:r w:rsidR="00E10B2E" w:rsidRPr="006A0A3F">
        <w:rPr>
          <w:rFonts w:ascii="Verdana" w:hAnsi="Verdana"/>
          <w:sz w:val="20"/>
        </w:rPr>
        <w:t xml:space="preserve">adas las dimensiones y alcances que se dio a dicha Lista </w:t>
      </w:r>
      <w:proofErr w:type="spellStart"/>
      <w:r w:rsidR="00E10B2E" w:rsidRPr="006A0A3F">
        <w:rPr>
          <w:rFonts w:ascii="Verdana" w:hAnsi="Verdana"/>
          <w:sz w:val="20"/>
        </w:rPr>
        <w:t>Tascón</w:t>
      </w:r>
      <w:proofErr w:type="spellEnd"/>
      <w:r w:rsidR="00E10B2E" w:rsidRPr="006A0A3F">
        <w:rPr>
          <w:rFonts w:ascii="Verdana" w:hAnsi="Verdana"/>
          <w:sz w:val="20"/>
        </w:rPr>
        <w:t xml:space="preserve">, </w:t>
      </w:r>
      <w:r w:rsidR="00E10B2E" w:rsidRPr="006A0A3F">
        <w:rPr>
          <w:rFonts w:ascii="Verdana" w:hAnsi="Verdana"/>
          <w:sz w:val="20"/>
          <w:szCs w:val="20"/>
        </w:rPr>
        <w:t xml:space="preserve">en una página </w:t>
      </w:r>
      <w:r w:rsidR="00E10B2E" w:rsidRPr="006A0A3F">
        <w:rPr>
          <w:rFonts w:ascii="Verdana" w:hAnsi="Verdana"/>
          <w:i/>
          <w:sz w:val="20"/>
          <w:szCs w:val="20"/>
        </w:rPr>
        <w:t>web</w:t>
      </w:r>
      <w:r w:rsidR="00E10B2E" w:rsidRPr="006A0A3F">
        <w:rPr>
          <w:rFonts w:ascii="Verdana" w:hAnsi="Verdana"/>
          <w:sz w:val="20"/>
          <w:szCs w:val="20"/>
        </w:rPr>
        <w:t xml:space="preserve"> bajo la calificación de un “</w:t>
      </w:r>
      <w:proofErr w:type="spellStart"/>
      <w:r w:rsidR="00E10B2E" w:rsidRPr="006A0A3F">
        <w:rPr>
          <w:rFonts w:ascii="Verdana" w:hAnsi="Verdana"/>
          <w:sz w:val="20"/>
          <w:szCs w:val="20"/>
        </w:rPr>
        <w:t>megafraude</w:t>
      </w:r>
      <w:proofErr w:type="spellEnd"/>
      <w:r w:rsidR="00E10B2E" w:rsidRPr="006A0A3F">
        <w:rPr>
          <w:rFonts w:ascii="Verdana" w:hAnsi="Verdana"/>
          <w:sz w:val="20"/>
          <w:szCs w:val="20"/>
        </w:rPr>
        <w:t xml:space="preserve">”, </w:t>
      </w:r>
      <w:r w:rsidR="00E10B2E" w:rsidRPr="006A0A3F">
        <w:rPr>
          <w:rFonts w:ascii="Verdana" w:hAnsi="Verdana"/>
          <w:sz w:val="20"/>
        </w:rPr>
        <w:t xml:space="preserve">es evidente que su creación y publicación tenía fines ulteriores a garantizar los derechos </w:t>
      </w:r>
      <w:r w:rsidR="00BA19B8" w:rsidRPr="006A0A3F">
        <w:rPr>
          <w:rFonts w:ascii="Verdana" w:hAnsi="Verdana"/>
          <w:sz w:val="20"/>
        </w:rPr>
        <w:t xml:space="preserve">del funcionario revocable o </w:t>
      </w:r>
      <w:r w:rsidR="00E10B2E" w:rsidRPr="006A0A3F">
        <w:rPr>
          <w:rFonts w:ascii="Verdana" w:hAnsi="Verdana"/>
          <w:sz w:val="20"/>
        </w:rPr>
        <w:t xml:space="preserve">de los solicitantes, pues </w:t>
      </w:r>
      <w:r w:rsidRPr="006A0A3F">
        <w:rPr>
          <w:rFonts w:ascii="Verdana" w:hAnsi="Verdana"/>
          <w:sz w:val="20"/>
          <w:szCs w:val="20"/>
        </w:rPr>
        <w:t xml:space="preserve">la </w:t>
      </w:r>
      <w:r w:rsidR="00252DAE" w:rsidRPr="006A0A3F">
        <w:rPr>
          <w:rFonts w:ascii="Verdana" w:hAnsi="Verdana"/>
          <w:sz w:val="20"/>
          <w:szCs w:val="20"/>
        </w:rPr>
        <w:t xml:space="preserve">publicación de la </w:t>
      </w:r>
      <w:r w:rsidR="00E10B2E" w:rsidRPr="006A0A3F">
        <w:rPr>
          <w:rFonts w:ascii="Verdana" w:hAnsi="Verdana"/>
          <w:sz w:val="20"/>
          <w:szCs w:val="20"/>
        </w:rPr>
        <w:t>identidad de</w:t>
      </w:r>
      <w:r w:rsidR="00252DAE" w:rsidRPr="006A0A3F">
        <w:rPr>
          <w:rFonts w:ascii="Verdana" w:hAnsi="Verdana"/>
          <w:sz w:val="20"/>
          <w:szCs w:val="20"/>
        </w:rPr>
        <w:t xml:space="preserve"> los firmantes fue instrumentalizada </w:t>
      </w:r>
      <w:r w:rsidR="00E10B2E" w:rsidRPr="006A0A3F">
        <w:rPr>
          <w:rFonts w:ascii="Verdana" w:hAnsi="Verdana"/>
          <w:sz w:val="20"/>
          <w:szCs w:val="20"/>
        </w:rPr>
        <w:t xml:space="preserve">con fines intimidatorios para desincentivar la participación y la disidencia políticas. Ello </w:t>
      </w:r>
      <w:r w:rsidR="00252DAE" w:rsidRPr="006A0A3F">
        <w:rPr>
          <w:rFonts w:ascii="Verdana" w:hAnsi="Verdana"/>
          <w:sz w:val="20"/>
          <w:szCs w:val="20"/>
        </w:rPr>
        <w:t>favoreci</w:t>
      </w:r>
      <w:r w:rsidR="00E10B2E" w:rsidRPr="006A0A3F">
        <w:rPr>
          <w:rFonts w:ascii="Verdana" w:hAnsi="Verdana"/>
          <w:sz w:val="20"/>
          <w:szCs w:val="20"/>
        </w:rPr>
        <w:t>ó o propició</w:t>
      </w:r>
      <w:r w:rsidR="00252DAE" w:rsidRPr="006A0A3F">
        <w:rPr>
          <w:rFonts w:ascii="Verdana" w:hAnsi="Verdana"/>
          <w:sz w:val="20"/>
          <w:szCs w:val="20"/>
        </w:rPr>
        <w:t xml:space="preserve"> </w:t>
      </w:r>
      <w:r w:rsidRPr="006A0A3F">
        <w:rPr>
          <w:rFonts w:ascii="Verdana" w:hAnsi="Verdana"/>
          <w:sz w:val="20"/>
          <w:szCs w:val="20"/>
        </w:rPr>
        <w:t>un ambiente para la materialización de represalias, para la persecución política y la discriminación de</w:t>
      </w:r>
      <w:r w:rsidR="00252DAE" w:rsidRPr="006A0A3F">
        <w:rPr>
          <w:rFonts w:ascii="Verdana" w:hAnsi="Verdana"/>
          <w:sz w:val="20"/>
          <w:szCs w:val="20"/>
        </w:rPr>
        <w:t xml:space="preserve"> quienes fueron entonces percibidos como</w:t>
      </w:r>
      <w:r w:rsidRPr="006A0A3F">
        <w:rPr>
          <w:rFonts w:ascii="Verdana" w:hAnsi="Verdana"/>
          <w:sz w:val="20"/>
          <w:szCs w:val="20"/>
        </w:rPr>
        <w:t xml:space="preserve"> opositores </w:t>
      </w:r>
      <w:r w:rsidR="00A74D80" w:rsidRPr="006A0A3F">
        <w:rPr>
          <w:rFonts w:ascii="Verdana" w:hAnsi="Verdana"/>
          <w:sz w:val="20"/>
          <w:szCs w:val="20"/>
        </w:rPr>
        <w:t>políticos al gobierno</w:t>
      </w:r>
      <w:r w:rsidR="00A50231" w:rsidRPr="006A0A3F">
        <w:rPr>
          <w:rFonts w:ascii="Verdana" w:hAnsi="Verdana"/>
          <w:sz w:val="20"/>
          <w:szCs w:val="20"/>
        </w:rPr>
        <w:t xml:space="preserve">, lo cual </w:t>
      </w:r>
      <w:r w:rsidR="008B7B29" w:rsidRPr="006A0A3F">
        <w:rPr>
          <w:rFonts w:ascii="Verdana" w:hAnsi="Verdana"/>
          <w:sz w:val="20"/>
          <w:szCs w:val="20"/>
        </w:rPr>
        <w:t>fue</w:t>
      </w:r>
      <w:r w:rsidR="00C12798" w:rsidRPr="006A0A3F">
        <w:rPr>
          <w:rFonts w:ascii="Verdana" w:hAnsi="Verdana"/>
          <w:sz w:val="20"/>
          <w:szCs w:val="20"/>
        </w:rPr>
        <w:t xml:space="preserve"> incompatible con el deber del Estado</w:t>
      </w:r>
      <w:r w:rsidR="00A50231" w:rsidRPr="006A0A3F">
        <w:rPr>
          <w:rFonts w:ascii="Verdana" w:hAnsi="Verdana"/>
          <w:sz w:val="20"/>
          <w:szCs w:val="20"/>
        </w:rPr>
        <w:t>, bajo el artículo 23.1 de la Convención, de establecer medidas de salvaguarda o protección contra presiones indebidas y represalias en el marco de procesos electorales o de participación política.</w:t>
      </w:r>
      <w:r w:rsidR="00DD03ED" w:rsidRPr="006A0A3F">
        <w:rPr>
          <w:rFonts w:ascii="Verdana" w:hAnsi="Verdana"/>
          <w:b/>
          <w:color w:val="000000"/>
          <w:sz w:val="20"/>
          <w:szCs w:val="20"/>
        </w:rPr>
        <w:t xml:space="preserve"> </w:t>
      </w:r>
    </w:p>
    <w:p w14:paraId="37536DEA" w14:textId="77777777" w:rsidR="00E10B2E" w:rsidRPr="006A0A3F" w:rsidRDefault="00E10B2E" w:rsidP="00E10B2E">
      <w:pPr>
        <w:pStyle w:val="ListParagraph"/>
        <w:rPr>
          <w:rFonts w:ascii="Verdana" w:hAnsi="Verdana"/>
          <w:sz w:val="20"/>
          <w:lang w:val="es-CR"/>
        </w:rPr>
      </w:pPr>
    </w:p>
    <w:p w14:paraId="47D33055" w14:textId="6CD26646" w:rsidR="00A74D80" w:rsidRPr="006A0A3F" w:rsidRDefault="00A74D80" w:rsidP="00A74D8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w:t>
      </w:r>
      <w:r w:rsidR="00B93977" w:rsidRPr="006A0A3F">
        <w:rPr>
          <w:rFonts w:ascii="Verdana" w:hAnsi="Verdana"/>
          <w:sz w:val="20"/>
          <w:szCs w:val="20"/>
        </w:rPr>
        <w:t xml:space="preserve">el caso de </w:t>
      </w:r>
      <w:r w:rsidRPr="006A0A3F">
        <w:rPr>
          <w:rFonts w:ascii="Verdana" w:hAnsi="Verdana"/>
          <w:sz w:val="20"/>
          <w:szCs w:val="20"/>
        </w:rPr>
        <w:t>las presuntas víctimas</w:t>
      </w:r>
      <w:r w:rsidR="00B93977" w:rsidRPr="006A0A3F">
        <w:rPr>
          <w:rFonts w:ascii="Verdana" w:hAnsi="Verdana"/>
          <w:sz w:val="20"/>
          <w:szCs w:val="20"/>
        </w:rPr>
        <w:t>, sus nombres</w:t>
      </w:r>
      <w:r w:rsidRPr="006A0A3F">
        <w:rPr>
          <w:rFonts w:ascii="Verdana" w:hAnsi="Verdana"/>
          <w:sz w:val="20"/>
          <w:szCs w:val="20"/>
        </w:rPr>
        <w:t xml:space="preserve"> </w:t>
      </w:r>
      <w:r w:rsidR="00A50231" w:rsidRPr="006A0A3F">
        <w:rPr>
          <w:rFonts w:ascii="Verdana" w:hAnsi="Verdana"/>
          <w:sz w:val="20"/>
          <w:szCs w:val="20"/>
        </w:rPr>
        <w:t>podían ser encontrados</w:t>
      </w:r>
      <w:r w:rsidRPr="006A0A3F">
        <w:rPr>
          <w:rFonts w:ascii="Verdana" w:hAnsi="Verdana"/>
          <w:sz w:val="20"/>
          <w:szCs w:val="20"/>
        </w:rPr>
        <w:t xml:space="preserve"> en esa lista y la terminación de sus contratos les fue comunicada menos de un mes después de la publicación de la misma</w:t>
      </w:r>
      <w:r w:rsidR="00E10B2E" w:rsidRPr="006A0A3F">
        <w:rPr>
          <w:rFonts w:ascii="Verdana" w:hAnsi="Verdana"/>
          <w:sz w:val="20"/>
          <w:szCs w:val="20"/>
        </w:rPr>
        <w:t xml:space="preserve">. </w:t>
      </w:r>
      <w:r w:rsidR="00A50231" w:rsidRPr="006A0A3F">
        <w:rPr>
          <w:rFonts w:ascii="Verdana" w:hAnsi="Verdana"/>
          <w:sz w:val="20"/>
          <w:szCs w:val="20"/>
        </w:rPr>
        <w:t xml:space="preserve">Es decir, </w:t>
      </w:r>
      <w:r w:rsidR="00B93977" w:rsidRPr="006A0A3F">
        <w:rPr>
          <w:rFonts w:ascii="Verdana" w:hAnsi="Verdana"/>
          <w:sz w:val="20"/>
          <w:szCs w:val="20"/>
        </w:rPr>
        <w:t>su</w:t>
      </w:r>
      <w:r w:rsidRPr="006A0A3F">
        <w:rPr>
          <w:rFonts w:ascii="Verdana" w:hAnsi="Verdana"/>
          <w:sz w:val="20"/>
        </w:rPr>
        <w:t xml:space="preserve"> inclusión en esa lista</w:t>
      </w:r>
      <w:r w:rsidR="00F14338" w:rsidRPr="006A0A3F">
        <w:rPr>
          <w:rFonts w:ascii="Verdana" w:hAnsi="Verdana"/>
          <w:sz w:val="20"/>
        </w:rPr>
        <w:t xml:space="preserve"> permitió a las autoridades </w:t>
      </w:r>
      <w:r w:rsidR="00412590" w:rsidRPr="006A0A3F">
        <w:rPr>
          <w:rFonts w:ascii="Verdana" w:hAnsi="Verdana"/>
          <w:sz w:val="20"/>
        </w:rPr>
        <w:t xml:space="preserve">del </w:t>
      </w:r>
      <w:r w:rsidR="00A50231" w:rsidRPr="006A0A3F">
        <w:rPr>
          <w:rFonts w:ascii="Verdana" w:hAnsi="Verdana"/>
          <w:sz w:val="20"/>
        </w:rPr>
        <w:t>Consejo Nacional de Fronteras</w:t>
      </w:r>
      <w:r w:rsidR="00412590" w:rsidRPr="006A0A3F">
        <w:rPr>
          <w:rFonts w:ascii="Verdana" w:hAnsi="Verdana"/>
          <w:sz w:val="20"/>
        </w:rPr>
        <w:t xml:space="preserve"> </w:t>
      </w:r>
      <w:r w:rsidR="00F14338" w:rsidRPr="006A0A3F">
        <w:rPr>
          <w:rFonts w:ascii="Verdana" w:hAnsi="Verdana"/>
          <w:sz w:val="20"/>
        </w:rPr>
        <w:t>conocer que ellas había</w:t>
      </w:r>
      <w:r w:rsidR="00412590" w:rsidRPr="006A0A3F">
        <w:rPr>
          <w:rFonts w:ascii="Verdana" w:hAnsi="Verdana"/>
          <w:sz w:val="20"/>
        </w:rPr>
        <w:t>n</w:t>
      </w:r>
      <w:r w:rsidR="00F14338" w:rsidRPr="006A0A3F">
        <w:rPr>
          <w:rFonts w:ascii="Verdana" w:hAnsi="Verdana"/>
          <w:sz w:val="20"/>
        </w:rPr>
        <w:t xml:space="preserve"> participado en la solicitud de </w:t>
      </w:r>
      <w:r w:rsidR="00E10B2E" w:rsidRPr="006A0A3F">
        <w:rPr>
          <w:rFonts w:ascii="Verdana" w:hAnsi="Verdana"/>
          <w:sz w:val="20"/>
        </w:rPr>
        <w:t xml:space="preserve">activación del </w:t>
      </w:r>
      <w:r w:rsidR="00F14338" w:rsidRPr="006A0A3F">
        <w:rPr>
          <w:rFonts w:ascii="Verdana" w:hAnsi="Verdana"/>
          <w:sz w:val="20"/>
        </w:rPr>
        <w:t>refer</w:t>
      </w:r>
      <w:r w:rsidR="00E10B2E" w:rsidRPr="006A0A3F">
        <w:rPr>
          <w:rFonts w:ascii="Verdana" w:hAnsi="Verdana"/>
          <w:sz w:val="20"/>
        </w:rPr>
        <w:t>e</w:t>
      </w:r>
      <w:r w:rsidR="00F14338" w:rsidRPr="006A0A3F">
        <w:rPr>
          <w:rFonts w:ascii="Verdana" w:hAnsi="Verdana"/>
          <w:sz w:val="20"/>
        </w:rPr>
        <w:t>ndo</w:t>
      </w:r>
      <w:r w:rsidR="00A50231" w:rsidRPr="006A0A3F">
        <w:rPr>
          <w:rFonts w:ascii="Verdana" w:hAnsi="Verdana"/>
          <w:sz w:val="20"/>
        </w:rPr>
        <w:t>. Por ello, es posible considerar que ello, adicionalmente al conjunto de indicios que se analizan,</w:t>
      </w:r>
      <w:r w:rsidRPr="006A0A3F">
        <w:rPr>
          <w:rFonts w:ascii="Verdana" w:hAnsi="Verdana"/>
          <w:b/>
          <w:sz w:val="20"/>
        </w:rPr>
        <w:t xml:space="preserve"> </w:t>
      </w:r>
      <w:r w:rsidR="00412590" w:rsidRPr="006A0A3F">
        <w:rPr>
          <w:rFonts w:ascii="Verdana" w:hAnsi="Verdana"/>
          <w:sz w:val="20"/>
        </w:rPr>
        <w:t xml:space="preserve">tiene una clara relación con </w:t>
      </w:r>
      <w:r w:rsidRPr="006A0A3F">
        <w:rPr>
          <w:rFonts w:ascii="Verdana" w:hAnsi="Verdana"/>
          <w:sz w:val="20"/>
        </w:rPr>
        <w:t xml:space="preserve">la decisión de </w:t>
      </w:r>
      <w:r w:rsidR="00412590" w:rsidRPr="006A0A3F">
        <w:rPr>
          <w:rFonts w:ascii="Verdana" w:hAnsi="Verdana"/>
          <w:sz w:val="20"/>
        </w:rPr>
        <w:t>esas</w:t>
      </w:r>
      <w:r w:rsidRPr="006A0A3F">
        <w:rPr>
          <w:rFonts w:ascii="Verdana" w:hAnsi="Verdana"/>
          <w:sz w:val="20"/>
        </w:rPr>
        <w:t xml:space="preserve"> autoridades de dar por terminados sus contratos</w:t>
      </w:r>
      <w:r w:rsidR="00B93977" w:rsidRPr="006A0A3F">
        <w:rPr>
          <w:rFonts w:ascii="Verdana" w:hAnsi="Verdana"/>
          <w:sz w:val="20"/>
        </w:rPr>
        <w:t>.</w:t>
      </w:r>
    </w:p>
    <w:p w14:paraId="69424D71" w14:textId="77777777" w:rsidR="00083B0D" w:rsidRPr="006A0A3F" w:rsidRDefault="00083B0D" w:rsidP="0085213F">
      <w:pPr>
        <w:pBdr>
          <w:top w:val="nil"/>
        </w:pBdr>
        <w:autoSpaceDE w:val="0"/>
        <w:autoSpaceDN w:val="0"/>
        <w:adjustRightInd w:val="0"/>
        <w:spacing w:after="0" w:line="240" w:lineRule="auto"/>
        <w:jc w:val="both"/>
        <w:rPr>
          <w:rFonts w:ascii="Verdana" w:hAnsi="Verdana"/>
          <w:sz w:val="20"/>
          <w:szCs w:val="20"/>
        </w:rPr>
      </w:pPr>
    </w:p>
    <w:p w14:paraId="4EAC7621" w14:textId="276C60F9" w:rsidR="002C66A6" w:rsidRPr="006A0A3F" w:rsidRDefault="002F090A" w:rsidP="006D7B01">
      <w:pPr>
        <w:pBdr>
          <w:top w:val="nil"/>
        </w:pBdr>
        <w:autoSpaceDE w:val="0"/>
        <w:autoSpaceDN w:val="0"/>
        <w:adjustRightInd w:val="0"/>
        <w:spacing w:after="0" w:line="240" w:lineRule="auto"/>
        <w:ind w:left="1413" w:hanging="705"/>
        <w:jc w:val="both"/>
        <w:rPr>
          <w:rFonts w:ascii="Verdana" w:hAnsi="Verdana"/>
          <w:b/>
          <w:i/>
          <w:sz w:val="20"/>
        </w:rPr>
      </w:pPr>
      <w:r w:rsidRPr="006A0A3F">
        <w:rPr>
          <w:rFonts w:ascii="Verdana" w:hAnsi="Verdana"/>
          <w:b/>
          <w:i/>
          <w:sz w:val="20"/>
        </w:rPr>
        <w:t>i</w:t>
      </w:r>
      <w:r w:rsidR="008F5D4F" w:rsidRPr="006A0A3F">
        <w:rPr>
          <w:rFonts w:ascii="Verdana" w:hAnsi="Verdana"/>
          <w:b/>
          <w:i/>
          <w:sz w:val="20"/>
        </w:rPr>
        <w:t>i</w:t>
      </w:r>
      <w:r w:rsidRPr="006A0A3F">
        <w:rPr>
          <w:rFonts w:ascii="Verdana" w:hAnsi="Verdana"/>
          <w:b/>
          <w:i/>
          <w:sz w:val="20"/>
        </w:rPr>
        <w:t>.</w:t>
      </w:r>
      <w:r w:rsidRPr="006A0A3F">
        <w:rPr>
          <w:rFonts w:ascii="Verdana" w:hAnsi="Verdana"/>
          <w:b/>
          <w:i/>
          <w:sz w:val="20"/>
        </w:rPr>
        <w:tab/>
      </w:r>
      <w:r w:rsidR="00A50231" w:rsidRPr="006A0A3F">
        <w:rPr>
          <w:rFonts w:ascii="Verdana" w:hAnsi="Verdana"/>
          <w:b/>
          <w:i/>
          <w:sz w:val="20"/>
        </w:rPr>
        <w:t xml:space="preserve">La </w:t>
      </w:r>
      <w:r w:rsidR="00185810" w:rsidRPr="006A0A3F">
        <w:rPr>
          <w:rFonts w:ascii="Verdana" w:hAnsi="Verdana"/>
          <w:b/>
          <w:i/>
          <w:sz w:val="20"/>
        </w:rPr>
        <w:t>t</w:t>
      </w:r>
      <w:r w:rsidR="00185810" w:rsidRPr="006A0A3F">
        <w:rPr>
          <w:rFonts w:ascii="Verdana" w:hAnsi="Verdana"/>
          <w:b/>
          <w:i/>
          <w:sz w:val="20"/>
          <w:szCs w:val="20"/>
        </w:rPr>
        <w:t xml:space="preserve">erminación de </w:t>
      </w:r>
      <w:r w:rsidR="00A50231" w:rsidRPr="006A0A3F">
        <w:rPr>
          <w:rFonts w:ascii="Verdana" w:hAnsi="Verdana"/>
          <w:b/>
          <w:i/>
          <w:sz w:val="20"/>
          <w:szCs w:val="20"/>
        </w:rPr>
        <w:t>los</w:t>
      </w:r>
      <w:r w:rsidR="00185810" w:rsidRPr="006A0A3F">
        <w:rPr>
          <w:rFonts w:ascii="Verdana" w:hAnsi="Verdana"/>
          <w:b/>
          <w:i/>
          <w:sz w:val="20"/>
          <w:szCs w:val="20"/>
        </w:rPr>
        <w:t xml:space="preserve"> contratos</w:t>
      </w:r>
      <w:r w:rsidR="00A50231" w:rsidRPr="006A0A3F">
        <w:rPr>
          <w:rFonts w:ascii="Verdana" w:hAnsi="Verdana"/>
          <w:b/>
          <w:i/>
          <w:sz w:val="20"/>
        </w:rPr>
        <w:t xml:space="preserve"> de las presuntas víctimas y sus versiones</w:t>
      </w:r>
    </w:p>
    <w:p w14:paraId="709F9FCA" w14:textId="77777777" w:rsidR="00C571BF" w:rsidRPr="006A0A3F" w:rsidRDefault="00C571BF" w:rsidP="00141232">
      <w:pPr>
        <w:pStyle w:val="ListParagraph"/>
        <w:rPr>
          <w:rFonts w:ascii="Verdana" w:hAnsi="Verdana"/>
          <w:sz w:val="20"/>
          <w:lang w:val="es-CR"/>
        </w:rPr>
      </w:pPr>
    </w:p>
    <w:p w14:paraId="7C9D506C" w14:textId="015D4D07" w:rsidR="0050029A" w:rsidRPr="006A0A3F" w:rsidRDefault="00352F7C" w:rsidP="008B7B29">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Las presuntas víctimas</w:t>
      </w:r>
      <w:r w:rsidR="00FF7F9E" w:rsidRPr="006A0A3F">
        <w:rPr>
          <w:rFonts w:ascii="Verdana" w:hAnsi="Verdana"/>
          <w:sz w:val="20"/>
          <w:szCs w:val="20"/>
        </w:rPr>
        <w:t xml:space="preserve"> </w:t>
      </w:r>
      <w:r w:rsidR="0050029A" w:rsidRPr="006A0A3F">
        <w:rPr>
          <w:rFonts w:ascii="Verdana" w:hAnsi="Verdana"/>
          <w:sz w:val="20"/>
          <w:szCs w:val="20"/>
        </w:rPr>
        <w:t>han sido consistentes en sus declaraciones ante la Fiscalía, ante la Defensoría del Pueblo y ante este Tribunal en cuanto a que la terminación de sus contratos fue una forma de repres</w:t>
      </w:r>
      <w:r w:rsidR="0010710C" w:rsidRPr="006A0A3F">
        <w:rPr>
          <w:rFonts w:ascii="Verdana" w:hAnsi="Verdana"/>
          <w:sz w:val="20"/>
          <w:szCs w:val="20"/>
        </w:rPr>
        <w:t>a</w:t>
      </w:r>
      <w:r w:rsidR="0050029A" w:rsidRPr="006A0A3F">
        <w:rPr>
          <w:rFonts w:ascii="Verdana" w:hAnsi="Verdana"/>
          <w:sz w:val="20"/>
          <w:szCs w:val="20"/>
        </w:rPr>
        <w:t>lia por haber participado en la</w:t>
      </w:r>
      <w:r w:rsidR="00555606" w:rsidRPr="006A0A3F">
        <w:rPr>
          <w:rFonts w:ascii="Verdana" w:hAnsi="Verdana"/>
          <w:sz w:val="20"/>
          <w:szCs w:val="20"/>
        </w:rPr>
        <w:t xml:space="preserve"> referida</w:t>
      </w:r>
      <w:r w:rsidR="0050029A" w:rsidRPr="006A0A3F">
        <w:rPr>
          <w:rFonts w:ascii="Verdana" w:hAnsi="Verdana"/>
          <w:sz w:val="20"/>
          <w:szCs w:val="20"/>
        </w:rPr>
        <w:t xml:space="preserve"> solicitud</w:t>
      </w:r>
      <w:r w:rsidR="00DE52A0" w:rsidRPr="006A0A3F">
        <w:rPr>
          <w:rFonts w:ascii="Verdana" w:hAnsi="Verdana"/>
          <w:sz w:val="20"/>
          <w:szCs w:val="20"/>
        </w:rPr>
        <w:t>, luego de la</w:t>
      </w:r>
      <w:r w:rsidR="00A50231" w:rsidRPr="006A0A3F">
        <w:rPr>
          <w:rFonts w:ascii="Verdana" w:hAnsi="Verdana"/>
          <w:sz w:val="20"/>
          <w:szCs w:val="20"/>
        </w:rPr>
        <w:t xml:space="preserve"> publicación de la Lista </w:t>
      </w:r>
      <w:proofErr w:type="spellStart"/>
      <w:r w:rsidR="00A50231" w:rsidRPr="006A0A3F">
        <w:rPr>
          <w:rFonts w:ascii="Verdana" w:hAnsi="Verdana"/>
          <w:sz w:val="20"/>
          <w:szCs w:val="20"/>
        </w:rPr>
        <w:t>Tascón</w:t>
      </w:r>
      <w:proofErr w:type="spellEnd"/>
      <w:r w:rsidR="0050029A" w:rsidRPr="006A0A3F">
        <w:rPr>
          <w:rFonts w:ascii="Verdana" w:hAnsi="Verdana"/>
          <w:sz w:val="20"/>
          <w:szCs w:val="20"/>
        </w:rPr>
        <w:t xml:space="preserve"> y por no haber “reparado”, es decir, retirado, su firma durante el procedimiento de verificación de firmas llamado “reparos”.</w:t>
      </w:r>
      <w:r w:rsidR="00DD03ED" w:rsidRPr="006A0A3F">
        <w:rPr>
          <w:rFonts w:ascii="Verdana" w:hAnsi="Verdana"/>
          <w:sz w:val="20"/>
          <w:szCs w:val="20"/>
        </w:rPr>
        <w:t xml:space="preserve"> </w:t>
      </w:r>
    </w:p>
    <w:p w14:paraId="3A232852" w14:textId="77777777" w:rsidR="0050029A" w:rsidRPr="006A0A3F" w:rsidRDefault="0050029A" w:rsidP="0050029A">
      <w:pPr>
        <w:pBdr>
          <w:top w:val="nil"/>
        </w:pBdr>
        <w:spacing w:after="0" w:line="240" w:lineRule="auto"/>
        <w:jc w:val="both"/>
        <w:rPr>
          <w:rFonts w:ascii="Verdana" w:hAnsi="Verdana"/>
          <w:sz w:val="20"/>
          <w:szCs w:val="20"/>
        </w:rPr>
      </w:pPr>
    </w:p>
    <w:p w14:paraId="0AE1C584" w14:textId="042B6506" w:rsidR="0052446D" w:rsidRPr="006A0A3F" w:rsidRDefault="00962E45" w:rsidP="008B7B29">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Ellas</w:t>
      </w:r>
      <w:r w:rsidR="0052446D" w:rsidRPr="006A0A3F">
        <w:rPr>
          <w:rFonts w:ascii="Verdana" w:hAnsi="Verdana"/>
          <w:sz w:val="20"/>
          <w:szCs w:val="20"/>
        </w:rPr>
        <w:t xml:space="preserve"> celebraron diversos contratos mensuales, semestrales o anuales con el Consejo Nacional de Fronteras durante varios años, ninguno de los cuales se dio por terminado antes del periodo pactado en los mismos, salvo el último que </w:t>
      </w:r>
      <w:r w:rsidR="00555606" w:rsidRPr="006A0A3F">
        <w:rPr>
          <w:rFonts w:ascii="Verdana" w:hAnsi="Verdana"/>
          <w:sz w:val="20"/>
          <w:szCs w:val="20"/>
        </w:rPr>
        <w:t>fue finalizado</w:t>
      </w:r>
      <w:r w:rsidR="0052446D" w:rsidRPr="006A0A3F">
        <w:rPr>
          <w:rFonts w:ascii="Verdana" w:hAnsi="Verdana"/>
          <w:sz w:val="20"/>
          <w:szCs w:val="20"/>
        </w:rPr>
        <w:t xml:space="preserve"> tres meses después de su inicio y </w:t>
      </w:r>
      <w:r w:rsidR="00A50231" w:rsidRPr="006A0A3F">
        <w:rPr>
          <w:rFonts w:ascii="Verdana" w:hAnsi="Verdana"/>
          <w:sz w:val="20"/>
          <w:szCs w:val="20"/>
        </w:rPr>
        <w:t xml:space="preserve">unos </w:t>
      </w:r>
      <w:r w:rsidR="0052446D" w:rsidRPr="006A0A3F">
        <w:rPr>
          <w:rFonts w:ascii="Verdana" w:hAnsi="Verdana"/>
          <w:sz w:val="20"/>
          <w:szCs w:val="20"/>
        </w:rPr>
        <w:t xml:space="preserve">meses después de que </w:t>
      </w:r>
      <w:r w:rsidR="00555606" w:rsidRPr="006A0A3F">
        <w:rPr>
          <w:rFonts w:ascii="Verdana" w:hAnsi="Verdana"/>
          <w:sz w:val="20"/>
          <w:szCs w:val="20"/>
        </w:rPr>
        <w:t>ellas firmara</w:t>
      </w:r>
      <w:r w:rsidR="0052446D" w:rsidRPr="006A0A3F">
        <w:rPr>
          <w:rFonts w:ascii="Verdana" w:hAnsi="Verdana"/>
          <w:sz w:val="20"/>
          <w:szCs w:val="20"/>
        </w:rPr>
        <w:t>n</w:t>
      </w:r>
      <w:r w:rsidR="00555606" w:rsidRPr="006A0A3F">
        <w:rPr>
          <w:rFonts w:ascii="Verdana" w:hAnsi="Verdana"/>
          <w:sz w:val="20"/>
          <w:szCs w:val="20"/>
        </w:rPr>
        <w:t xml:space="preserve"> dicha</w:t>
      </w:r>
      <w:r w:rsidR="0052446D" w:rsidRPr="006A0A3F">
        <w:rPr>
          <w:rFonts w:ascii="Verdana" w:hAnsi="Verdana"/>
          <w:sz w:val="20"/>
          <w:szCs w:val="20"/>
        </w:rPr>
        <w:t xml:space="preserve"> solicitud</w:t>
      </w:r>
      <w:r w:rsidR="007830AB" w:rsidRPr="006A0A3F">
        <w:rPr>
          <w:rFonts w:ascii="Verdana" w:hAnsi="Verdana"/>
          <w:sz w:val="20"/>
          <w:szCs w:val="20"/>
        </w:rPr>
        <w:t xml:space="preserve"> (</w:t>
      </w:r>
      <w:r w:rsidR="007830AB" w:rsidRPr="006A0A3F">
        <w:rPr>
          <w:rFonts w:ascii="Verdana" w:hAnsi="Verdana"/>
          <w:i/>
          <w:sz w:val="20"/>
          <w:szCs w:val="20"/>
        </w:rPr>
        <w:t xml:space="preserve">supra </w:t>
      </w:r>
      <w:proofErr w:type="spellStart"/>
      <w:r w:rsidR="00DD3A50" w:rsidRPr="006A0A3F">
        <w:rPr>
          <w:rFonts w:ascii="Verdana" w:hAnsi="Verdana"/>
          <w:sz w:val="20"/>
          <w:szCs w:val="20"/>
        </w:rPr>
        <w:t>párrs</w:t>
      </w:r>
      <w:proofErr w:type="spellEnd"/>
      <w:r w:rsidR="00DD3A50" w:rsidRPr="006A0A3F">
        <w:rPr>
          <w:rFonts w:ascii="Verdana" w:hAnsi="Verdana"/>
          <w:sz w:val="20"/>
          <w:szCs w:val="20"/>
        </w:rPr>
        <w:t>. 71 a 76</w:t>
      </w:r>
      <w:r w:rsidR="007830AB" w:rsidRPr="006A0A3F">
        <w:rPr>
          <w:rFonts w:ascii="Verdana" w:hAnsi="Verdana"/>
          <w:sz w:val="20"/>
          <w:szCs w:val="20"/>
        </w:rPr>
        <w:t>)</w:t>
      </w:r>
      <w:r w:rsidR="0052446D" w:rsidRPr="006A0A3F">
        <w:rPr>
          <w:rFonts w:ascii="Verdana" w:hAnsi="Verdana"/>
          <w:sz w:val="20"/>
          <w:szCs w:val="20"/>
        </w:rPr>
        <w:t xml:space="preserve">. </w:t>
      </w:r>
    </w:p>
    <w:p w14:paraId="67F70759" w14:textId="77777777" w:rsidR="0052446D" w:rsidRPr="006A0A3F" w:rsidRDefault="0052446D" w:rsidP="0050029A">
      <w:pPr>
        <w:pBdr>
          <w:top w:val="nil"/>
        </w:pBdr>
        <w:spacing w:after="0" w:line="240" w:lineRule="auto"/>
        <w:jc w:val="both"/>
        <w:rPr>
          <w:rFonts w:ascii="Verdana" w:hAnsi="Verdana"/>
          <w:sz w:val="20"/>
          <w:szCs w:val="20"/>
        </w:rPr>
      </w:pPr>
    </w:p>
    <w:p w14:paraId="2C9439BE" w14:textId="1CF5C4CF" w:rsidR="00C571BF" w:rsidRPr="006A0A3F" w:rsidRDefault="00C571BF" w:rsidP="008B7B29">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su declaración rendida ante la Fiscalía </w:t>
      </w:r>
      <w:r w:rsidR="00AD294D" w:rsidRPr="006A0A3F">
        <w:rPr>
          <w:rFonts w:ascii="Verdana" w:hAnsi="Verdana"/>
          <w:sz w:val="20"/>
          <w:szCs w:val="20"/>
        </w:rPr>
        <w:t>en</w:t>
      </w:r>
      <w:r w:rsidRPr="006A0A3F">
        <w:rPr>
          <w:rFonts w:ascii="Verdana" w:hAnsi="Verdana"/>
          <w:sz w:val="20"/>
          <w:szCs w:val="20"/>
        </w:rPr>
        <w:t xml:space="preserve"> julio de 2004, </w:t>
      </w:r>
      <w:r w:rsidR="0050029A" w:rsidRPr="006A0A3F">
        <w:rPr>
          <w:rFonts w:ascii="Verdana" w:hAnsi="Verdana"/>
          <w:sz w:val="20"/>
          <w:szCs w:val="20"/>
        </w:rPr>
        <w:t xml:space="preserve">la señora </w:t>
      </w:r>
      <w:r w:rsidRPr="006A0A3F">
        <w:rPr>
          <w:rFonts w:ascii="Verdana" w:hAnsi="Verdana"/>
          <w:sz w:val="20"/>
          <w:szCs w:val="20"/>
        </w:rPr>
        <w:t xml:space="preserve">Rocío San Miguel Sosa declaró que el 11 de marzo de 2004 </w:t>
      </w:r>
      <w:r w:rsidR="00555606" w:rsidRPr="006A0A3F">
        <w:rPr>
          <w:rFonts w:ascii="Verdana" w:hAnsi="Verdana"/>
          <w:sz w:val="20"/>
          <w:szCs w:val="20"/>
        </w:rPr>
        <w:t xml:space="preserve">el </w:t>
      </w:r>
      <w:r w:rsidRPr="006A0A3F">
        <w:rPr>
          <w:rFonts w:ascii="Verdana" w:hAnsi="Verdana"/>
          <w:sz w:val="20"/>
          <w:szCs w:val="20"/>
        </w:rPr>
        <w:t xml:space="preserve">entonces Secretario Ejecutivo del </w:t>
      </w:r>
      <w:r w:rsidR="00555606" w:rsidRPr="006A0A3F">
        <w:rPr>
          <w:rFonts w:ascii="Verdana" w:hAnsi="Verdana"/>
          <w:sz w:val="20"/>
          <w:szCs w:val="20"/>
        </w:rPr>
        <w:t>CNF</w:t>
      </w:r>
      <w:r w:rsidRPr="006A0A3F">
        <w:rPr>
          <w:rFonts w:ascii="Verdana" w:hAnsi="Verdana"/>
          <w:sz w:val="20"/>
          <w:szCs w:val="20"/>
        </w:rPr>
        <w:t xml:space="preserve">, </w:t>
      </w:r>
      <w:r w:rsidR="00555606" w:rsidRPr="006A0A3F">
        <w:rPr>
          <w:rFonts w:ascii="Verdana" w:hAnsi="Verdana"/>
          <w:sz w:val="20"/>
          <w:szCs w:val="20"/>
        </w:rPr>
        <w:t xml:space="preserve">Feijoo </w:t>
      </w:r>
      <w:proofErr w:type="spellStart"/>
      <w:r w:rsidR="00555606" w:rsidRPr="006A0A3F">
        <w:rPr>
          <w:rFonts w:ascii="Verdana" w:hAnsi="Verdana"/>
          <w:sz w:val="20"/>
          <w:szCs w:val="20"/>
        </w:rPr>
        <w:t>Colomine</w:t>
      </w:r>
      <w:proofErr w:type="spellEnd"/>
      <w:r w:rsidR="00555606" w:rsidRPr="006A0A3F">
        <w:rPr>
          <w:rFonts w:ascii="Verdana" w:hAnsi="Verdana"/>
          <w:sz w:val="20"/>
          <w:szCs w:val="20"/>
        </w:rPr>
        <w:t xml:space="preserve"> Rincones, </w:t>
      </w:r>
      <w:r w:rsidRPr="006A0A3F">
        <w:rPr>
          <w:rFonts w:ascii="Verdana" w:hAnsi="Verdana"/>
          <w:sz w:val="20"/>
          <w:szCs w:val="20"/>
        </w:rPr>
        <w:t xml:space="preserve">le informó verbalmente de </w:t>
      </w:r>
      <w:r w:rsidR="00230917" w:rsidRPr="006A0A3F">
        <w:rPr>
          <w:rFonts w:ascii="Verdana" w:hAnsi="Verdana"/>
          <w:sz w:val="20"/>
          <w:szCs w:val="20"/>
        </w:rPr>
        <w:t xml:space="preserve">la posible terminación de su contrato, </w:t>
      </w:r>
      <w:r w:rsidRPr="006A0A3F">
        <w:rPr>
          <w:rFonts w:ascii="Verdana" w:hAnsi="Verdana"/>
          <w:sz w:val="20"/>
          <w:szCs w:val="20"/>
        </w:rPr>
        <w:t xml:space="preserve">refiriéndole que en una conversación que sostuvo con </w:t>
      </w:r>
      <w:r w:rsidR="00555606" w:rsidRPr="006A0A3F">
        <w:rPr>
          <w:rFonts w:ascii="Verdana" w:hAnsi="Verdana"/>
          <w:sz w:val="20"/>
          <w:szCs w:val="20"/>
        </w:rPr>
        <w:t xml:space="preserve">el entonces Presidente de ese organismo, </w:t>
      </w:r>
      <w:r w:rsidRPr="006A0A3F">
        <w:rPr>
          <w:rFonts w:ascii="Verdana" w:hAnsi="Verdana"/>
          <w:sz w:val="20"/>
          <w:szCs w:val="20"/>
        </w:rPr>
        <w:t xml:space="preserve">José Vicente Rangel Vale, éste le indicó “que procediera al despido de Rocío San Miguel y Thais Peña en razón de que estas personas habían solicitado el revocatorio presidencial”. </w:t>
      </w:r>
      <w:r w:rsidR="00555606" w:rsidRPr="006A0A3F">
        <w:rPr>
          <w:rFonts w:ascii="Verdana" w:hAnsi="Verdana"/>
          <w:sz w:val="20"/>
          <w:szCs w:val="20"/>
        </w:rPr>
        <w:t>Además,</w:t>
      </w:r>
      <w:r w:rsidRPr="006A0A3F">
        <w:rPr>
          <w:rFonts w:ascii="Verdana" w:hAnsi="Verdana"/>
          <w:sz w:val="20"/>
          <w:szCs w:val="20"/>
        </w:rPr>
        <w:t xml:space="preserve"> indicó que el 31 de marzo de 2004 conversó con Ilia </w:t>
      </w:r>
      <w:proofErr w:type="spellStart"/>
      <w:r w:rsidRPr="006A0A3F">
        <w:rPr>
          <w:rFonts w:ascii="Verdana" w:hAnsi="Verdana"/>
          <w:sz w:val="20"/>
          <w:szCs w:val="20"/>
        </w:rPr>
        <w:t>Azpurúa</w:t>
      </w:r>
      <w:proofErr w:type="spellEnd"/>
      <w:r w:rsidRPr="006A0A3F">
        <w:rPr>
          <w:rFonts w:ascii="Verdana" w:hAnsi="Verdana"/>
          <w:sz w:val="20"/>
          <w:szCs w:val="20"/>
        </w:rPr>
        <w:t xml:space="preserve">, </w:t>
      </w:r>
      <w:r w:rsidR="00AD294D" w:rsidRPr="006A0A3F">
        <w:rPr>
          <w:rFonts w:ascii="Verdana" w:hAnsi="Verdana"/>
          <w:sz w:val="20"/>
          <w:szCs w:val="20"/>
        </w:rPr>
        <w:t xml:space="preserve">entonces </w:t>
      </w:r>
      <w:r w:rsidRPr="006A0A3F">
        <w:rPr>
          <w:rFonts w:ascii="Verdana" w:hAnsi="Verdana"/>
          <w:sz w:val="20"/>
          <w:szCs w:val="20"/>
        </w:rPr>
        <w:t xml:space="preserve">consultora jurídica de la </w:t>
      </w:r>
      <w:r w:rsidRPr="006A0A3F">
        <w:rPr>
          <w:rFonts w:ascii="Verdana" w:hAnsi="Verdana"/>
          <w:sz w:val="20"/>
          <w:szCs w:val="20"/>
        </w:rPr>
        <w:lastRenderedPageBreak/>
        <w:t xml:space="preserve">Vicepresidencia y </w:t>
      </w:r>
      <w:r w:rsidR="00AD294D" w:rsidRPr="006A0A3F">
        <w:rPr>
          <w:rFonts w:ascii="Verdana" w:hAnsi="Verdana"/>
          <w:sz w:val="20"/>
          <w:szCs w:val="20"/>
        </w:rPr>
        <w:t>s</w:t>
      </w:r>
      <w:r w:rsidRPr="006A0A3F">
        <w:rPr>
          <w:rFonts w:ascii="Verdana" w:hAnsi="Verdana"/>
          <w:sz w:val="20"/>
          <w:szCs w:val="20"/>
        </w:rPr>
        <w:t>ecretaria encargada del Consejo de Ministros</w:t>
      </w:r>
      <w:r w:rsidR="00D82EED" w:rsidRPr="006A0A3F">
        <w:rPr>
          <w:rFonts w:ascii="Verdana" w:hAnsi="Verdana"/>
          <w:sz w:val="20"/>
          <w:szCs w:val="20"/>
        </w:rPr>
        <w:t>,</w:t>
      </w:r>
      <w:r w:rsidRPr="006A0A3F">
        <w:rPr>
          <w:rFonts w:ascii="Verdana" w:hAnsi="Verdana"/>
          <w:sz w:val="20"/>
          <w:szCs w:val="20"/>
        </w:rPr>
        <w:t xml:space="preserve"> </w:t>
      </w:r>
      <w:r w:rsidR="00D82EED" w:rsidRPr="006A0A3F">
        <w:rPr>
          <w:rFonts w:ascii="Verdana" w:hAnsi="Verdana"/>
          <w:sz w:val="20"/>
          <w:szCs w:val="20"/>
        </w:rPr>
        <w:t xml:space="preserve">quien </w:t>
      </w:r>
      <w:r w:rsidRPr="006A0A3F">
        <w:rPr>
          <w:rFonts w:ascii="Verdana" w:hAnsi="Verdana"/>
          <w:sz w:val="20"/>
          <w:szCs w:val="20"/>
        </w:rPr>
        <w:t xml:space="preserve">le indicó “que no era posible que trabajando en el Palacio Blanco hubiese firmado, que </w:t>
      </w:r>
      <w:r w:rsidR="00555606" w:rsidRPr="006A0A3F">
        <w:rPr>
          <w:rFonts w:ascii="Verdana" w:hAnsi="Verdana"/>
          <w:sz w:val="20"/>
          <w:szCs w:val="20"/>
        </w:rPr>
        <w:t>[ella]</w:t>
      </w:r>
      <w:r w:rsidRPr="006A0A3F">
        <w:rPr>
          <w:rFonts w:ascii="Verdana" w:hAnsi="Verdana"/>
          <w:sz w:val="20"/>
          <w:szCs w:val="20"/>
        </w:rPr>
        <w:t xml:space="preserve"> era personal de confianza y que con la firma había manifestado un gesto de desconfianza”</w:t>
      </w:r>
      <w:r w:rsidRPr="006A0A3F">
        <w:rPr>
          <w:rFonts w:ascii="Verdana" w:hAnsi="Verdana"/>
          <w:sz w:val="20"/>
          <w:szCs w:val="20"/>
          <w:vertAlign w:val="superscript"/>
        </w:rPr>
        <w:footnoteReference w:id="198"/>
      </w:r>
      <w:r w:rsidR="008E6FB4" w:rsidRPr="006A0A3F">
        <w:rPr>
          <w:rFonts w:ascii="Verdana" w:hAnsi="Verdana"/>
          <w:sz w:val="20"/>
          <w:szCs w:val="20"/>
        </w:rPr>
        <w:t>.</w:t>
      </w:r>
      <w:r w:rsidRPr="006A0A3F">
        <w:rPr>
          <w:rFonts w:ascii="Verdana" w:hAnsi="Verdana"/>
          <w:sz w:val="20"/>
          <w:szCs w:val="20"/>
          <w:vertAlign w:val="superscript"/>
        </w:rPr>
        <w:t xml:space="preserve"> </w:t>
      </w:r>
    </w:p>
    <w:p w14:paraId="4D77F701" w14:textId="77777777" w:rsidR="00C571BF" w:rsidRPr="006A0A3F" w:rsidRDefault="00C571BF" w:rsidP="00C571BF">
      <w:pPr>
        <w:spacing w:after="0" w:line="240" w:lineRule="auto"/>
        <w:jc w:val="both"/>
        <w:rPr>
          <w:rFonts w:ascii="Verdana" w:hAnsi="Verdana"/>
          <w:sz w:val="20"/>
          <w:szCs w:val="20"/>
        </w:rPr>
      </w:pPr>
    </w:p>
    <w:p w14:paraId="10BE8D4C" w14:textId="09BD1A46" w:rsidR="00C571BF" w:rsidRPr="006A0A3F" w:rsidRDefault="00C571BF" w:rsidP="00637E49">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A su vez, en su testimonio ante la Fiscalía, la señora Thais Coromoto Peña refirió que </w:t>
      </w:r>
      <w:r w:rsidR="00230917" w:rsidRPr="006A0A3F">
        <w:rPr>
          <w:rFonts w:ascii="Verdana" w:hAnsi="Verdana"/>
          <w:sz w:val="20"/>
          <w:szCs w:val="20"/>
        </w:rPr>
        <w:t>dicho Secretario Ejecutivo</w:t>
      </w:r>
      <w:r w:rsidRPr="006A0A3F">
        <w:rPr>
          <w:rFonts w:ascii="Verdana" w:hAnsi="Verdana"/>
          <w:sz w:val="20"/>
          <w:szCs w:val="20"/>
        </w:rPr>
        <w:t xml:space="preserve"> le </w:t>
      </w:r>
      <w:r w:rsidR="00230917" w:rsidRPr="006A0A3F">
        <w:rPr>
          <w:rFonts w:ascii="Verdana" w:hAnsi="Verdana"/>
          <w:sz w:val="20"/>
          <w:szCs w:val="20"/>
        </w:rPr>
        <w:t xml:space="preserve">notificó </w:t>
      </w:r>
      <w:r w:rsidRPr="006A0A3F">
        <w:rPr>
          <w:rFonts w:ascii="Verdana" w:hAnsi="Verdana"/>
          <w:sz w:val="20"/>
          <w:szCs w:val="20"/>
        </w:rPr>
        <w:t>verbal</w:t>
      </w:r>
      <w:r w:rsidR="00230917" w:rsidRPr="006A0A3F">
        <w:rPr>
          <w:rFonts w:ascii="Verdana" w:hAnsi="Verdana"/>
          <w:sz w:val="20"/>
          <w:szCs w:val="20"/>
        </w:rPr>
        <w:t>mente lo anterior</w:t>
      </w:r>
      <w:r w:rsidRPr="006A0A3F">
        <w:rPr>
          <w:rFonts w:ascii="Verdana" w:hAnsi="Verdana"/>
          <w:sz w:val="20"/>
          <w:szCs w:val="20"/>
        </w:rPr>
        <w:t xml:space="preserve"> y que la secretaria de </w:t>
      </w:r>
      <w:r w:rsidR="00230917" w:rsidRPr="006A0A3F">
        <w:rPr>
          <w:rFonts w:ascii="Verdana" w:hAnsi="Verdana"/>
          <w:sz w:val="20"/>
          <w:szCs w:val="20"/>
        </w:rPr>
        <w:t xml:space="preserve">éste </w:t>
      </w:r>
      <w:r w:rsidRPr="006A0A3F">
        <w:rPr>
          <w:rFonts w:ascii="Verdana" w:hAnsi="Verdana"/>
          <w:sz w:val="20"/>
          <w:szCs w:val="20"/>
        </w:rPr>
        <w:t>le indicó que él “estaba molesto porque estaban en contra del Presidente y en contra del proceso”</w:t>
      </w:r>
      <w:r w:rsidR="00230917" w:rsidRPr="006A0A3F">
        <w:rPr>
          <w:rFonts w:ascii="Verdana" w:hAnsi="Verdana"/>
          <w:sz w:val="20"/>
          <w:szCs w:val="20"/>
        </w:rPr>
        <w:t xml:space="preserve">; </w:t>
      </w:r>
      <w:r w:rsidRPr="006A0A3F">
        <w:rPr>
          <w:rFonts w:ascii="Verdana" w:hAnsi="Verdana"/>
          <w:sz w:val="20"/>
          <w:szCs w:val="20"/>
        </w:rPr>
        <w:t xml:space="preserve">que luego le dijo </w:t>
      </w:r>
      <w:r w:rsidR="00230917" w:rsidRPr="006A0A3F">
        <w:rPr>
          <w:rFonts w:ascii="Verdana" w:hAnsi="Verdana"/>
          <w:sz w:val="20"/>
          <w:szCs w:val="20"/>
        </w:rPr>
        <w:t>“</w:t>
      </w:r>
      <w:r w:rsidRPr="006A0A3F">
        <w:rPr>
          <w:rFonts w:ascii="Verdana" w:hAnsi="Verdana"/>
          <w:sz w:val="20"/>
          <w:szCs w:val="20"/>
        </w:rPr>
        <w:t xml:space="preserve">que retirara la firma, que él podía enviar[la] donde </w:t>
      </w:r>
      <w:proofErr w:type="spellStart"/>
      <w:r w:rsidRPr="006A0A3F">
        <w:rPr>
          <w:rFonts w:ascii="Verdana" w:hAnsi="Verdana"/>
          <w:sz w:val="20"/>
          <w:szCs w:val="20"/>
        </w:rPr>
        <w:t>Jesse</w:t>
      </w:r>
      <w:proofErr w:type="spellEnd"/>
      <w:r w:rsidRPr="006A0A3F">
        <w:rPr>
          <w:rFonts w:ascii="Verdana" w:hAnsi="Verdana"/>
          <w:sz w:val="20"/>
          <w:szCs w:val="20"/>
        </w:rPr>
        <w:t xml:space="preserve"> Chacón para que lo hiciera, a lo que le </w:t>
      </w:r>
      <w:proofErr w:type="spellStart"/>
      <w:r w:rsidRPr="006A0A3F">
        <w:rPr>
          <w:rFonts w:ascii="Verdana" w:hAnsi="Verdana"/>
          <w:sz w:val="20"/>
          <w:szCs w:val="20"/>
        </w:rPr>
        <w:t>respond</w:t>
      </w:r>
      <w:proofErr w:type="spellEnd"/>
      <w:r w:rsidRPr="006A0A3F">
        <w:rPr>
          <w:rFonts w:ascii="Verdana" w:hAnsi="Verdana"/>
          <w:sz w:val="20"/>
          <w:szCs w:val="20"/>
        </w:rPr>
        <w:t>[</w:t>
      </w:r>
      <w:proofErr w:type="spellStart"/>
      <w:r w:rsidRPr="006A0A3F">
        <w:rPr>
          <w:rFonts w:ascii="Verdana" w:hAnsi="Verdana"/>
          <w:sz w:val="20"/>
          <w:szCs w:val="20"/>
        </w:rPr>
        <w:t>ió</w:t>
      </w:r>
      <w:proofErr w:type="spellEnd"/>
      <w:r w:rsidRPr="006A0A3F">
        <w:rPr>
          <w:rFonts w:ascii="Verdana" w:hAnsi="Verdana"/>
          <w:sz w:val="20"/>
          <w:szCs w:val="20"/>
        </w:rPr>
        <w:t>] que [ella] era una mujer de libre convicción y pensamiento, [que] esa fue [su]</w:t>
      </w:r>
      <w:r w:rsidR="00230917" w:rsidRPr="006A0A3F">
        <w:rPr>
          <w:rFonts w:ascii="Verdana" w:hAnsi="Verdana"/>
          <w:sz w:val="20"/>
          <w:szCs w:val="20"/>
        </w:rPr>
        <w:t xml:space="preserve"> decisión y seguir[</w:t>
      </w:r>
      <w:proofErr w:type="spellStart"/>
      <w:r w:rsidR="00230917" w:rsidRPr="006A0A3F">
        <w:rPr>
          <w:rFonts w:ascii="Verdana" w:hAnsi="Verdana"/>
          <w:sz w:val="20"/>
          <w:szCs w:val="20"/>
        </w:rPr>
        <w:t>ía</w:t>
      </w:r>
      <w:proofErr w:type="spellEnd"/>
      <w:r w:rsidR="00230917" w:rsidRPr="006A0A3F">
        <w:rPr>
          <w:rFonts w:ascii="Verdana" w:hAnsi="Verdana"/>
          <w:sz w:val="20"/>
          <w:szCs w:val="20"/>
        </w:rPr>
        <w:t>]</w:t>
      </w:r>
      <w:r w:rsidRPr="006A0A3F">
        <w:rPr>
          <w:rFonts w:ascii="Verdana" w:hAnsi="Verdana"/>
          <w:sz w:val="20"/>
          <w:szCs w:val="20"/>
        </w:rPr>
        <w:t xml:space="preserve"> siendo la misma, no [tenía] por qué retractar[s</w:t>
      </w:r>
      <w:r w:rsidR="00ED781E" w:rsidRPr="006A0A3F">
        <w:rPr>
          <w:rFonts w:ascii="Verdana" w:hAnsi="Verdana"/>
          <w:sz w:val="20"/>
          <w:szCs w:val="20"/>
        </w:rPr>
        <w:t>]e de ella;</w:t>
      </w:r>
      <w:r w:rsidRPr="006A0A3F">
        <w:rPr>
          <w:rFonts w:ascii="Verdana" w:hAnsi="Verdana"/>
          <w:sz w:val="20"/>
          <w:szCs w:val="20"/>
        </w:rPr>
        <w:t xml:space="preserve"> seguidamente le </w:t>
      </w:r>
      <w:proofErr w:type="spellStart"/>
      <w:r w:rsidRPr="006A0A3F">
        <w:rPr>
          <w:rFonts w:ascii="Verdana" w:hAnsi="Verdana"/>
          <w:sz w:val="20"/>
          <w:szCs w:val="20"/>
        </w:rPr>
        <w:t>dij</w:t>
      </w:r>
      <w:proofErr w:type="spellEnd"/>
      <w:r w:rsidRPr="006A0A3F">
        <w:rPr>
          <w:rFonts w:ascii="Verdana" w:hAnsi="Verdana"/>
          <w:sz w:val="20"/>
          <w:szCs w:val="20"/>
        </w:rPr>
        <w:t>[o] que no hablara[n] más del asunto”</w:t>
      </w:r>
      <w:r w:rsidRPr="006A0A3F">
        <w:rPr>
          <w:rFonts w:ascii="Verdana" w:hAnsi="Verdana"/>
          <w:sz w:val="20"/>
          <w:szCs w:val="20"/>
          <w:vertAlign w:val="superscript"/>
        </w:rPr>
        <w:footnoteReference w:id="199"/>
      </w:r>
      <w:r w:rsidR="0050029A" w:rsidRPr="006A0A3F">
        <w:rPr>
          <w:rFonts w:ascii="Verdana" w:hAnsi="Verdana"/>
          <w:sz w:val="20"/>
          <w:szCs w:val="20"/>
        </w:rPr>
        <w:t>.</w:t>
      </w:r>
      <w:r w:rsidR="00637E49" w:rsidRPr="006A0A3F">
        <w:rPr>
          <w:rFonts w:ascii="Verdana" w:hAnsi="Verdana"/>
          <w:sz w:val="20"/>
          <w:szCs w:val="20"/>
        </w:rPr>
        <w:t xml:space="preserve"> </w:t>
      </w:r>
      <w:r w:rsidRPr="006A0A3F">
        <w:rPr>
          <w:rFonts w:ascii="Verdana" w:hAnsi="Verdana"/>
          <w:sz w:val="20"/>
          <w:szCs w:val="20"/>
        </w:rPr>
        <w:t xml:space="preserve">Por su parte, la señora </w:t>
      </w:r>
      <w:proofErr w:type="spellStart"/>
      <w:r w:rsidRPr="006A0A3F">
        <w:rPr>
          <w:rFonts w:ascii="Verdana" w:hAnsi="Verdana"/>
          <w:sz w:val="20"/>
          <w:szCs w:val="20"/>
        </w:rPr>
        <w:t>Magally</w:t>
      </w:r>
      <w:proofErr w:type="spellEnd"/>
      <w:r w:rsidRPr="006A0A3F">
        <w:rPr>
          <w:rFonts w:ascii="Verdana" w:hAnsi="Verdana"/>
          <w:sz w:val="20"/>
          <w:szCs w:val="20"/>
        </w:rPr>
        <w:t xml:space="preserve"> Chang Girón declaró ante la Fiscalía que</w:t>
      </w:r>
      <w:r w:rsidR="00230917" w:rsidRPr="006A0A3F">
        <w:rPr>
          <w:rFonts w:ascii="Verdana" w:hAnsi="Verdana"/>
          <w:sz w:val="20"/>
          <w:szCs w:val="20"/>
        </w:rPr>
        <w:t>,</w:t>
      </w:r>
      <w:r w:rsidRPr="006A0A3F">
        <w:rPr>
          <w:rFonts w:ascii="Verdana" w:hAnsi="Verdana"/>
          <w:sz w:val="20"/>
          <w:szCs w:val="20"/>
        </w:rPr>
        <w:t xml:space="preserve"> notificada el 22 de marzo </w:t>
      </w:r>
      <w:r w:rsidR="00230917" w:rsidRPr="006A0A3F">
        <w:rPr>
          <w:rFonts w:ascii="Verdana" w:hAnsi="Verdana"/>
          <w:sz w:val="20"/>
          <w:szCs w:val="20"/>
        </w:rPr>
        <w:t xml:space="preserve">de ese año </w:t>
      </w:r>
      <w:r w:rsidRPr="006A0A3F">
        <w:rPr>
          <w:rFonts w:ascii="Verdana" w:hAnsi="Verdana"/>
          <w:sz w:val="20"/>
          <w:szCs w:val="20"/>
        </w:rPr>
        <w:t xml:space="preserve">por el </w:t>
      </w:r>
      <w:r w:rsidR="00230917" w:rsidRPr="006A0A3F">
        <w:rPr>
          <w:rFonts w:ascii="Verdana" w:hAnsi="Verdana"/>
          <w:sz w:val="20"/>
          <w:szCs w:val="20"/>
        </w:rPr>
        <w:t xml:space="preserve">referido Secretario con </w:t>
      </w:r>
      <w:r w:rsidRPr="006A0A3F">
        <w:rPr>
          <w:rFonts w:ascii="Verdana" w:hAnsi="Verdana"/>
          <w:sz w:val="20"/>
          <w:szCs w:val="20"/>
        </w:rPr>
        <w:t>instrucci</w:t>
      </w:r>
      <w:r w:rsidR="00230917" w:rsidRPr="006A0A3F">
        <w:rPr>
          <w:rFonts w:ascii="Verdana" w:hAnsi="Verdana"/>
          <w:sz w:val="20"/>
          <w:szCs w:val="20"/>
        </w:rPr>
        <w:t>ones del Presidente del Consejo, “</w:t>
      </w:r>
      <w:r w:rsidRPr="006A0A3F">
        <w:rPr>
          <w:rFonts w:ascii="Verdana" w:hAnsi="Verdana"/>
          <w:sz w:val="20"/>
          <w:szCs w:val="20"/>
        </w:rPr>
        <w:t>el motivo era por haber firmado la solicitud”</w:t>
      </w:r>
      <w:r w:rsidRPr="006A0A3F">
        <w:rPr>
          <w:rFonts w:ascii="Verdana" w:hAnsi="Verdana"/>
          <w:sz w:val="20"/>
          <w:szCs w:val="20"/>
          <w:vertAlign w:val="superscript"/>
        </w:rPr>
        <w:footnoteReference w:id="200"/>
      </w:r>
      <w:r w:rsidRPr="006A0A3F">
        <w:rPr>
          <w:rFonts w:ascii="Verdana" w:hAnsi="Verdana"/>
          <w:sz w:val="20"/>
          <w:szCs w:val="20"/>
          <w:vertAlign w:val="subscript"/>
        </w:rPr>
        <w:t>.</w:t>
      </w:r>
    </w:p>
    <w:p w14:paraId="73CB8D56" w14:textId="77777777" w:rsidR="002F090A" w:rsidRPr="006A0A3F" w:rsidRDefault="002F090A" w:rsidP="002F090A">
      <w:pPr>
        <w:pStyle w:val="ListParagraph"/>
        <w:rPr>
          <w:rFonts w:ascii="Verdana" w:hAnsi="Verdana"/>
          <w:sz w:val="20"/>
          <w:lang w:val="es-CR"/>
        </w:rPr>
      </w:pPr>
    </w:p>
    <w:p w14:paraId="3DDAA283" w14:textId="3DF55A46" w:rsidR="008865AA" w:rsidRPr="006A0A3F" w:rsidRDefault="00637E49" w:rsidP="008865AA">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Además, e</w:t>
      </w:r>
      <w:r w:rsidR="002F090A" w:rsidRPr="006A0A3F">
        <w:rPr>
          <w:rFonts w:ascii="Verdana" w:hAnsi="Verdana"/>
          <w:sz w:val="20"/>
          <w:szCs w:val="20"/>
        </w:rPr>
        <w:t xml:space="preserve">n su declaración ante la Corte, la señora </w:t>
      </w:r>
      <w:r w:rsidR="00141232" w:rsidRPr="006A0A3F">
        <w:rPr>
          <w:rFonts w:ascii="Verdana" w:hAnsi="Verdana"/>
          <w:sz w:val="20"/>
          <w:szCs w:val="20"/>
        </w:rPr>
        <w:t>San Miguel</w:t>
      </w:r>
      <w:r w:rsidR="00AD294D" w:rsidRPr="006A0A3F">
        <w:rPr>
          <w:rFonts w:ascii="Verdana" w:hAnsi="Verdana"/>
          <w:sz w:val="20"/>
          <w:szCs w:val="20"/>
        </w:rPr>
        <w:t xml:space="preserve"> Sosa</w:t>
      </w:r>
      <w:r w:rsidR="00CC4877" w:rsidRPr="006A0A3F">
        <w:rPr>
          <w:rFonts w:ascii="Verdana" w:hAnsi="Verdana"/>
          <w:sz w:val="20"/>
          <w:szCs w:val="20"/>
        </w:rPr>
        <w:t xml:space="preserve"> indicó que cuando fue contratada en el CNF no </w:t>
      </w:r>
      <w:r w:rsidRPr="006A0A3F">
        <w:rPr>
          <w:rFonts w:ascii="Verdana" w:hAnsi="Verdana"/>
          <w:sz w:val="20"/>
          <w:szCs w:val="20"/>
        </w:rPr>
        <w:t>lo fue por razones</w:t>
      </w:r>
      <w:r w:rsidR="00CC4877" w:rsidRPr="006A0A3F">
        <w:rPr>
          <w:rFonts w:ascii="Verdana" w:hAnsi="Verdana"/>
          <w:sz w:val="20"/>
          <w:szCs w:val="20"/>
        </w:rPr>
        <w:t xml:space="preserve"> política</w:t>
      </w:r>
      <w:r w:rsidRPr="006A0A3F">
        <w:rPr>
          <w:rFonts w:ascii="Verdana" w:hAnsi="Verdana"/>
          <w:sz w:val="20"/>
          <w:szCs w:val="20"/>
        </w:rPr>
        <w:t>s</w:t>
      </w:r>
      <w:r w:rsidR="00CC4877" w:rsidRPr="006A0A3F">
        <w:rPr>
          <w:rFonts w:ascii="Verdana" w:hAnsi="Verdana"/>
          <w:sz w:val="20"/>
          <w:szCs w:val="20"/>
        </w:rPr>
        <w:t xml:space="preserve"> </w:t>
      </w:r>
      <w:r w:rsidR="00D82EED" w:rsidRPr="006A0A3F">
        <w:rPr>
          <w:rFonts w:ascii="Verdana" w:hAnsi="Verdana"/>
          <w:sz w:val="20"/>
          <w:szCs w:val="20"/>
        </w:rPr>
        <w:t xml:space="preserve">e hizo énfasis en que la entonces consultora jurídica de la Vicepresidencia </w:t>
      </w:r>
      <w:r w:rsidR="00DE52A0" w:rsidRPr="006A0A3F">
        <w:rPr>
          <w:rFonts w:ascii="Verdana" w:hAnsi="Verdana"/>
          <w:sz w:val="20"/>
          <w:szCs w:val="20"/>
        </w:rPr>
        <w:t xml:space="preserve">le advirtió </w:t>
      </w:r>
      <w:r w:rsidR="00D82EED" w:rsidRPr="006A0A3F">
        <w:rPr>
          <w:rFonts w:ascii="Verdana" w:hAnsi="Verdana"/>
          <w:sz w:val="20"/>
          <w:szCs w:val="20"/>
        </w:rPr>
        <w:t>que su firma “</w:t>
      </w:r>
      <w:r w:rsidR="00241316" w:rsidRPr="006A0A3F">
        <w:rPr>
          <w:rFonts w:ascii="Verdana" w:hAnsi="Verdana"/>
          <w:sz w:val="20"/>
          <w:szCs w:val="20"/>
        </w:rPr>
        <w:t>tendría consecuencias</w:t>
      </w:r>
      <w:r w:rsidR="00D82EED" w:rsidRPr="006A0A3F">
        <w:rPr>
          <w:rFonts w:ascii="Verdana" w:hAnsi="Verdana"/>
          <w:sz w:val="20"/>
          <w:szCs w:val="20"/>
        </w:rPr>
        <w:t>”</w:t>
      </w:r>
      <w:r w:rsidR="00241316" w:rsidRPr="006A0A3F">
        <w:rPr>
          <w:rFonts w:ascii="Verdana" w:hAnsi="Verdana"/>
          <w:sz w:val="20"/>
          <w:szCs w:val="20"/>
        </w:rPr>
        <w:t xml:space="preserve"> en </w:t>
      </w:r>
      <w:r w:rsidR="00DE52A0" w:rsidRPr="006A0A3F">
        <w:rPr>
          <w:rFonts w:ascii="Verdana" w:hAnsi="Verdana"/>
          <w:sz w:val="20"/>
          <w:szCs w:val="20"/>
        </w:rPr>
        <w:t>su</w:t>
      </w:r>
      <w:r w:rsidR="00241316" w:rsidRPr="006A0A3F">
        <w:rPr>
          <w:rFonts w:ascii="Verdana" w:hAnsi="Verdana"/>
          <w:sz w:val="20"/>
          <w:szCs w:val="20"/>
        </w:rPr>
        <w:t xml:space="preserve"> labor docente en la Escuela Superior de Guerra Naval</w:t>
      </w:r>
      <w:r w:rsidR="00D82EED" w:rsidRPr="006A0A3F">
        <w:rPr>
          <w:rFonts w:ascii="Verdana" w:hAnsi="Verdana"/>
          <w:sz w:val="20"/>
          <w:szCs w:val="20"/>
        </w:rPr>
        <w:t>, pues tanto ella como quien era su pareja en ese momento</w:t>
      </w:r>
      <w:r w:rsidR="00C07EC9" w:rsidRPr="006A0A3F">
        <w:rPr>
          <w:rFonts w:ascii="Verdana" w:hAnsi="Verdana"/>
          <w:sz w:val="20"/>
          <w:szCs w:val="20"/>
        </w:rPr>
        <w:t xml:space="preserve"> (funcionario de la Fuerza Armada Nacional)</w:t>
      </w:r>
      <w:r w:rsidR="00D82EED" w:rsidRPr="006A0A3F">
        <w:rPr>
          <w:rFonts w:ascii="Verdana" w:hAnsi="Verdana"/>
          <w:sz w:val="20"/>
          <w:szCs w:val="20"/>
        </w:rPr>
        <w:t xml:space="preserve"> </w:t>
      </w:r>
      <w:r w:rsidR="00241316" w:rsidRPr="006A0A3F">
        <w:rPr>
          <w:rFonts w:ascii="Verdana" w:hAnsi="Verdana"/>
          <w:sz w:val="20"/>
          <w:szCs w:val="20"/>
        </w:rPr>
        <w:t>se</w:t>
      </w:r>
      <w:r w:rsidR="00D82EED" w:rsidRPr="006A0A3F">
        <w:rPr>
          <w:rFonts w:ascii="Verdana" w:hAnsi="Verdana"/>
          <w:sz w:val="20"/>
          <w:szCs w:val="20"/>
        </w:rPr>
        <w:t>rían despedidos, como en efecto ocurrió. Asimismo, se refirió a</w:t>
      </w:r>
      <w:r w:rsidR="00CC4877" w:rsidRPr="006A0A3F">
        <w:rPr>
          <w:rFonts w:ascii="Verdana" w:hAnsi="Verdana"/>
          <w:sz w:val="20"/>
          <w:szCs w:val="20"/>
        </w:rPr>
        <w:t xml:space="preserve"> amenazas que habría sufrido y a </w:t>
      </w:r>
      <w:r w:rsidR="00D82EED" w:rsidRPr="006A0A3F">
        <w:rPr>
          <w:rFonts w:ascii="Verdana" w:hAnsi="Verdana"/>
          <w:sz w:val="20"/>
          <w:szCs w:val="20"/>
        </w:rPr>
        <w:t xml:space="preserve">la estigmatización </w:t>
      </w:r>
      <w:r w:rsidR="00C07EC9" w:rsidRPr="006A0A3F">
        <w:rPr>
          <w:rFonts w:ascii="Verdana" w:hAnsi="Verdana"/>
          <w:sz w:val="20"/>
          <w:szCs w:val="20"/>
        </w:rPr>
        <w:t>generada por su búsqueda de justicia</w:t>
      </w:r>
      <w:r w:rsidR="00AD294D" w:rsidRPr="006A0A3F">
        <w:rPr>
          <w:rFonts w:ascii="Verdana" w:hAnsi="Verdana"/>
          <w:sz w:val="20"/>
          <w:szCs w:val="20"/>
        </w:rPr>
        <w:t>,</w:t>
      </w:r>
      <w:r w:rsidR="00C07EC9" w:rsidRPr="006A0A3F">
        <w:rPr>
          <w:rFonts w:ascii="Verdana" w:hAnsi="Verdana"/>
          <w:sz w:val="20"/>
          <w:szCs w:val="20"/>
        </w:rPr>
        <w:t xml:space="preserve"> pues “no es conveniente estar con una persona que está reclamando públicamente un derecho, especialmente en </w:t>
      </w:r>
      <w:r w:rsidR="00DE52A0" w:rsidRPr="006A0A3F">
        <w:rPr>
          <w:rFonts w:ascii="Verdana" w:hAnsi="Verdana"/>
          <w:sz w:val="20"/>
          <w:szCs w:val="20"/>
        </w:rPr>
        <w:t xml:space="preserve">un </w:t>
      </w:r>
      <w:r w:rsidR="00C07EC9" w:rsidRPr="006A0A3F">
        <w:rPr>
          <w:rFonts w:ascii="Verdana" w:hAnsi="Verdana"/>
          <w:sz w:val="20"/>
          <w:szCs w:val="20"/>
        </w:rPr>
        <w:t>país t</w:t>
      </w:r>
      <w:r w:rsidR="00F14338" w:rsidRPr="006A0A3F">
        <w:rPr>
          <w:rFonts w:ascii="Verdana" w:hAnsi="Verdana"/>
          <w:sz w:val="20"/>
          <w:szCs w:val="20"/>
        </w:rPr>
        <w:t xml:space="preserve">an polarizado como Venezuela”. </w:t>
      </w:r>
      <w:r w:rsidR="00D23C93" w:rsidRPr="006A0A3F">
        <w:rPr>
          <w:rFonts w:ascii="Verdana" w:hAnsi="Verdana"/>
          <w:sz w:val="20"/>
          <w:szCs w:val="20"/>
        </w:rPr>
        <w:t xml:space="preserve">Por su parte, </w:t>
      </w:r>
      <w:r w:rsidR="00EB5980" w:rsidRPr="006A0A3F">
        <w:rPr>
          <w:rFonts w:ascii="Verdana" w:hAnsi="Verdana"/>
          <w:sz w:val="20"/>
          <w:szCs w:val="20"/>
        </w:rPr>
        <w:t xml:space="preserve">la señora </w:t>
      </w:r>
      <w:r w:rsidR="00AD294D" w:rsidRPr="006A0A3F">
        <w:rPr>
          <w:rFonts w:ascii="Verdana" w:hAnsi="Verdana"/>
          <w:sz w:val="20"/>
          <w:szCs w:val="20"/>
        </w:rPr>
        <w:t xml:space="preserve">Coromoto </w:t>
      </w:r>
      <w:r w:rsidR="00D23C93" w:rsidRPr="006A0A3F">
        <w:rPr>
          <w:rFonts w:ascii="Verdana" w:hAnsi="Verdana"/>
          <w:sz w:val="20"/>
          <w:szCs w:val="20"/>
        </w:rPr>
        <w:t>Peña</w:t>
      </w:r>
      <w:r w:rsidR="00EB5980" w:rsidRPr="006A0A3F">
        <w:rPr>
          <w:rFonts w:ascii="Verdana" w:hAnsi="Verdana"/>
          <w:sz w:val="20"/>
          <w:szCs w:val="20"/>
        </w:rPr>
        <w:t xml:space="preserve"> reiteró en su declaración</w:t>
      </w:r>
      <w:r w:rsidRPr="006A0A3F">
        <w:rPr>
          <w:rFonts w:ascii="Verdana" w:hAnsi="Verdana"/>
          <w:sz w:val="20"/>
          <w:szCs w:val="20"/>
        </w:rPr>
        <w:t xml:space="preserve"> que, tal como se lo dijeron</w:t>
      </w:r>
      <w:r w:rsidR="00D23C93" w:rsidRPr="006A0A3F">
        <w:rPr>
          <w:rFonts w:ascii="Verdana" w:hAnsi="Verdana"/>
          <w:sz w:val="20"/>
          <w:szCs w:val="20"/>
        </w:rPr>
        <w:t xml:space="preserve"> </w:t>
      </w:r>
      <w:r w:rsidRPr="006A0A3F">
        <w:rPr>
          <w:rFonts w:ascii="Verdana" w:hAnsi="Verdana"/>
          <w:sz w:val="20"/>
          <w:szCs w:val="20"/>
        </w:rPr>
        <w:t xml:space="preserve">su </w:t>
      </w:r>
      <w:r w:rsidR="00D23C93" w:rsidRPr="006A0A3F">
        <w:rPr>
          <w:rFonts w:ascii="Verdana" w:hAnsi="Verdana"/>
          <w:sz w:val="20"/>
          <w:szCs w:val="20"/>
        </w:rPr>
        <w:t>superior al momento de</w:t>
      </w:r>
      <w:r w:rsidR="00EB5980" w:rsidRPr="006A0A3F">
        <w:rPr>
          <w:rFonts w:ascii="Verdana" w:hAnsi="Verdana"/>
          <w:sz w:val="20"/>
          <w:szCs w:val="20"/>
        </w:rPr>
        <w:t xml:space="preserve"> </w:t>
      </w:r>
      <w:r w:rsidR="00D23C93" w:rsidRPr="006A0A3F">
        <w:rPr>
          <w:rFonts w:ascii="Verdana" w:hAnsi="Verdana"/>
          <w:sz w:val="20"/>
          <w:szCs w:val="20"/>
        </w:rPr>
        <w:t>entr</w:t>
      </w:r>
      <w:r w:rsidRPr="006A0A3F">
        <w:rPr>
          <w:rFonts w:ascii="Verdana" w:hAnsi="Verdana"/>
          <w:sz w:val="20"/>
          <w:szCs w:val="20"/>
        </w:rPr>
        <w:t>egarl</w:t>
      </w:r>
      <w:r w:rsidR="00EB5980" w:rsidRPr="006A0A3F">
        <w:rPr>
          <w:rFonts w:ascii="Verdana" w:hAnsi="Verdana"/>
          <w:sz w:val="20"/>
          <w:szCs w:val="20"/>
        </w:rPr>
        <w:t>e la carta</w:t>
      </w:r>
      <w:r w:rsidRPr="006A0A3F">
        <w:rPr>
          <w:rFonts w:ascii="Verdana" w:hAnsi="Verdana"/>
          <w:sz w:val="20"/>
          <w:szCs w:val="20"/>
        </w:rPr>
        <w:t xml:space="preserve"> y sus</w:t>
      </w:r>
      <w:r w:rsidR="00EB5980" w:rsidRPr="006A0A3F">
        <w:rPr>
          <w:rFonts w:ascii="Verdana" w:hAnsi="Verdana"/>
          <w:sz w:val="20"/>
          <w:szCs w:val="20"/>
        </w:rPr>
        <w:t xml:space="preserve"> compañeros de trabajo</w:t>
      </w:r>
      <w:r w:rsidRPr="006A0A3F">
        <w:rPr>
          <w:rFonts w:ascii="Verdana" w:hAnsi="Verdana"/>
          <w:sz w:val="20"/>
          <w:szCs w:val="20"/>
        </w:rPr>
        <w:t>, “</w:t>
      </w:r>
      <w:r w:rsidR="00D23C93" w:rsidRPr="006A0A3F">
        <w:rPr>
          <w:rFonts w:ascii="Verdana" w:hAnsi="Verdana"/>
          <w:sz w:val="20"/>
          <w:szCs w:val="20"/>
        </w:rPr>
        <w:t>era conocidos por todos en el</w:t>
      </w:r>
      <w:r w:rsidR="00EB5980" w:rsidRPr="006A0A3F">
        <w:rPr>
          <w:rFonts w:ascii="Verdana" w:hAnsi="Verdana"/>
          <w:sz w:val="20"/>
          <w:szCs w:val="20"/>
        </w:rPr>
        <w:t xml:space="preserve"> </w:t>
      </w:r>
      <w:r w:rsidR="00D23C93" w:rsidRPr="006A0A3F">
        <w:rPr>
          <w:rFonts w:ascii="Verdana" w:hAnsi="Verdana"/>
          <w:sz w:val="20"/>
          <w:szCs w:val="20"/>
        </w:rPr>
        <w:t xml:space="preserve">Palacio de Miraflores que quien apareciera en la Lista </w:t>
      </w:r>
      <w:proofErr w:type="spellStart"/>
      <w:r w:rsidR="00D23C93" w:rsidRPr="006A0A3F">
        <w:rPr>
          <w:rFonts w:ascii="Verdana" w:hAnsi="Verdana"/>
          <w:sz w:val="20"/>
          <w:szCs w:val="20"/>
        </w:rPr>
        <w:t>Tascón</w:t>
      </w:r>
      <w:proofErr w:type="spellEnd"/>
      <w:r w:rsidR="00EB5980" w:rsidRPr="006A0A3F">
        <w:rPr>
          <w:rFonts w:ascii="Verdana" w:hAnsi="Verdana"/>
          <w:sz w:val="20"/>
          <w:szCs w:val="20"/>
        </w:rPr>
        <w:t xml:space="preserve"> </w:t>
      </w:r>
      <w:r w:rsidR="00D23C93" w:rsidRPr="006A0A3F">
        <w:rPr>
          <w:rFonts w:ascii="Verdana" w:hAnsi="Verdana"/>
          <w:sz w:val="20"/>
          <w:szCs w:val="20"/>
        </w:rPr>
        <w:t>estaba botado”</w:t>
      </w:r>
      <w:r w:rsidR="00EB5980" w:rsidRPr="006A0A3F">
        <w:rPr>
          <w:rFonts w:ascii="Verdana" w:hAnsi="Verdana"/>
          <w:sz w:val="20"/>
          <w:szCs w:val="20"/>
        </w:rPr>
        <w:t xml:space="preserve">. En el mismo sentido se manifestó la señora </w:t>
      </w:r>
      <w:r w:rsidR="00D23C93" w:rsidRPr="006A0A3F">
        <w:rPr>
          <w:rFonts w:ascii="Verdana" w:hAnsi="Verdana"/>
          <w:sz w:val="20"/>
          <w:szCs w:val="20"/>
        </w:rPr>
        <w:t>Chang</w:t>
      </w:r>
      <w:r w:rsidR="00AD294D" w:rsidRPr="006A0A3F">
        <w:rPr>
          <w:rFonts w:ascii="Verdana" w:hAnsi="Verdana"/>
          <w:sz w:val="20"/>
          <w:szCs w:val="20"/>
        </w:rPr>
        <w:t xml:space="preserve"> Girón</w:t>
      </w:r>
      <w:r w:rsidR="00EB5980" w:rsidRPr="006A0A3F">
        <w:rPr>
          <w:rFonts w:ascii="Verdana" w:hAnsi="Verdana"/>
          <w:sz w:val="20"/>
          <w:szCs w:val="20"/>
        </w:rPr>
        <w:t>: “</w:t>
      </w:r>
      <w:r w:rsidRPr="006A0A3F">
        <w:rPr>
          <w:rFonts w:ascii="Verdana" w:hAnsi="Verdana"/>
          <w:sz w:val="20"/>
          <w:szCs w:val="20"/>
        </w:rPr>
        <w:t>d</w:t>
      </w:r>
      <w:r w:rsidR="00D23C93" w:rsidRPr="006A0A3F">
        <w:rPr>
          <w:rFonts w:ascii="Verdana" w:hAnsi="Verdana"/>
          <w:sz w:val="20"/>
          <w:szCs w:val="20"/>
        </w:rPr>
        <w:t xml:space="preserve">e hecho Gabriel </w:t>
      </w:r>
      <w:proofErr w:type="spellStart"/>
      <w:r w:rsidR="00D23C93" w:rsidRPr="006A0A3F">
        <w:rPr>
          <w:rFonts w:ascii="Verdana" w:hAnsi="Verdana"/>
          <w:sz w:val="20"/>
          <w:szCs w:val="20"/>
        </w:rPr>
        <w:t>Ugas</w:t>
      </w:r>
      <w:proofErr w:type="spellEnd"/>
      <w:r w:rsidR="00D23C93" w:rsidRPr="006A0A3F">
        <w:rPr>
          <w:rFonts w:ascii="Verdana" w:hAnsi="Verdana"/>
          <w:sz w:val="20"/>
          <w:szCs w:val="20"/>
        </w:rPr>
        <w:t>, quien era la mano derecha de</w:t>
      </w:r>
      <w:r w:rsidR="00EB5980" w:rsidRPr="006A0A3F">
        <w:rPr>
          <w:rFonts w:ascii="Verdana" w:hAnsi="Verdana"/>
          <w:sz w:val="20"/>
          <w:szCs w:val="20"/>
        </w:rPr>
        <w:t xml:space="preserve"> </w:t>
      </w:r>
      <w:r w:rsidR="00D23C93" w:rsidRPr="006A0A3F">
        <w:rPr>
          <w:rFonts w:ascii="Verdana" w:hAnsi="Verdana"/>
          <w:sz w:val="20"/>
          <w:szCs w:val="20"/>
        </w:rPr>
        <w:t xml:space="preserve">Feijoo </w:t>
      </w:r>
      <w:proofErr w:type="spellStart"/>
      <w:r w:rsidR="00D23C93" w:rsidRPr="006A0A3F">
        <w:rPr>
          <w:rFonts w:ascii="Verdana" w:hAnsi="Verdana"/>
          <w:sz w:val="20"/>
          <w:szCs w:val="20"/>
        </w:rPr>
        <w:t>Colomine</w:t>
      </w:r>
      <w:proofErr w:type="spellEnd"/>
      <w:r w:rsidR="00D23C93" w:rsidRPr="006A0A3F">
        <w:rPr>
          <w:rFonts w:ascii="Verdana" w:hAnsi="Verdana"/>
          <w:sz w:val="20"/>
          <w:szCs w:val="20"/>
        </w:rPr>
        <w:t>, me había dicho unos días antes de que me</w:t>
      </w:r>
      <w:r w:rsidR="00EB5980" w:rsidRPr="006A0A3F">
        <w:rPr>
          <w:rFonts w:ascii="Verdana" w:hAnsi="Verdana"/>
          <w:sz w:val="20"/>
          <w:szCs w:val="20"/>
        </w:rPr>
        <w:t xml:space="preserve"> </w:t>
      </w:r>
      <w:r w:rsidR="00D23C93" w:rsidRPr="006A0A3F">
        <w:rPr>
          <w:rFonts w:ascii="Verdana" w:hAnsi="Verdana"/>
          <w:sz w:val="20"/>
          <w:szCs w:val="20"/>
        </w:rPr>
        <w:t xml:space="preserve">entregaran mi carta, que </w:t>
      </w:r>
      <w:r w:rsidR="006B7AD9" w:rsidRPr="006A0A3F">
        <w:rPr>
          <w:rFonts w:ascii="Verdana" w:hAnsi="Verdana"/>
          <w:sz w:val="20"/>
          <w:szCs w:val="20"/>
        </w:rPr>
        <w:t>Thais</w:t>
      </w:r>
      <w:r w:rsidR="00D23C93" w:rsidRPr="006A0A3F">
        <w:rPr>
          <w:rFonts w:ascii="Verdana" w:hAnsi="Verdana"/>
          <w:sz w:val="20"/>
          <w:szCs w:val="20"/>
        </w:rPr>
        <w:t xml:space="preserve"> Peña y Rocío San</w:t>
      </w:r>
      <w:r w:rsidR="00EB5980" w:rsidRPr="006A0A3F">
        <w:rPr>
          <w:rFonts w:ascii="Verdana" w:hAnsi="Verdana"/>
          <w:sz w:val="20"/>
          <w:szCs w:val="20"/>
        </w:rPr>
        <w:t xml:space="preserve"> </w:t>
      </w:r>
      <w:r w:rsidR="00D23C93" w:rsidRPr="006A0A3F">
        <w:rPr>
          <w:rFonts w:ascii="Verdana" w:hAnsi="Verdana"/>
          <w:sz w:val="20"/>
          <w:szCs w:val="20"/>
        </w:rPr>
        <w:t>Miguel estaban botadas por firmar. Ya para mediados de marzo,</w:t>
      </w:r>
      <w:r w:rsidR="00EB5980" w:rsidRPr="006A0A3F">
        <w:rPr>
          <w:rFonts w:ascii="Verdana" w:hAnsi="Verdana"/>
          <w:sz w:val="20"/>
          <w:szCs w:val="20"/>
        </w:rPr>
        <w:t xml:space="preserve"> </w:t>
      </w:r>
      <w:r w:rsidR="00D23C93" w:rsidRPr="006A0A3F">
        <w:rPr>
          <w:rFonts w:ascii="Verdana" w:hAnsi="Verdana"/>
          <w:sz w:val="20"/>
          <w:szCs w:val="20"/>
        </w:rPr>
        <w:t>todos sabíamos en el Palacio Blanco de Miraflores que los que</w:t>
      </w:r>
      <w:r w:rsidR="00EB5980" w:rsidRPr="006A0A3F">
        <w:rPr>
          <w:rFonts w:ascii="Verdana" w:hAnsi="Verdana"/>
          <w:sz w:val="20"/>
          <w:szCs w:val="20"/>
        </w:rPr>
        <w:t xml:space="preserve"> </w:t>
      </w:r>
      <w:r w:rsidR="00AD294D" w:rsidRPr="006A0A3F">
        <w:rPr>
          <w:rFonts w:ascii="Verdana" w:hAnsi="Verdana"/>
          <w:sz w:val="20"/>
          <w:szCs w:val="20"/>
        </w:rPr>
        <w:t>hubiésemos firmado contra el P</w:t>
      </w:r>
      <w:r w:rsidR="00D23C93" w:rsidRPr="006A0A3F">
        <w:rPr>
          <w:rFonts w:ascii="Verdana" w:hAnsi="Verdana"/>
          <w:sz w:val="20"/>
          <w:szCs w:val="20"/>
        </w:rPr>
        <w:t>residente estábamos botados”</w:t>
      </w:r>
      <w:r w:rsidR="00F14338" w:rsidRPr="006A0A3F">
        <w:rPr>
          <w:rStyle w:val="FootnoteReference"/>
          <w:rFonts w:ascii="Verdana" w:hAnsi="Verdana"/>
          <w:sz w:val="20"/>
          <w:szCs w:val="20"/>
        </w:rPr>
        <w:footnoteReference w:id="201"/>
      </w:r>
      <w:r w:rsidR="00D23C93" w:rsidRPr="006A0A3F">
        <w:rPr>
          <w:rFonts w:ascii="Verdana" w:hAnsi="Verdana"/>
          <w:sz w:val="20"/>
          <w:szCs w:val="20"/>
        </w:rPr>
        <w:t>.</w:t>
      </w:r>
      <w:r w:rsidR="008865AA" w:rsidRPr="006A0A3F">
        <w:rPr>
          <w:rFonts w:ascii="Verdana" w:hAnsi="Verdana"/>
          <w:sz w:val="20"/>
          <w:szCs w:val="20"/>
        </w:rPr>
        <w:t xml:space="preserve"> Además, dos testigos declararon que la Lista </w:t>
      </w:r>
      <w:proofErr w:type="spellStart"/>
      <w:r w:rsidR="008865AA" w:rsidRPr="006A0A3F">
        <w:rPr>
          <w:rFonts w:ascii="Verdana" w:hAnsi="Verdana"/>
          <w:sz w:val="20"/>
          <w:szCs w:val="20"/>
        </w:rPr>
        <w:t>Tascón</w:t>
      </w:r>
      <w:proofErr w:type="spellEnd"/>
      <w:r w:rsidR="008865AA" w:rsidRPr="006A0A3F">
        <w:rPr>
          <w:rFonts w:ascii="Verdana" w:hAnsi="Verdana"/>
          <w:sz w:val="20"/>
          <w:szCs w:val="20"/>
        </w:rPr>
        <w:t xml:space="preserve"> había sido aplicada en el Consejo Nacional de Fronteras y que los contratos de las presuntas víctimas fueron terminados por haber firmado</w:t>
      </w:r>
      <w:r w:rsidR="008865AA" w:rsidRPr="006A0A3F">
        <w:rPr>
          <w:rStyle w:val="FootnoteReference"/>
          <w:rFonts w:ascii="Verdana" w:hAnsi="Verdana"/>
          <w:sz w:val="20"/>
          <w:szCs w:val="20"/>
        </w:rPr>
        <w:footnoteReference w:id="202"/>
      </w:r>
      <w:r w:rsidR="008865AA" w:rsidRPr="006A0A3F">
        <w:rPr>
          <w:rFonts w:ascii="Verdana" w:hAnsi="Verdana"/>
          <w:sz w:val="20"/>
          <w:szCs w:val="20"/>
        </w:rPr>
        <w:t>.</w:t>
      </w:r>
    </w:p>
    <w:p w14:paraId="2D484D58" w14:textId="77777777" w:rsidR="00DE52A0" w:rsidRPr="006A0A3F" w:rsidRDefault="00DE52A0" w:rsidP="00DE52A0">
      <w:pPr>
        <w:pBdr>
          <w:top w:val="nil"/>
        </w:pBdr>
        <w:spacing w:after="0" w:line="240" w:lineRule="auto"/>
        <w:jc w:val="both"/>
        <w:rPr>
          <w:rFonts w:ascii="Verdana" w:hAnsi="Verdana"/>
          <w:sz w:val="20"/>
          <w:szCs w:val="20"/>
        </w:rPr>
      </w:pPr>
    </w:p>
    <w:p w14:paraId="7538434A" w14:textId="29DCB9D1" w:rsidR="00DE52A0" w:rsidRPr="006A0A3F" w:rsidRDefault="0050029A" w:rsidP="00DE52A0">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Según fue ya considerado (</w:t>
      </w:r>
      <w:r w:rsidRPr="006A0A3F">
        <w:rPr>
          <w:rFonts w:ascii="Verdana" w:hAnsi="Verdana"/>
          <w:i/>
          <w:sz w:val="20"/>
          <w:szCs w:val="20"/>
        </w:rPr>
        <w:t>supra</w:t>
      </w:r>
      <w:r w:rsidR="00170EA6">
        <w:rPr>
          <w:rFonts w:ascii="Verdana" w:hAnsi="Verdana"/>
          <w:sz w:val="20"/>
          <w:szCs w:val="20"/>
        </w:rPr>
        <w:t xml:space="preserve"> párr. 119</w:t>
      </w:r>
      <w:r w:rsidRPr="006A0A3F">
        <w:rPr>
          <w:rFonts w:ascii="Verdana" w:hAnsi="Verdana"/>
          <w:sz w:val="20"/>
          <w:szCs w:val="20"/>
        </w:rPr>
        <w:t xml:space="preserve">), </w:t>
      </w:r>
      <w:r w:rsidR="00DC7494" w:rsidRPr="006A0A3F">
        <w:rPr>
          <w:rFonts w:ascii="Verdana" w:hAnsi="Verdana"/>
          <w:sz w:val="20"/>
          <w:szCs w:val="20"/>
        </w:rPr>
        <w:t>las</w:t>
      </w:r>
      <w:r w:rsidR="00FF2637" w:rsidRPr="006A0A3F">
        <w:rPr>
          <w:rFonts w:ascii="Verdana" w:hAnsi="Verdana"/>
          <w:sz w:val="20"/>
          <w:szCs w:val="20"/>
        </w:rPr>
        <w:t xml:space="preserve"> justificaciones dadas posteriormente por el entonces Secretario de</w:t>
      </w:r>
      <w:r w:rsidR="00DC7494" w:rsidRPr="006A0A3F">
        <w:rPr>
          <w:rFonts w:ascii="Verdana" w:hAnsi="Verdana"/>
          <w:sz w:val="20"/>
          <w:szCs w:val="20"/>
        </w:rPr>
        <w:t>l CNF sobre las razones para terminar los contratos</w:t>
      </w:r>
      <w:r w:rsidR="00FF2637" w:rsidRPr="006A0A3F">
        <w:rPr>
          <w:rFonts w:ascii="Verdana" w:hAnsi="Verdana"/>
          <w:sz w:val="20"/>
          <w:szCs w:val="20"/>
        </w:rPr>
        <w:t xml:space="preserve"> no son consistentes con </w:t>
      </w:r>
      <w:r w:rsidR="001A73B5" w:rsidRPr="006A0A3F">
        <w:rPr>
          <w:rFonts w:ascii="Verdana" w:hAnsi="Verdana"/>
          <w:sz w:val="20"/>
          <w:szCs w:val="20"/>
        </w:rPr>
        <w:t>una supuesta</w:t>
      </w:r>
      <w:r w:rsidR="00DC7494" w:rsidRPr="006A0A3F">
        <w:rPr>
          <w:rFonts w:ascii="Verdana" w:hAnsi="Verdana"/>
          <w:sz w:val="20"/>
          <w:szCs w:val="20"/>
        </w:rPr>
        <w:t xml:space="preserve"> reestructuración de ese organismo </w:t>
      </w:r>
      <w:r w:rsidR="001A73B5" w:rsidRPr="006A0A3F">
        <w:rPr>
          <w:rFonts w:ascii="Verdana" w:hAnsi="Verdana"/>
          <w:sz w:val="20"/>
          <w:szCs w:val="20"/>
        </w:rPr>
        <w:t>o con “una simple reducción de personal”, lo cual no se probó, por lo que no se sostiene que la terminación de los contratos fuese “una simple coincidencia” con el hecho de haber firmado la solicitud, según manifestó dicho funcionario.</w:t>
      </w:r>
      <w:r w:rsidR="009D0524" w:rsidRPr="006A0A3F">
        <w:rPr>
          <w:rFonts w:ascii="Verdana" w:hAnsi="Verdana"/>
          <w:sz w:val="20"/>
          <w:szCs w:val="20"/>
        </w:rPr>
        <w:t xml:space="preserve"> </w:t>
      </w:r>
    </w:p>
    <w:p w14:paraId="67A6D962" w14:textId="77777777" w:rsidR="00DE52A0" w:rsidRPr="006A0A3F" w:rsidRDefault="00DE52A0" w:rsidP="00DE52A0">
      <w:pPr>
        <w:pBdr>
          <w:top w:val="nil"/>
        </w:pBdr>
        <w:spacing w:after="0" w:line="240" w:lineRule="auto"/>
        <w:jc w:val="both"/>
        <w:rPr>
          <w:rFonts w:ascii="Verdana" w:hAnsi="Verdana"/>
          <w:sz w:val="20"/>
          <w:szCs w:val="20"/>
        </w:rPr>
      </w:pPr>
    </w:p>
    <w:p w14:paraId="0375A74F" w14:textId="631AD9C0" w:rsidR="0085568F" w:rsidRPr="00925197" w:rsidRDefault="00BB285B" w:rsidP="0085568F">
      <w:pPr>
        <w:numPr>
          <w:ilvl w:val="0"/>
          <w:numId w:val="4"/>
        </w:numPr>
        <w:pBdr>
          <w:top w:val="nil"/>
        </w:pBdr>
        <w:spacing w:after="0" w:line="240" w:lineRule="auto"/>
        <w:ind w:left="0" w:firstLine="0"/>
        <w:jc w:val="both"/>
        <w:rPr>
          <w:rFonts w:ascii="Verdana" w:eastAsia="Calibri" w:hAnsi="Verdana"/>
          <w:sz w:val="20"/>
        </w:rPr>
      </w:pPr>
      <w:r w:rsidRPr="006A0A3F">
        <w:rPr>
          <w:rFonts w:ascii="Verdana" w:hAnsi="Verdana"/>
          <w:sz w:val="20"/>
          <w:szCs w:val="20"/>
        </w:rPr>
        <w:t xml:space="preserve">Además, fueron aportadas transcripciones y grabaciones de conversaciones telefónicas </w:t>
      </w:r>
      <w:r w:rsidR="00420F0B" w:rsidRPr="006A0A3F">
        <w:rPr>
          <w:rFonts w:ascii="Verdana" w:hAnsi="Verdana"/>
          <w:sz w:val="20"/>
          <w:szCs w:val="20"/>
        </w:rPr>
        <w:t xml:space="preserve">sostenidas en marzo de 2004 </w:t>
      </w:r>
      <w:r w:rsidRPr="006A0A3F">
        <w:rPr>
          <w:rFonts w:ascii="Verdana" w:hAnsi="Verdana"/>
          <w:sz w:val="20"/>
          <w:szCs w:val="20"/>
        </w:rPr>
        <w:t xml:space="preserve">entre la señora San Miguel y </w:t>
      </w:r>
      <w:r w:rsidR="00420F0B" w:rsidRPr="006A0A3F">
        <w:rPr>
          <w:rFonts w:ascii="Verdana" w:hAnsi="Verdana"/>
          <w:sz w:val="20"/>
          <w:szCs w:val="20"/>
        </w:rPr>
        <w:t>los referidos</w:t>
      </w:r>
      <w:r w:rsidRPr="006A0A3F">
        <w:rPr>
          <w:rFonts w:ascii="Verdana" w:hAnsi="Verdana"/>
          <w:sz w:val="20"/>
          <w:szCs w:val="20"/>
        </w:rPr>
        <w:t xml:space="preserve"> Secretario Ejecutivo del CNF y consultora jurídica de la Vicepresidencia, registradas por aquélla, que sugieren </w:t>
      </w:r>
      <w:r w:rsidR="00907A7A" w:rsidRPr="006A0A3F">
        <w:rPr>
          <w:rFonts w:ascii="Verdana" w:hAnsi="Verdana"/>
          <w:sz w:val="20"/>
          <w:szCs w:val="20"/>
        </w:rPr>
        <w:t xml:space="preserve">claramente </w:t>
      </w:r>
      <w:r w:rsidRPr="006A0A3F">
        <w:rPr>
          <w:rFonts w:ascii="Verdana" w:hAnsi="Verdana"/>
          <w:sz w:val="20"/>
          <w:szCs w:val="20"/>
        </w:rPr>
        <w:t>que su participación en la solicitud de referendo fue la causa de la terminación de su contrato</w:t>
      </w:r>
      <w:r w:rsidR="00777B47" w:rsidRPr="006A0A3F">
        <w:rPr>
          <w:rFonts w:ascii="Verdana" w:hAnsi="Verdana"/>
          <w:sz w:val="20"/>
          <w:szCs w:val="20"/>
        </w:rPr>
        <w:t xml:space="preserve"> (</w:t>
      </w:r>
      <w:r w:rsidR="00777B47" w:rsidRPr="006A0A3F">
        <w:rPr>
          <w:rFonts w:ascii="Verdana" w:hAnsi="Verdana"/>
          <w:i/>
          <w:sz w:val="20"/>
          <w:szCs w:val="20"/>
        </w:rPr>
        <w:t xml:space="preserve">supra </w:t>
      </w:r>
      <w:proofErr w:type="spellStart"/>
      <w:r w:rsidR="003A1DCC" w:rsidRPr="006A0A3F">
        <w:rPr>
          <w:rFonts w:ascii="Verdana" w:hAnsi="Verdana"/>
          <w:sz w:val="20"/>
          <w:szCs w:val="20"/>
        </w:rPr>
        <w:t>párrs</w:t>
      </w:r>
      <w:proofErr w:type="spellEnd"/>
      <w:r w:rsidR="003A1DCC" w:rsidRPr="006A0A3F">
        <w:rPr>
          <w:rFonts w:ascii="Verdana" w:hAnsi="Verdana"/>
          <w:sz w:val="20"/>
          <w:szCs w:val="20"/>
        </w:rPr>
        <w:t>. 77 a 79</w:t>
      </w:r>
      <w:r w:rsidR="00777B47" w:rsidRPr="006A0A3F">
        <w:rPr>
          <w:rFonts w:ascii="Verdana" w:hAnsi="Verdana"/>
          <w:sz w:val="20"/>
          <w:szCs w:val="20"/>
        </w:rPr>
        <w:t>)</w:t>
      </w:r>
      <w:r w:rsidRPr="006A0A3F">
        <w:rPr>
          <w:rFonts w:ascii="Verdana" w:hAnsi="Verdana"/>
          <w:sz w:val="20"/>
          <w:szCs w:val="20"/>
        </w:rPr>
        <w:t>. En los términos en que estos elementos documentales han sido admitidos como prueba</w:t>
      </w:r>
      <w:r w:rsidR="00777B47" w:rsidRPr="006A0A3F">
        <w:rPr>
          <w:rFonts w:ascii="Verdana" w:hAnsi="Verdana"/>
          <w:sz w:val="20"/>
          <w:szCs w:val="20"/>
        </w:rPr>
        <w:t xml:space="preserve"> en este procedimiento internacional</w:t>
      </w:r>
      <w:r w:rsidRPr="006A0A3F">
        <w:rPr>
          <w:rFonts w:ascii="Verdana" w:hAnsi="Verdana"/>
          <w:sz w:val="20"/>
          <w:szCs w:val="20"/>
        </w:rPr>
        <w:t xml:space="preserve"> (</w:t>
      </w:r>
      <w:r w:rsidRPr="006A0A3F">
        <w:rPr>
          <w:rFonts w:ascii="Verdana" w:hAnsi="Verdana"/>
          <w:i/>
          <w:sz w:val="20"/>
          <w:szCs w:val="20"/>
        </w:rPr>
        <w:t xml:space="preserve">supra </w:t>
      </w:r>
      <w:proofErr w:type="spellStart"/>
      <w:r w:rsidR="0034063A" w:rsidRPr="006A0A3F">
        <w:rPr>
          <w:rFonts w:ascii="Verdana" w:hAnsi="Verdana"/>
          <w:sz w:val="20"/>
          <w:szCs w:val="20"/>
        </w:rPr>
        <w:t>párrs</w:t>
      </w:r>
      <w:proofErr w:type="spellEnd"/>
      <w:r w:rsidR="0034063A" w:rsidRPr="006A0A3F">
        <w:rPr>
          <w:rFonts w:ascii="Verdana" w:hAnsi="Verdana"/>
          <w:sz w:val="20"/>
          <w:szCs w:val="20"/>
        </w:rPr>
        <w:t>. 28 a 32</w:t>
      </w:r>
      <w:r w:rsidRPr="006A0A3F">
        <w:rPr>
          <w:rFonts w:ascii="Verdana" w:hAnsi="Verdana"/>
          <w:sz w:val="20"/>
          <w:szCs w:val="20"/>
        </w:rPr>
        <w:t>), la Corte considera que son indicios contundentes acerca de la real motivación de la terminación de los contratos</w:t>
      </w:r>
      <w:r w:rsidR="00A13543" w:rsidRPr="006A0A3F">
        <w:rPr>
          <w:rFonts w:ascii="Verdana" w:hAnsi="Verdana"/>
          <w:sz w:val="20"/>
          <w:szCs w:val="20"/>
        </w:rPr>
        <w:t>, a saber</w:t>
      </w:r>
      <w:r w:rsidR="00777B47" w:rsidRPr="006A0A3F">
        <w:rPr>
          <w:rFonts w:ascii="Verdana" w:hAnsi="Verdana"/>
          <w:sz w:val="20"/>
          <w:szCs w:val="20"/>
        </w:rPr>
        <w:t xml:space="preserve">: la “materialización de un elemento de desconfianza” por el hecho de </w:t>
      </w:r>
      <w:r w:rsidR="00DA275B" w:rsidRPr="006A0A3F">
        <w:rPr>
          <w:rFonts w:ascii="Verdana" w:hAnsi="Verdana"/>
          <w:sz w:val="20"/>
          <w:szCs w:val="20"/>
        </w:rPr>
        <w:t xml:space="preserve">que estaban </w:t>
      </w:r>
      <w:r w:rsidR="00777B47" w:rsidRPr="006A0A3F">
        <w:rPr>
          <w:rFonts w:ascii="Verdana" w:hAnsi="Verdana"/>
          <w:sz w:val="20"/>
          <w:szCs w:val="20"/>
        </w:rPr>
        <w:t xml:space="preserve">“firmando para la solicitud de la revocación del mandato del tipo que </w:t>
      </w:r>
      <w:r w:rsidR="00460E39" w:rsidRPr="006A0A3F">
        <w:rPr>
          <w:rFonts w:ascii="Verdana" w:hAnsi="Verdana"/>
          <w:sz w:val="20"/>
          <w:szCs w:val="20"/>
        </w:rPr>
        <w:t xml:space="preserve">[les] </w:t>
      </w:r>
      <w:proofErr w:type="gramStart"/>
      <w:r w:rsidR="00460E39" w:rsidRPr="006A0A3F">
        <w:rPr>
          <w:rFonts w:ascii="Verdana" w:hAnsi="Verdana"/>
          <w:sz w:val="20"/>
          <w:szCs w:val="20"/>
        </w:rPr>
        <w:t>esta[</w:t>
      </w:r>
      <w:proofErr w:type="gramEnd"/>
      <w:r w:rsidR="00460E39" w:rsidRPr="006A0A3F">
        <w:rPr>
          <w:rFonts w:ascii="Verdana" w:hAnsi="Verdana"/>
          <w:sz w:val="20"/>
          <w:szCs w:val="20"/>
        </w:rPr>
        <w:t>aba]</w:t>
      </w:r>
      <w:r w:rsidR="00777B47" w:rsidRPr="006A0A3F">
        <w:rPr>
          <w:rFonts w:ascii="Verdana" w:hAnsi="Verdana"/>
          <w:sz w:val="20"/>
          <w:szCs w:val="20"/>
        </w:rPr>
        <w:t xml:space="preserve"> pagando y </w:t>
      </w:r>
      <w:r w:rsidR="00460E39" w:rsidRPr="006A0A3F">
        <w:rPr>
          <w:rFonts w:ascii="Verdana" w:hAnsi="Verdana"/>
          <w:sz w:val="20"/>
          <w:szCs w:val="20"/>
        </w:rPr>
        <w:t xml:space="preserve">[las] </w:t>
      </w:r>
      <w:proofErr w:type="spellStart"/>
      <w:r w:rsidR="00460E39" w:rsidRPr="006A0A3F">
        <w:rPr>
          <w:rFonts w:ascii="Verdana" w:hAnsi="Verdana"/>
          <w:sz w:val="20"/>
          <w:szCs w:val="20"/>
        </w:rPr>
        <w:t>est</w:t>
      </w:r>
      <w:proofErr w:type="spellEnd"/>
      <w:r w:rsidR="00460E39" w:rsidRPr="006A0A3F">
        <w:rPr>
          <w:rFonts w:ascii="Verdana" w:hAnsi="Verdana"/>
          <w:sz w:val="20"/>
          <w:szCs w:val="20"/>
        </w:rPr>
        <w:t>[aba]</w:t>
      </w:r>
      <w:r w:rsidR="00777B47" w:rsidRPr="006A0A3F">
        <w:rPr>
          <w:rFonts w:ascii="Verdana" w:hAnsi="Verdana"/>
          <w:sz w:val="20"/>
          <w:szCs w:val="20"/>
        </w:rPr>
        <w:t xml:space="preserve"> contratando”</w:t>
      </w:r>
      <w:r w:rsidR="00ED71C6" w:rsidRPr="006A0A3F">
        <w:rPr>
          <w:rFonts w:ascii="Verdana" w:hAnsi="Verdana"/>
          <w:sz w:val="20"/>
          <w:szCs w:val="20"/>
        </w:rPr>
        <w:t xml:space="preserve">. </w:t>
      </w:r>
      <w:r w:rsidR="00F33462" w:rsidRPr="006A0A3F">
        <w:rPr>
          <w:rFonts w:ascii="Verdana" w:eastAsia="Calibri" w:hAnsi="Verdana"/>
          <w:sz w:val="20"/>
        </w:rPr>
        <w:t>Se destaca</w:t>
      </w:r>
      <w:r w:rsidR="00DE52A0" w:rsidRPr="006A0A3F">
        <w:rPr>
          <w:rFonts w:ascii="Verdana" w:eastAsia="Calibri" w:hAnsi="Verdana"/>
          <w:sz w:val="20"/>
        </w:rPr>
        <w:t xml:space="preserve"> que a las presuntas víctimas les fuera sugerido, por </w:t>
      </w:r>
      <w:r w:rsidR="0085568F" w:rsidRPr="006A0A3F">
        <w:rPr>
          <w:rFonts w:ascii="Verdana" w:eastAsia="Calibri" w:hAnsi="Verdana"/>
          <w:sz w:val="20"/>
        </w:rPr>
        <w:t>dichos funcionarios</w:t>
      </w:r>
      <w:r w:rsidR="00DE52A0" w:rsidRPr="006A0A3F">
        <w:rPr>
          <w:rFonts w:ascii="Verdana" w:eastAsia="Calibri" w:hAnsi="Verdana"/>
          <w:sz w:val="20"/>
        </w:rPr>
        <w:t xml:space="preserve">, </w:t>
      </w:r>
      <w:r w:rsidR="0085568F" w:rsidRPr="006A0A3F">
        <w:rPr>
          <w:rFonts w:ascii="Verdana" w:eastAsia="Calibri" w:hAnsi="Verdana"/>
          <w:sz w:val="20"/>
        </w:rPr>
        <w:t>que tal decisión podía c</w:t>
      </w:r>
      <w:r w:rsidR="00F33462" w:rsidRPr="006A0A3F">
        <w:rPr>
          <w:rFonts w:ascii="Verdana" w:eastAsia="Calibri" w:hAnsi="Verdana"/>
          <w:sz w:val="20"/>
        </w:rPr>
        <w:t>ambiar si retiraban sus firmas y</w:t>
      </w:r>
      <w:r w:rsidR="0085568F" w:rsidRPr="006A0A3F">
        <w:rPr>
          <w:rFonts w:ascii="Verdana" w:eastAsia="Calibri" w:hAnsi="Verdana"/>
          <w:sz w:val="20"/>
        </w:rPr>
        <w:t xml:space="preserve"> es irrelevante que</w:t>
      </w:r>
      <w:r w:rsidR="00640B91">
        <w:rPr>
          <w:rFonts w:ascii="Verdana" w:eastAsia="Calibri" w:hAnsi="Verdana"/>
          <w:sz w:val="20"/>
        </w:rPr>
        <w:t>,</w:t>
      </w:r>
      <w:r w:rsidR="0085568F" w:rsidRPr="006A0A3F">
        <w:rPr>
          <w:rFonts w:ascii="Verdana" w:eastAsia="Calibri" w:hAnsi="Verdana"/>
          <w:sz w:val="20"/>
        </w:rPr>
        <w:t xml:space="preserve"> en ese momento</w:t>
      </w:r>
      <w:r w:rsidR="00640B91">
        <w:rPr>
          <w:rFonts w:ascii="Verdana" w:eastAsia="Calibri" w:hAnsi="Verdana"/>
          <w:sz w:val="20"/>
        </w:rPr>
        <w:t>,</w:t>
      </w:r>
      <w:r w:rsidR="0085568F" w:rsidRPr="006A0A3F">
        <w:rPr>
          <w:rFonts w:ascii="Verdana" w:eastAsia="Calibri" w:hAnsi="Verdana"/>
          <w:sz w:val="20"/>
        </w:rPr>
        <w:t xml:space="preserve"> aún </w:t>
      </w:r>
      <w:r w:rsidR="00DC7494" w:rsidRPr="006A0A3F">
        <w:rPr>
          <w:rFonts w:ascii="Verdana" w:eastAsia="Calibri" w:hAnsi="Verdana"/>
          <w:sz w:val="20"/>
        </w:rPr>
        <w:t xml:space="preserve">el </w:t>
      </w:r>
      <w:r w:rsidR="00196447" w:rsidRPr="006A0A3F">
        <w:rPr>
          <w:rFonts w:ascii="Verdana" w:hAnsi="Verdana"/>
          <w:sz w:val="20"/>
          <w:szCs w:val="20"/>
        </w:rPr>
        <w:t>Consejo Nacional Electoral</w:t>
      </w:r>
      <w:r w:rsidR="00196447" w:rsidRPr="006A0A3F">
        <w:rPr>
          <w:rFonts w:ascii="Verdana" w:eastAsia="Calibri" w:hAnsi="Verdana"/>
          <w:sz w:val="20"/>
        </w:rPr>
        <w:t xml:space="preserve"> </w:t>
      </w:r>
      <w:r w:rsidR="0085568F" w:rsidRPr="006A0A3F">
        <w:rPr>
          <w:rFonts w:ascii="Verdana" w:eastAsia="Calibri" w:hAnsi="Verdana"/>
          <w:sz w:val="20"/>
        </w:rPr>
        <w:t xml:space="preserve">no </w:t>
      </w:r>
      <w:r w:rsidR="00DC7494" w:rsidRPr="006A0A3F">
        <w:rPr>
          <w:rFonts w:ascii="Verdana" w:eastAsia="Calibri" w:hAnsi="Verdana"/>
          <w:sz w:val="20"/>
        </w:rPr>
        <w:t xml:space="preserve">hubiese publicado </w:t>
      </w:r>
      <w:r w:rsidR="0085568F" w:rsidRPr="006A0A3F">
        <w:rPr>
          <w:rFonts w:ascii="Verdana" w:eastAsia="Calibri" w:hAnsi="Verdana"/>
          <w:sz w:val="20"/>
        </w:rPr>
        <w:t>que convocaría a un procedimiento de “reparos” de las firmas.</w:t>
      </w:r>
      <w:r w:rsidR="0017277E" w:rsidRPr="006A0A3F">
        <w:rPr>
          <w:rFonts w:ascii="Verdana" w:hAnsi="Verdana"/>
          <w:b/>
          <w:color w:val="000000"/>
          <w:sz w:val="20"/>
          <w:szCs w:val="20"/>
        </w:rPr>
        <w:t xml:space="preserve"> </w:t>
      </w:r>
    </w:p>
    <w:p w14:paraId="549C8E0A" w14:textId="77777777" w:rsidR="00925197" w:rsidRPr="006A0A3F" w:rsidRDefault="00925197" w:rsidP="00925197">
      <w:pPr>
        <w:pBdr>
          <w:top w:val="nil"/>
        </w:pBdr>
        <w:spacing w:after="0" w:line="240" w:lineRule="auto"/>
        <w:jc w:val="both"/>
        <w:rPr>
          <w:rFonts w:ascii="Verdana" w:eastAsia="Calibri" w:hAnsi="Verdana"/>
          <w:sz w:val="20"/>
        </w:rPr>
      </w:pPr>
    </w:p>
    <w:p w14:paraId="01E9731F" w14:textId="3BBA1089" w:rsidR="0004380B" w:rsidRPr="006A0A3F" w:rsidRDefault="00185810" w:rsidP="006D7B01">
      <w:pPr>
        <w:pBdr>
          <w:top w:val="nil"/>
        </w:pBdr>
        <w:autoSpaceDE w:val="0"/>
        <w:autoSpaceDN w:val="0"/>
        <w:adjustRightInd w:val="0"/>
        <w:spacing w:after="0" w:line="240" w:lineRule="auto"/>
        <w:ind w:left="1413" w:hanging="705"/>
        <w:jc w:val="both"/>
        <w:rPr>
          <w:rFonts w:ascii="Verdana" w:hAnsi="Verdana"/>
          <w:b/>
          <w:i/>
          <w:sz w:val="20"/>
        </w:rPr>
      </w:pPr>
      <w:r w:rsidRPr="006A0A3F">
        <w:rPr>
          <w:rFonts w:ascii="Verdana" w:hAnsi="Verdana"/>
          <w:b/>
          <w:i/>
          <w:sz w:val="20"/>
        </w:rPr>
        <w:t>iii.</w:t>
      </w:r>
      <w:r w:rsidRPr="006A0A3F">
        <w:rPr>
          <w:rFonts w:ascii="Verdana" w:hAnsi="Verdana"/>
          <w:b/>
          <w:i/>
          <w:sz w:val="20"/>
        </w:rPr>
        <w:tab/>
        <w:t xml:space="preserve">Declaraciones del Presidente y otros </w:t>
      </w:r>
      <w:r w:rsidR="009B0103" w:rsidRPr="006A0A3F">
        <w:rPr>
          <w:rFonts w:ascii="Verdana" w:hAnsi="Verdana"/>
          <w:b/>
          <w:i/>
          <w:sz w:val="20"/>
        </w:rPr>
        <w:t xml:space="preserve">altos </w:t>
      </w:r>
      <w:r w:rsidRPr="006A0A3F">
        <w:rPr>
          <w:rFonts w:ascii="Verdana" w:hAnsi="Verdana"/>
          <w:b/>
          <w:i/>
          <w:sz w:val="20"/>
        </w:rPr>
        <w:t>funcionarios</w:t>
      </w:r>
      <w:r w:rsidR="00B409A0" w:rsidRPr="006A0A3F">
        <w:rPr>
          <w:rFonts w:ascii="Verdana" w:hAnsi="Verdana"/>
          <w:b/>
          <w:i/>
          <w:sz w:val="20"/>
        </w:rPr>
        <w:t xml:space="preserve"> luego de la lista </w:t>
      </w:r>
      <w:proofErr w:type="spellStart"/>
      <w:r w:rsidR="00B409A0" w:rsidRPr="006A0A3F">
        <w:rPr>
          <w:rFonts w:ascii="Verdana" w:hAnsi="Verdana"/>
          <w:b/>
          <w:i/>
          <w:sz w:val="20"/>
        </w:rPr>
        <w:t>Tascón</w:t>
      </w:r>
      <w:proofErr w:type="spellEnd"/>
      <w:r w:rsidRPr="006A0A3F">
        <w:rPr>
          <w:rFonts w:ascii="Verdana" w:hAnsi="Verdana"/>
          <w:b/>
          <w:i/>
          <w:sz w:val="20"/>
        </w:rPr>
        <w:t xml:space="preserve"> y d</w:t>
      </w:r>
      <w:r w:rsidR="0004380B" w:rsidRPr="006A0A3F">
        <w:rPr>
          <w:rFonts w:ascii="Verdana" w:hAnsi="Verdana"/>
          <w:b/>
          <w:i/>
          <w:sz w:val="20"/>
        </w:rPr>
        <w:t xml:space="preserve">enuncias de despidos arbitrarios en el sector público </w:t>
      </w:r>
    </w:p>
    <w:p w14:paraId="03E8E5D9" w14:textId="14B2092A" w:rsidR="008F5D4F" w:rsidRPr="006A0A3F" w:rsidRDefault="008F5D4F" w:rsidP="008329C2">
      <w:pPr>
        <w:pBdr>
          <w:top w:val="nil"/>
        </w:pBdr>
        <w:spacing w:after="0" w:line="240" w:lineRule="auto"/>
        <w:jc w:val="both"/>
        <w:rPr>
          <w:rFonts w:ascii="Verdana" w:eastAsia="Calibri" w:hAnsi="Verdana"/>
          <w:sz w:val="20"/>
        </w:rPr>
      </w:pPr>
    </w:p>
    <w:p w14:paraId="73EB3919" w14:textId="22836F67" w:rsidR="00B409A0" w:rsidRPr="006A0A3F" w:rsidRDefault="005E3957" w:rsidP="00B409A0">
      <w:pPr>
        <w:numPr>
          <w:ilvl w:val="0"/>
          <w:numId w:val="4"/>
        </w:numPr>
        <w:pBdr>
          <w:top w:val="nil"/>
        </w:pBdr>
        <w:spacing w:after="0" w:line="240" w:lineRule="auto"/>
        <w:ind w:left="0" w:firstLine="0"/>
        <w:jc w:val="both"/>
        <w:rPr>
          <w:rFonts w:ascii="Verdana" w:eastAsia="Calibri" w:hAnsi="Verdana"/>
          <w:sz w:val="20"/>
        </w:rPr>
      </w:pPr>
      <w:r w:rsidRPr="006A0A3F">
        <w:rPr>
          <w:rFonts w:ascii="Verdana" w:eastAsia="Calibri" w:hAnsi="Verdana"/>
          <w:sz w:val="20"/>
        </w:rPr>
        <w:t>E</w:t>
      </w:r>
      <w:r w:rsidR="008329C2" w:rsidRPr="006A0A3F">
        <w:rPr>
          <w:rFonts w:ascii="Verdana" w:eastAsia="Calibri" w:hAnsi="Verdana"/>
          <w:sz w:val="20"/>
        </w:rPr>
        <w:t xml:space="preserve">n ese período entre la publicación de la lista </w:t>
      </w:r>
      <w:proofErr w:type="spellStart"/>
      <w:r w:rsidR="008329C2" w:rsidRPr="006A0A3F">
        <w:rPr>
          <w:rFonts w:ascii="Verdana" w:eastAsia="Calibri" w:hAnsi="Verdana"/>
          <w:sz w:val="20"/>
        </w:rPr>
        <w:t>Tascón</w:t>
      </w:r>
      <w:proofErr w:type="spellEnd"/>
      <w:r w:rsidR="00B409A0" w:rsidRPr="006A0A3F">
        <w:rPr>
          <w:rFonts w:ascii="Verdana" w:eastAsia="Calibri" w:hAnsi="Verdana"/>
          <w:sz w:val="20"/>
        </w:rPr>
        <w:t>, la terminación de los contratos de las presuntas víctimas</w:t>
      </w:r>
      <w:r w:rsidR="008329C2" w:rsidRPr="006A0A3F">
        <w:rPr>
          <w:rFonts w:ascii="Verdana" w:eastAsia="Calibri" w:hAnsi="Verdana"/>
          <w:sz w:val="20"/>
        </w:rPr>
        <w:t xml:space="preserve"> y </w:t>
      </w:r>
      <w:r w:rsidR="008329C2" w:rsidRPr="006A0A3F">
        <w:rPr>
          <w:rFonts w:ascii="Verdana" w:hAnsi="Verdana"/>
          <w:sz w:val="20"/>
          <w:szCs w:val="20"/>
        </w:rPr>
        <w:t xml:space="preserve">la celebración del referendo, </w:t>
      </w:r>
      <w:r w:rsidR="00B409A0" w:rsidRPr="006A0A3F">
        <w:rPr>
          <w:rFonts w:ascii="Verdana" w:hAnsi="Verdana"/>
          <w:sz w:val="20"/>
          <w:szCs w:val="20"/>
        </w:rPr>
        <w:t xml:space="preserve">el </w:t>
      </w:r>
      <w:r w:rsidR="00196447" w:rsidRPr="006A0A3F">
        <w:rPr>
          <w:rFonts w:ascii="Verdana" w:hAnsi="Verdana"/>
          <w:sz w:val="20"/>
          <w:szCs w:val="20"/>
        </w:rPr>
        <w:t xml:space="preserve">Consejo Nacional Electoral </w:t>
      </w:r>
      <w:r w:rsidR="00B409A0" w:rsidRPr="006A0A3F">
        <w:rPr>
          <w:rFonts w:ascii="Verdana" w:hAnsi="Verdana"/>
          <w:sz w:val="20"/>
          <w:szCs w:val="20"/>
        </w:rPr>
        <w:t xml:space="preserve">dispuso un </w:t>
      </w:r>
      <w:r w:rsidR="00B409A0" w:rsidRPr="006A0A3F">
        <w:rPr>
          <w:rFonts w:ascii="Verdana" w:eastAsia="Calibri" w:hAnsi="Verdana"/>
          <w:sz w:val="20"/>
        </w:rPr>
        <w:t xml:space="preserve">procedimiento </w:t>
      </w:r>
      <w:r w:rsidR="00C12798" w:rsidRPr="006A0A3F">
        <w:rPr>
          <w:rFonts w:ascii="Verdana" w:eastAsia="Calibri" w:hAnsi="Verdana"/>
          <w:i/>
          <w:sz w:val="20"/>
        </w:rPr>
        <w:t>ad hoc</w:t>
      </w:r>
      <w:r w:rsidR="00C12798" w:rsidRPr="006A0A3F">
        <w:rPr>
          <w:rFonts w:ascii="Verdana" w:eastAsia="Calibri" w:hAnsi="Verdana"/>
          <w:sz w:val="20"/>
        </w:rPr>
        <w:t xml:space="preserve"> </w:t>
      </w:r>
      <w:r w:rsidR="00B409A0" w:rsidRPr="006A0A3F">
        <w:rPr>
          <w:rFonts w:ascii="Verdana" w:eastAsia="Calibri" w:hAnsi="Verdana"/>
          <w:sz w:val="20"/>
        </w:rPr>
        <w:t>de “reparos” de firmas</w:t>
      </w:r>
      <w:r w:rsidR="00C12798" w:rsidRPr="006A0A3F">
        <w:rPr>
          <w:rFonts w:ascii="Verdana" w:eastAsia="Calibri" w:hAnsi="Verdana"/>
          <w:sz w:val="20"/>
        </w:rPr>
        <w:t xml:space="preserve"> que no estaba inicialmente previsto</w:t>
      </w:r>
      <w:r w:rsidR="00B409A0" w:rsidRPr="006A0A3F">
        <w:rPr>
          <w:rFonts w:ascii="Verdana" w:eastAsia="Calibri" w:hAnsi="Verdana"/>
          <w:sz w:val="20"/>
        </w:rPr>
        <w:t>, llevado a cabo el 27 de junio de 2004, que no se limitó a que las personas pudieran objetar posibles usos fraudulentos de sus firmas e identidades, sino que además se dio la oportunidad u opción de que las personas que firmaron a favor del referendo revocatorio, válidamente, pudieran retractarse y retirar su firma. Según fue considerado, ante posibles denuncias de fraude no era irrazonable que la autoridad competente estableciera mecanismos o procedimientos de verificación. Sin embargo, tal posibilidad de retractación, en el contexto referido, pudo ser percibido como una amenaza o amedrentamiento velados para desincentivar la participación en el referendo y, por ende, como una injerencia ilegítima o indebida en el proceso deliberativo democrático.</w:t>
      </w:r>
    </w:p>
    <w:p w14:paraId="00ED1218" w14:textId="77777777" w:rsidR="00B409A0" w:rsidRPr="006A0A3F" w:rsidRDefault="00B409A0" w:rsidP="00B409A0">
      <w:pPr>
        <w:pBdr>
          <w:top w:val="nil"/>
        </w:pBdr>
        <w:spacing w:after="0" w:line="240" w:lineRule="auto"/>
        <w:jc w:val="both"/>
        <w:rPr>
          <w:rFonts w:ascii="Verdana" w:hAnsi="Verdana"/>
          <w:sz w:val="20"/>
          <w:szCs w:val="20"/>
        </w:rPr>
      </w:pPr>
    </w:p>
    <w:p w14:paraId="39E506E9" w14:textId="6BF75506" w:rsidR="008329C2" w:rsidRPr="006A0A3F" w:rsidRDefault="00B409A0" w:rsidP="008329C2">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Además, </w:t>
      </w:r>
      <w:r w:rsidR="008329C2" w:rsidRPr="006A0A3F">
        <w:rPr>
          <w:rFonts w:ascii="Verdana" w:hAnsi="Verdana"/>
          <w:sz w:val="20"/>
          <w:szCs w:val="20"/>
        </w:rPr>
        <w:t>constan</w:t>
      </w:r>
      <w:r w:rsidR="00741FBF" w:rsidRPr="006A0A3F">
        <w:rPr>
          <w:rFonts w:ascii="Verdana" w:hAnsi="Verdana"/>
          <w:sz w:val="20"/>
          <w:szCs w:val="20"/>
        </w:rPr>
        <w:t xml:space="preserve"> seis</w:t>
      </w:r>
      <w:r w:rsidR="008329C2" w:rsidRPr="006A0A3F">
        <w:rPr>
          <w:rFonts w:ascii="Verdana" w:hAnsi="Verdana"/>
          <w:sz w:val="20"/>
          <w:szCs w:val="20"/>
        </w:rPr>
        <w:t xml:space="preserve"> declaraci</w:t>
      </w:r>
      <w:r w:rsidR="003F6357" w:rsidRPr="006A0A3F">
        <w:rPr>
          <w:rFonts w:ascii="Verdana" w:hAnsi="Verdana"/>
          <w:sz w:val="20"/>
          <w:szCs w:val="20"/>
        </w:rPr>
        <w:t>ones</w:t>
      </w:r>
      <w:r w:rsidR="008329C2" w:rsidRPr="006A0A3F">
        <w:rPr>
          <w:rFonts w:ascii="Verdana" w:hAnsi="Verdana"/>
          <w:sz w:val="20"/>
          <w:szCs w:val="20"/>
        </w:rPr>
        <w:t xml:space="preserve"> del propio Presidente de la República y de otros altos funcionarios públicos </w:t>
      </w:r>
      <w:r w:rsidRPr="006A0A3F">
        <w:rPr>
          <w:rFonts w:ascii="Verdana" w:hAnsi="Verdana"/>
          <w:sz w:val="20"/>
          <w:szCs w:val="20"/>
        </w:rPr>
        <w:t xml:space="preserve">realizadas en ese período, </w:t>
      </w:r>
      <w:r w:rsidR="008329C2" w:rsidRPr="006A0A3F">
        <w:rPr>
          <w:rFonts w:ascii="Verdana" w:hAnsi="Verdana"/>
          <w:sz w:val="20"/>
          <w:szCs w:val="20"/>
        </w:rPr>
        <w:t>en que se llama</w:t>
      </w:r>
      <w:r w:rsidR="008635E1" w:rsidRPr="006A0A3F">
        <w:rPr>
          <w:rFonts w:ascii="Verdana" w:hAnsi="Verdana"/>
          <w:sz w:val="20"/>
          <w:szCs w:val="20"/>
        </w:rPr>
        <w:t xml:space="preserve"> a la ciudadanía</w:t>
      </w:r>
      <w:r w:rsidR="008329C2" w:rsidRPr="006A0A3F">
        <w:rPr>
          <w:rFonts w:ascii="Verdana" w:hAnsi="Verdana"/>
          <w:sz w:val="20"/>
          <w:szCs w:val="20"/>
        </w:rPr>
        <w:t xml:space="preserve"> a revisar </w:t>
      </w:r>
      <w:r w:rsidRPr="006A0A3F">
        <w:rPr>
          <w:rFonts w:ascii="Verdana" w:hAnsi="Verdana"/>
          <w:sz w:val="20"/>
          <w:szCs w:val="20"/>
        </w:rPr>
        <w:t>la</w:t>
      </w:r>
      <w:r w:rsidR="008329C2" w:rsidRPr="006A0A3F">
        <w:rPr>
          <w:rFonts w:ascii="Verdana" w:hAnsi="Verdana"/>
          <w:sz w:val="20"/>
          <w:szCs w:val="20"/>
        </w:rPr>
        <w:t xml:space="preserve"> lista </w:t>
      </w:r>
      <w:proofErr w:type="spellStart"/>
      <w:r w:rsidRPr="006A0A3F">
        <w:rPr>
          <w:rFonts w:ascii="Verdana" w:hAnsi="Verdana"/>
          <w:sz w:val="20"/>
          <w:szCs w:val="20"/>
        </w:rPr>
        <w:t>Tascón</w:t>
      </w:r>
      <w:proofErr w:type="spellEnd"/>
      <w:r w:rsidRPr="006A0A3F">
        <w:rPr>
          <w:rFonts w:ascii="Verdana" w:hAnsi="Verdana"/>
          <w:sz w:val="20"/>
          <w:szCs w:val="20"/>
        </w:rPr>
        <w:t xml:space="preserve"> </w:t>
      </w:r>
      <w:r w:rsidR="008329C2" w:rsidRPr="006A0A3F">
        <w:rPr>
          <w:rFonts w:ascii="Verdana" w:hAnsi="Verdana"/>
          <w:sz w:val="20"/>
          <w:szCs w:val="20"/>
        </w:rPr>
        <w:t>para que “salgan los rostros”, acusando a los firmantes de traición e incluso de terrorismo</w:t>
      </w:r>
      <w:r w:rsidR="00744265" w:rsidRPr="006A0A3F">
        <w:rPr>
          <w:rFonts w:ascii="Verdana" w:hAnsi="Verdana"/>
          <w:sz w:val="20"/>
          <w:szCs w:val="20"/>
        </w:rPr>
        <w:t xml:space="preserve"> y amenazando con “botar” (despedir) o trasladar a los funcionarios que hubiesen firmado</w:t>
      </w:r>
      <w:r w:rsidR="003F6357" w:rsidRPr="006A0A3F">
        <w:rPr>
          <w:rFonts w:ascii="Verdana" w:hAnsi="Verdana"/>
          <w:sz w:val="20"/>
          <w:szCs w:val="20"/>
        </w:rPr>
        <w:t xml:space="preserve"> (</w:t>
      </w:r>
      <w:r w:rsidR="003F6357" w:rsidRPr="006A0A3F">
        <w:rPr>
          <w:rFonts w:ascii="Verdana" w:hAnsi="Verdana"/>
          <w:i/>
          <w:sz w:val="20"/>
          <w:szCs w:val="20"/>
        </w:rPr>
        <w:t xml:space="preserve">supra </w:t>
      </w:r>
      <w:proofErr w:type="spellStart"/>
      <w:r w:rsidR="0034063A" w:rsidRPr="006A0A3F">
        <w:rPr>
          <w:rFonts w:ascii="Verdana" w:hAnsi="Verdana"/>
          <w:sz w:val="20"/>
          <w:szCs w:val="20"/>
        </w:rPr>
        <w:t>párrs</w:t>
      </w:r>
      <w:proofErr w:type="spellEnd"/>
      <w:r w:rsidR="0034063A" w:rsidRPr="006A0A3F">
        <w:rPr>
          <w:rFonts w:ascii="Verdana" w:hAnsi="Verdana"/>
          <w:sz w:val="20"/>
          <w:szCs w:val="20"/>
        </w:rPr>
        <w:t>. 59 a 64</w:t>
      </w:r>
      <w:r w:rsidR="003F6357" w:rsidRPr="006A0A3F">
        <w:rPr>
          <w:rFonts w:ascii="Verdana" w:hAnsi="Verdana"/>
          <w:sz w:val="20"/>
          <w:szCs w:val="20"/>
        </w:rPr>
        <w:t>).</w:t>
      </w:r>
      <w:r w:rsidR="00744265" w:rsidRPr="006A0A3F">
        <w:rPr>
          <w:rFonts w:ascii="Verdana" w:hAnsi="Verdana"/>
          <w:sz w:val="20"/>
          <w:szCs w:val="20"/>
        </w:rPr>
        <w:t xml:space="preserve"> </w:t>
      </w:r>
      <w:r w:rsidR="003F6357" w:rsidRPr="006A0A3F">
        <w:rPr>
          <w:rFonts w:ascii="Verdana" w:hAnsi="Verdana"/>
          <w:sz w:val="20"/>
          <w:szCs w:val="20"/>
        </w:rPr>
        <w:t>Los contenidos de tales declaraciones reflejan formas de presión para no firmar y amenazas de represalias para quienes lo hicieron.</w:t>
      </w:r>
    </w:p>
    <w:p w14:paraId="5442CC73" w14:textId="7E939BE9" w:rsidR="008329C2" w:rsidRPr="006A0A3F" w:rsidRDefault="008329C2" w:rsidP="008329C2">
      <w:pPr>
        <w:pBdr>
          <w:top w:val="nil"/>
        </w:pBdr>
        <w:spacing w:after="0" w:line="240" w:lineRule="auto"/>
        <w:jc w:val="both"/>
        <w:rPr>
          <w:rFonts w:ascii="Verdana" w:eastAsia="Calibri" w:hAnsi="Verdana"/>
          <w:sz w:val="20"/>
        </w:rPr>
      </w:pPr>
    </w:p>
    <w:p w14:paraId="7561FF34" w14:textId="787B38EC" w:rsidR="008329C2" w:rsidRPr="006A0A3F" w:rsidRDefault="003F6357" w:rsidP="008329C2">
      <w:pPr>
        <w:numPr>
          <w:ilvl w:val="0"/>
          <w:numId w:val="4"/>
        </w:numPr>
        <w:pBdr>
          <w:top w:val="nil"/>
        </w:pBdr>
        <w:spacing w:after="0" w:line="240" w:lineRule="auto"/>
        <w:ind w:left="0" w:firstLine="0"/>
        <w:jc w:val="both"/>
        <w:rPr>
          <w:rFonts w:ascii="Verdana" w:eastAsia="Calibri" w:hAnsi="Verdana"/>
          <w:sz w:val="20"/>
          <w:szCs w:val="20"/>
        </w:rPr>
      </w:pPr>
      <w:r w:rsidRPr="006A0A3F">
        <w:rPr>
          <w:rFonts w:ascii="Verdana" w:hAnsi="Verdana"/>
          <w:sz w:val="20"/>
          <w:szCs w:val="20"/>
        </w:rPr>
        <w:t>Al respecto, este Tribunal ha reiterado</w:t>
      </w:r>
      <w:r w:rsidR="008635E1" w:rsidRPr="006A0A3F">
        <w:rPr>
          <w:rFonts w:ascii="Verdana" w:hAnsi="Verdana"/>
          <w:sz w:val="20"/>
          <w:szCs w:val="20"/>
        </w:rPr>
        <w:t>,</w:t>
      </w:r>
      <w:r w:rsidRPr="006A0A3F">
        <w:rPr>
          <w:rFonts w:ascii="Verdana" w:hAnsi="Verdana"/>
          <w:sz w:val="20"/>
          <w:szCs w:val="20"/>
        </w:rPr>
        <w:t xml:space="preserve"> en otros casos respecto de Venezuela</w:t>
      </w:r>
      <w:r w:rsidR="008635E1" w:rsidRPr="006A0A3F">
        <w:rPr>
          <w:rFonts w:ascii="Verdana" w:hAnsi="Verdana"/>
          <w:sz w:val="20"/>
          <w:szCs w:val="20"/>
        </w:rPr>
        <w:t>,</w:t>
      </w:r>
      <w:r w:rsidRPr="006A0A3F">
        <w:rPr>
          <w:rFonts w:ascii="Verdana" w:hAnsi="Verdana"/>
          <w:sz w:val="20"/>
          <w:szCs w:val="20"/>
        </w:rPr>
        <w:t xml:space="preserve"> que en una sociedad democrática no sólo es legítimo, sino que en ocasiones constituye un deber de las autoridades estatales, pronunciarse sobre cuestiones de interés público. Sin embargo, al hacerlo están sometidos a ciertas limitaciones en cuanto deben constatar en forma razonable, aunque no necesariamente exhaustiva, los hechos en los que fundamentan sus opiniones, y deberían hacerlo con una diligencia aún mayor a la empleada por los particulares, en razón de su alta investidura, del amplio alcance y eventuales efectos que sus expresiones pueden tener en ciertos sectores de la población, y para evitar que los ciudadanos y otras personas interesadas reciban una versión manipulada de determinados hechos. Además, deben tener en cuenta que</w:t>
      </w:r>
      <w:r w:rsidR="008635E1" w:rsidRPr="006A0A3F">
        <w:rPr>
          <w:rFonts w:ascii="Verdana" w:hAnsi="Verdana"/>
          <w:sz w:val="20"/>
          <w:szCs w:val="20"/>
        </w:rPr>
        <w:t>,</w:t>
      </w:r>
      <w:r w:rsidRPr="006A0A3F">
        <w:rPr>
          <w:rFonts w:ascii="Verdana" w:hAnsi="Verdana"/>
          <w:sz w:val="20"/>
          <w:szCs w:val="20"/>
        </w:rPr>
        <w:t xml:space="preserve"> en tanto funcionarios públicos</w:t>
      </w:r>
      <w:r w:rsidR="008635E1" w:rsidRPr="006A0A3F">
        <w:rPr>
          <w:rFonts w:ascii="Verdana" w:hAnsi="Verdana"/>
          <w:sz w:val="20"/>
          <w:szCs w:val="20"/>
        </w:rPr>
        <w:t>,</w:t>
      </w:r>
      <w:r w:rsidRPr="006A0A3F">
        <w:rPr>
          <w:rFonts w:ascii="Verdana" w:hAnsi="Verdana"/>
          <w:sz w:val="20"/>
          <w:szCs w:val="20"/>
        </w:rPr>
        <w:t xml:space="preserve"> tienen una posición de garante de los derechos fundamentales de las personas y, por tanto, sus declaraciones no pueden desconocerlos ni constituir formas de injerencia directa o indirecta o presión lesiva en los derechos de quienes pretenden contribuir a la deliberación pública mediante la expresión y difusión de su pensamiento. Este deber de especial cuidado se ve particularmente acentuado en situaciones de mayor conflictividad social, </w:t>
      </w:r>
      <w:r w:rsidRPr="006A0A3F">
        <w:rPr>
          <w:rFonts w:ascii="Verdana" w:hAnsi="Verdana"/>
          <w:sz w:val="20"/>
          <w:szCs w:val="20"/>
        </w:rPr>
        <w:lastRenderedPageBreak/>
        <w:t>alteraciones del orden público o polarización social o política, precisamente por el conjunto de riesgos que pueden implicar para determinadas personas o grupos en un momento dado</w:t>
      </w:r>
      <w:r w:rsidRPr="006A0A3F">
        <w:rPr>
          <w:rStyle w:val="FootnoteReference"/>
          <w:rFonts w:ascii="Verdana" w:hAnsi="Verdana"/>
          <w:sz w:val="20"/>
          <w:szCs w:val="20"/>
        </w:rPr>
        <w:footnoteReference w:id="203"/>
      </w:r>
      <w:r w:rsidRPr="006A0A3F">
        <w:rPr>
          <w:rFonts w:ascii="Verdana" w:hAnsi="Verdana"/>
          <w:sz w:val="20"/>
          <w:szCs w:val="20"/>
        </w:rPr>
        <w:t>.</w:t>
      </w:r>
      <w:r w:rsidR="00083B0D" w:rsidRPr="006A0A3F">
        <w:rPr>
          <w:rFonts w:ascii="Verdana" w:hAnsi="Verdana"/>
          <w:sz w:val="20"/>
          <w:szCs w:val="20"/>
        </w:rPr>
        <w:t xml:space="preserve"> </w:t>
      </w:r>
    </w:p>
    <w:p w14:paraId="43EB4F53" w14:textId="22C37DBC" w:rsidR="00840C9E" w:rsidRPr="006A0A3F" w:rsidRDefault="00840C9E" w:rsidP="00840C9E">
      <w:pPr>
        <w:pBdr>
          <w:top w:val="nil"/>
        </w:pBdr>
        <w:spacing w:after="0" w:line="240" w:lineRule="auto"/>
        <w:jc w:val="both"/>
        <w:rPr>
          <w:rFonts w:ascii="Verdana" w:eastAsia="Calibri" w:hAnsi="Verdana"/>
          <w:sz w:val="20"/>
          <w:szCs w:val="20"/>
        </w:rPr>
      </w:pPr>
    </w:p>
    <w:p w14:paraId="1D8D83BF" w14:textId="5DBC25BE" w:rsidR="002C3394" w:rsidRPr="006A0A3F" w:rsidRDefault="008E6952" w:rsidP="002C3394">
      <w:pPr>
        <w:numPr>
          <w:ilvl w:val="0"/>
          <w:numId w:val="4"/>
        </w:numPr>
        <w:pBdr>
          <w:top w:val="nil"/>
        </w:pBdr>
        <w:spacing w:after="0" w:line="240" w:lineRule="auto"/>
        <w:ind w:left="0" w:firstLine="0"/>
        <w:jc w:val="both"/>
        <w:rPr>
          <w:rFonts w:ascii="Verdana" w:eastAsia="Calibri" w:hAnsi="Verdana"/>
          <w:sz w:val="20"/>
          <w:szCs w:val="20"/>
        </w:rPr>
      </w:pPr>
      <w:r w:rsidRPr="006A0A3F">
        <w:rPr>
          <w:rFonts w:ascii="Verdana" w:eastAsia="Calibri" w:hAnsi="Verdana"/>
          <w:sz w:val="20"/>
          <w:szCs w:val="20"/>
        </w:rPr>
        <w:t xml:space="preserve">La Corte considera </w:t>
      </w:r>
      <w:r w:rsidR="000239AA" w:rsidRPr="006A0A3F">
        <w:rPr>
          <w:rFonts w:ascii="Verdana" w:eastAsia="Calibri" w:hAnsi="Verdana"/>
          <w:sz w:val="20"/>
          <w:szCs w:val="20"/>
        </w:rPr>
        <w:t>que, en ese contexto</w:t>
      </w:r>
      <w:r w:rsidR="000239AA" w:rsidRPr="006A0A3F">
        <w:rPr>
          <w:rFonts w:ascii="Verdana" w:hAnsi="Verdana"/>
          <w:sz w:val="20"/>
        </w:rPr>
        <w:t xml:space="preserve"> y por la alta investidura de quienes los pronunciaron y su reiteración</w:t>
      </w:r>
      <w:r w:rsidR="000239AA" w:rsidRPr="006A0A3F">
        <w:rPr>
          <w:rFonts w:ascii="Verdana" w:eastAsia="Calibri" w:hAnsi="Verdana"/>
          <w:sz w:val="20"/>
          <w:szCs w:val="20"/>
        </w:rPr>
        <w:t>,</w:t>
      </w:r>
      <w:r w:rsidR="000239AA" w:rsidRPr="006A0A3F">
        <w:rPr>
          <w:rFonts w:ascii="Verdana" w:hAnsi="Verdana"/>
          <w:sz w:val="20"/>
        </w:rPr>
        <w:t xml:space="preserve"> dichos pronunciamientos de altos funcionarios públicos </w:t>
      </w:r>
      <w:r w:rsidR="00F125D9" w:rsidRPr="006A0A3F">
        <w:rPr>
          <w:rFonts w:ascii="Verdana" w:hAnsi="Verdana"/>
          <w:sz w:val="20"/>
        </w:rPr>
        <w:t xml:space="preserve">dirigidas a desincentivar la participación política </w:t>
      </w:r>
      <w:r w:rsidR="002C3394" w:rsidRPr="006A0A3F">
        <w:rPr>
          <w:rFonts w:ascii="Verdana" w:hAnsi="Verdana"/>
          <w:sz w:val="20"/>
        </w:rPr>
        <w:t>no</w:t>
      </w:r>
      <w:r w:rsidR="000239AA" w:rsidRPr="006A0A3F">
        <w:rPr>
          <w:rFonts w:ascii="Verdana" w:hAnsi="Verdana"/>
          <w:sz w:val="20"/>
        </w:rPr>
        <w:t xml:space="preserve"> contribuyeron a </w:t>
      </w:r>
      <w:r w:rsidR="00C12798" w:rsidRPr="006A0A3F">
        <w:rPr>
          <w:rFonts w:ascii="Verdana" w:hAnsi="Verdana"/>
          <w:sz w:val="20"/>
        </w:rPr>
        <w:t>impedir</w:t>
      </w:r>
      <w:r w:rsidR="002C3394" w:rsidRPr="006A0A3F">
        <w:rPr>
          <w:rFonts w:ascii="Verdana" w:hAnsi="Verdana"/>
          <w:sz w:val="20"/>
        </w:rPr>
        <w:t>, e incluso pudieron propiciar</w:t>
      </w:r>
      <w:r w:rsidR="000239AA" w:rsidRPr="006A0A3F">
        <w:rPr>
          <w:rFonts w:ascii="Verdana" w:hAnsi="Verdana"/>
          <w:sz w:val="20"/>
        </w:rPr>
        <w:t xml:space="preserve"> o exacerbar, situaciones de hostilidad e intolerancia hacia la disidencia política, </w:t>
      </w:r>
      <w:r w:rsidR="00F125D9" w:rsidRPr="006A0A3F">
        <w:rPr>
          <w:rFonts w:ascii="Verdana" w:hAnsi="Verdana"/>
          <w:sz w:val="20"/>
        </w:rPr>
        <w:t>lo cual es</w:t>
      </w:r>
      <w:r w:rsidR="000239AA" w:rsidRPr="006A0A3F">
        <w:rPr>
          <w:rFonts w:ascii="Verdana" w:hAnsi="Verdana"/>
          <w:sz w:val="20"/>
        </w:rPr>
        <w:t xml:space="preserve"> </w:t>
      </w:r>
      <w:r w:rsidR="00F125D9" w:rsidRPr="006A0A3F">
        <w:rPr>
          <w:rFonts w:ascii="Verdana" w:hAnsi="Verdana"/>
          <w:sz w:val="20"/>
        </w:rPr>
        <w:t>incompatible</w:t>
      </w:r>
      <w:r w:rsidR="000239AA" w:rsidRPr="006A0A3F">
        <w:rPr>
          <w:rFonts w:ascii="Verdana" w:hAnsi="Verdana"/>
          <w:sz w:val="20"/>
        </w:rPr>
        <w:t xml:space="preserve"> con la obligación estatal de garantizar </w:t>
      </w:r>
      <w:r w:rsidR="00F125D9" w:rsidRPr="006A0A3F">
        <w:rPr>
          <w:rFonts w:ascii="Verdana" w:hAnsi="Verdana"/>
          <w:sz w:val="20"/>
        </w:rPr>
        <w:t>el derecho</w:t>
      </w:r>
      <w:r w:rsidR="000239AA" w:rsidRPr="006A0A3F">
        <w:rPr>
          <w:rFonts w:ascii="Verdana" w:hAnsi="Verdana"/>
          <w:sz w:val="20"/>
        </w:rPr>
        <w:t xml:space="preserve"> de participación política</w:t>
      </w:r>
      <w:r w:rsidR="000239AA" w:rsidRPr="006A0A3F">
        <w:rPr>
          <w:rStyle w:val="FootnoteReference"/>
          <w:rFonts w:ascii="Verdana" w:hAnsi="Verdana"/>
          <w:sz w:val="20"/>
        </w:rPr>
        <w:footnoteReference w:id="204"/>
      </w:r>
      <w:r w:rsidR="000239AA" w:rsidRPr="006A0A3F">
        <w:rPr>
          <w:rFonts w:ascii="Verdana" w:hAnsi="Verdana"/>
          <w:sz w:val="20"/>
        </w:rPr>
        <w:t xml:space="preserve">. </w:t>
      </w:r>
      <w:r w:rsidR="002C3394" w:rsidRPr="006A0A3F">
        <w:rPr>
          <w:rFonts w:ascii="Verdana" w:eastAsia="Calibri" w:hAnsi="Verdana"/>
          <w:sz w:val="20"/>
          <w:szCs w:val="20"/>
        </w:rPr>
        <w:t xml:space="preserve">En este sentido, otras declaraciones de funcionarios </w:t>
      </w:r>
      <w:r w:rsidR="002C3394" w:rsidRPr="006A0A3F">
        <w:rPr>
          <w:rFonts w:ascii="Verdana" w:hAnsi="Verdana"/>
          <w:sz w:val="20"/>
        </w:rPr>
        <w:t>que indicaban que “nadie puede ser perseguido” o una retractación del Ministro de Salud (</w:t>
      </w:r>
      <w:r w:rsidR="002C3394" w:rsidRPr="006A0A3F">
        <w:rPr>
          <w:rFonts w:ascii="Verdana" w:hAnsi="Verdana"/>
          <w:i/>
          <w:sz w:val="20"/>
        </w:rPr>
        <w:t xml:space="preserve">supra </w:t>
      </w:r>
      <w:r w:rsidR="002C3394" w:rsidRPr="006A0A3F">
        <w:rPr>
          <w:rFonts w:ascii="Verdana" w:hAnsi="Verdana"/>
          <w:sz w:val="20"/>
        </w:rPr>
        <w:t xml:space="preserve">párr. 64), no contribuyeron a </w:t>
      </w:r>
      <w:r w:rsidR="00C12798" w:rsidRPr="006A0A3F">
        <w:rPr>
          <w:rFonts w:ascii="Verdana" w:hAnsi="Verdana"/>
          <w:sz w:val="20"/>
        </w:rPr>
        <w:t>impedi</w:t>
      </w:r>
      <w:r w:rsidR="002C3394" w:rsidRPr="006A0A3F">
        <w:rPr>
          <w:rFonts w:ascii="Verdana" w:hAnsi="Verdana"/>
          <w:sz w:val="20"/>
        </w:rPr>
        <w:t>r los efectos intimidatorios,</w:t>
      </w:r>
      <w:r w:rsidR="00331CDE">
        <w:rPr>
          <w:rFonts w:ascii="Verdana" w:hAnsi="Verdana"/>
          <w:sz w:val="20"/>
        </w:rPr>
        <w:t xml:space="preserve"> de</w:t>
      </w:r>
      <w:r w:rsidR="002C3394" w:rsidRPr="006A0A3F">
        <w:rPr>
          <w:rFonts w:ascii="Verdana" w:hAnsi="Verdana"/>
          <w:sz w:val="20"/>
        </w:rPr>
        <w:t xml:space="preserve"> incertidumbre y</w:t>
      </w:r>
      <w:r w:rsidR="00331CDE">
        <w:rPr>
          <w:rFonts w:ascii="Verdana" w:hAnsi="Verdana"/>
          <w:sz w:val="20"/>
        </w:rPr>
        <w:t xml:space="preserve"> de</w:t>
      </w:r>
      <w:r w:rsidR="002C3394" w:rsidRPr="006A0A3F">
        <w:rPr>
          <w:rFonts w:ascii="Verdana" w:hAnsi="Verdana"/>
          <w:sz w:val="20"/>
        </w:rPr>
        <w:t xml:space="preserve"> polarización que pudieron generar las demás manifestaciones en ese contexto.</w:t>
      </w:r>
    </w:p>
    <w:p w14:paraId="61AD1642" w14:textId="77777777" w:rsidR="00B409A0" w:rsidRPr="006A0A3F" w:rsidRDefault="00B409A0" w:rsidP="000239AA">
      <w:pPr>
        <w:pBdr>
          <w:top w:val="nil"/>
        </w:pBdr>
        <w:spacing w:after="0" w:line="240" w:lineRule="auto"/>
        <w:jc w:val="both"/>
        <w:rPr>
          <w:rFonts w:ascii="Verdana" w:hAnsi="Verdana"/>
          <w:sz w:val="20"/>
        </w:rPr>
      </w:pPr>
    </w:p>
    <w:p w14:paraId="0B384145" w14:textId="02813BF0" w:rsidR="0050029A" w:rsidRPr="006A0A3F" w:rsidRDefault="00E41457" w:rsidP="00D51030">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Además, f</w:t>
      </w:r>
      <w:r w:rsidR="00D51030" w:rsidRPr="006A0A3F">
        <w:rPr>
          <w:rFonts w:ascii="Verdana" w:hAnsi="Verdana"/>
          <w:sz w:val="20"/>
          <w:szCs w:val="20"/>
        </w:rPr>
        <w:t xml:space="preserve">ue aportada información que indica que los hechos del presente caso no fueron aislados, pues </w:t>
      </w:r>
      <w:r w:rsidR="0050029A" w:rsidRPr="006A0A3F">
        <w:rPr>
          <w:rFonts w:ascii="Verdana" w:hAnsi="Verdana"/>
          <w:sz w:val="20"/>
          <w:szCs w:val="20"/>
        </w:rPr>
        <w:t xml:space="preserve">la materialización de </w:t>
      </w:r>
      <w:r w:rsidR="00D51030" w:rsidRPr="006A0A3F">
        <w:rPr>
          <w:rFonts w:ascii="Verdana" w:hAnsi="Verdana"/>
          <w:sz w:val="20"/>
          <w:szCs w:val="20"/>
        </w:rPr>
        <w:t xml:space="preserve">tales </w:t>
      </w:r>
      <w:r w:rsidR="0050029A" w:rsidRPr="006A0A3F">
        <w:rPr>
          <w:rFonts w:ascii="Verdana" w:hAnsi="Verdana"/>
          <w:sz w:val="20"/>
          <w:szCs w:val="20"/>
        </w:rPr>
        <w:t>amenazas</w:t>
      </w:r>
      <w:r w:rsidR="00D51030" w:rsidRPr="006A0A3F">
        <w:rPr>
          <w:rFonts w:ascii="Verdana" w:hAnsi="Verdana"/>
          <w:sz w:val="20"/>
          <w:szCs w:val="20"/>
        </w:rPr>
        <w:t xml:space="preserve"> constaría en informes de organizaciones no gubernamentales internacionales y venezolanas, así como en declaraciones o reportajes publicados en medios de comunicación y en testimonios rendidos ante la Corte, que refirieron o documentaron casos de despidos de trabajadores o funcionarios de diversas instituciones públicas </w:t>
      </w:r>
      <w:r w:rsidR="00717A2F" w:rsidRPr="006A0A3F">
        <w:rPr>
          <w:rFonts w:ascii="Verdana" w:hAnsi="Verdana"/>
          <w:sz w:val="20"/>
          <w:szCs w:val="20"/>
        </w:rPr>
        <w:t xml:space="preserve">que habrían estado </w:t>
      </w:r>
      <w:r w:rsidR="00D51030" w:rsidRPr="006A0A3F">
        <w:rPr>
          <w:rFonts w:ascii="Verdana" w:hAnsi="Verdana"/>
          <w:sz w:val="20"/>
          <w:szCs w:val="20"/>
        </w:rPr>
        <w:t xml:space="preserve">motivados </w:t>
      </w:r>
      <w:r w:rsidR="00EE5F77" w:rsidRPr="006A0A3F">
        <w:rPr>
          <w:rFonts w:ascii="Verdana" w:hAnsi="Verdana"/>
          <w:sz w:val="20"/>
          <w:szCs w:val="20"/>
        </w:rPr>
        <w:t>por</w:t>
      </w:r>
      <w:r w:rsidR="00D51030" w:rsidRPr="006A0A3F">
        <w:rPr>
          <w:rFonts w:ascii="Verdana" w:hAnsi="Verdana"/>
          <w:sz w:val="20"/>
          <w:szCs w:val="20"/>
        </w:rPr>
        <w:t xml:space="preserve"> su participación en la solicitud de referendo revocatorio</w:t>
      </w:r>
      <w:r w:rsidR="0050029A" w:rsidRPr="006A0A3F">
        <w:rPr>
          <w:rFonts w:ascii="Verdana" w:hAnsi="Verdana"/>
          <w:sz w:val="20"/>
          <w:szCs w:val="20"/>
        </w:rPr>
        <w:t>.</w:t>
      </w:r>
      <w:r w:rsidR="00D51030" w:rsidRPr="006A0A3F">
        <w:rPr>
          <w:rFonts w:ascii="Verdana" w:hAnsi="Verdana"/>
          <w:sz w:val="20"/>
          <w:szCs w:val="20"/>
        </w:rPr>
        <w:t xml:space="preserve"> También fue aportada información sobre </w:t>
      </w:r>
      <w:r w:rsidR="00D51030" w:rsidRPr="006A0A3F">
        <w:rPr>
          <w:rFonts w:ascii="Verdana" w:hAnsi="Verdana"/>
          <w:sz w:val="20"/>
        </w:rPr>
        <w:t xml:space="preserve">denuncias </w:t>
      </w:r>
      <w:r w:rsidR="00D51030" w:rsidRPr="006A0A3F">
        <w:rPr>
          <w:rFonts w:ascii="Verdana" w:hAnsi="Verdana"/>
          <w:sz w:val="20"/>
          <w:szCs w:val="20"/>
        </w:rPr>
        <w:t>de personas que hab</w:t>
      </w:r>
      <w:r w:rsidR="00D51030" w:rsidRPr="006A0A3F">
        <w:rPr>
          <w:rFonts w:ascii="Verdana" w:hAnsi="Verdana"/>
          <w:sz w:val="20"/>
        </w:rPr>
        <w:t>r</w:t>
      </w:r>
      <w:r w:rsidR="00D51030" w:rsidRPr="006A0A3F">
        <w:rPr>
          <w:rFonts w:ascii="Verdana" w:hAnsi="Verdana"/>
          <w:sz w:val="20"/>
          <w:szCs w:val="20"/>
        </w:rPr>
        <w:t xml:space="preserve">ían sido coaccionadas para evitar que firmaran o para que, si ya lo habían hecho, después no revalidaran su firma, así como </w:t>
      </w:r>
      <w:r w:rsidR="00D51030" w:rsidRPr="006A0A3F">
        <w:rPr>
          <w:rFonts w:ascii="Verdana" w:hAnsi="Verdana"/>
          <w:sz w:val="20"/>
        </w:rPr>
        <w:t xml:space="preserve">testimonios que refieren a situaciones de rechazo de solicitudes de trabajo en cargos públicos a firmantes o a la prohibición de que éstos fuesen beneficiarios de </w:t>
      </w:r>
      <w:r w:rsidR="00A13543" w:rsidRPr="006A0A3F">
        <w:rPr>
          <w:rFonts w:ascii="Verdana" w:hAnsi="Verdana"/>
          <w:sz w:val="20"/>
        </w:rPr>
        <w:t>ciertos</w:t>
      </w:r>
      <w:r w:rsidR="00840C9E" w:rsidRPr="006A0A3F">
        <w:rPr>
          <w:rFonts w:ascii="Verdana" w:hAnsi="Verdana"/>
          <w:sz w:val="20"/>
        </w:rPr>
        <w:t xml:space="preserve"> programas de asistencia social.</w:t>
      </w:r>
      <w:r w:rsidR="00D51030" w:rsidRPr="006A0A3F">
        <w:rPr>
          <w:rFonts w:ascii="Verdana" w:hAnsi="Verdana"/>
          <w:sz w:val="20"/>
        </w:rPr>
        <w:t xml:space="preserve"> </w:t>
      </w:r>
      <w:r w:rsidR="00D51030" w:rsidRPr="006A0A3F">
        <w:rPr>
          <w:rFonts w:ascii="Verdana" w:hAnsi="Verdana"/>
          <w:sz w:val="20"/>
          <w:szCs w:val="20"/>
        </w:rPr>
        <w:t xml:space="preserve">Se refirió que jueces e inspectores de trabajo no modificaban las decisiones de despidos o </w:t>
      </w:r>
      <w:r w:rsidR="00F65F67" w:rsidRPr="006A0A3F">
        <w:rPr>
          <w:rFonts w:ascii="Verdana" w:hAnsi="Verdana"/>
          <w:sz w:val="20"/>
          <w:szCs w:val="20"/>
        </w:rPr>
        <w:t>terminaciones de contratos</w:t>
      </w:r>
      <w:r w:rsidR="00D51030" w:rsidRPr="006A0A3F">
        <w:rPr>
          <w:rFonts w:ascii="Verdana" w:hAnsi="Verdana"/>
          <w:sz w:val="20"/>
          <w:szCs w:val="20"/>
        </w:rPr>
        <w:t xml:space="preserve"> y que la Fiscalía General de la República o la Defensoría del Pueblo</w:t>
      </w:r>
      <w:r w:rsidR="00D51030" w:rsidRPr="006A0A3F">
        <w:rPr>
          <w:rStyle w:val="FootnoteReference"/>
          <w:rFonts w:ascii="Verdana" w:hAnsi="Verdana"/>
          <w:sz w:val="20"/>
          <w:szCs w:val="20"/>
        </w:rPr>
        <w:t xml:space="preserve"> </w:t>
      </w:r>
      <w:r w:rsidR="00D51030" w:rsidRPr="006A0A3F">
        <w:rPr>
          <w:rFonts w:ascii="Verdana" w:hAnsi="Verdana"/>
          <w:sz w:val="20"/>
          <w:szCs w:val="20"/>
        </w:rPr>
        <w:t>tampoco habrían intervenido en ese sentido</w:t>
      </w:r>
      <w:r w:rsidR="00A13543" w:rsidRPr="006A0A3F">
        <w:rPr>
          <w:rFonts w:ascii="Verdana" w:hAnsi="Verdana"/>
          <w:sz w:val="20"/>
          <w:szCs w:val="20"/>
        </w:rPr>
        <w:t xml:space="preserve">. De hecho, </w:t>
      </w:r>
      <w:r w:rsidR="00840C9E" w:rsidRPr="006A0A3F">
        <w:rPr>
          <w:rFonts w:ascii="Verdana" w:hAnsi="Verdana"/>
          <w:sz w:val="20"/>
          <w:szCs w:val="20"/>
        </w:rPr>
        <w:t xml:space="preserve">posteriormente </w:t>
      </w:r>
      <w:r w:rsidR="0050029A" w:rsidRPr="006A0A3F">
        <w:rPr>
          <w:rFonts w:ascii="Verdana" w:hAnsi="Verdana"/>
          <w:sz w:val="20"/>
          <w:szCs w:val="20"/>
        </w:rPr>
        <w:t>el propio Fiscal G</w:t>
      </w:r>
      <w:r w:rsidR="00717A2F" w:rsidRPr="006A0A3F">
        <w:rPr>
          <w:rFonts w:ascii="Verdana" w:hAnsi="Verdana"/>
          <w:sz w:val="20"/>
          <w:szCs w:val="20"/>
        </w:rPr>
        <w:t>eneral de la República reconocería</w:t>
      </w:r>
      <w:r w:rsidR="0050029A" w:rsidRPr="006A0A3F">
        <w:rPr>
          <w:rFonts w:ascii="Verdana" w:hAnsi="Verdana"/>
          <w:sz w:val="20"/>
          <w:szCs w:val="20"/>
        </w:rPr>
        <w:t xml:space="preserve"> la </w:t>
      </w:r>
      <w:r w:rsidR="00717A2F" w:rsidRPr="006A0A3F">
        <w:rPr>
          <w:rFonts w:ascii="Verdana" w:hAnsi="Verdana"/>
          <w:sz w:val="20"/>
          <w:szCs w:val="20"/>
        </w:rPr>
        <w:t xml:space="preserve">posible </w:t>
      </w:r>
      <w:r w:rsidR="0050029A" w:rsidRPr="006A0A3F">
        <w:rPr>
          <w:rFonts w:ascii="Verdana" w:hAnsi="Verdana"/>
          <w:sz w:val="20"/>
          <w:szCs w:val="20"/>
        </w:rPr>
        <w:t>exi</w:t>
      </w:r>
      <w:r w:rsidR="00D51030" w:rsidRPr="006A0A3F">
        <w:rPr>
          <w:rFonts w:ascii="Verdana" w:hAnsi="Verdana"/>
          <w:sz w:val="20"/>
          <w:szCs w:val="20"/>
        </w:rPr>
        <w:t xml:space="preserve">stencia de múltiples denuncias </w:t>
      </w:r>
      <w:r w:rsidR="0050029A" w:rsidRPr="006A0A3F">
        <w:rPr>
          <w:rFonts w:ascii="Verdana" w:hAnsi="Verdana"/>
          <w:sz w:val="20"/>
          <w:szCs w:val="20"/>
        </w:rPr>
        <w:t>al ordenar</w:t>
      </w:r>
      <w:r w:rsidR="00D51030" w:rsidRPr="006A0A3F">
        <w:rPr>
          <w:rFonts w:ascii="Verdana" w:hAnsi="Verdana"/>
          <w:sz w:val="20"/>
          <w:szCs w:val="20"/>
        </w:rPr>
        <w:t>,</w:t>
      </w:r>
      <w:r w:rsidR="0050029A" w:rsidRPr="006A0A3F">
        <w:rPr>
          <w:rFonts w:ascii="Verdana" w:hAnsi="Verdana"/>
          <w:sz w:val="20"/>
          <w:szCs w:val="20"/>
        </w:rPr>
        <w:t xml:space="preserve"> en </w:t>
      </w:r>
      <w:r w:rsidR="00D51030" w:rsidRPr="006A0A3F">
        <w:rPr>
          <w:rFonts w:ascii="Verdana" w:hAnsi="Verdana"/>
          <w:sz w:val="20"/>
          <w:szCs w:val="20"/>
        </w:rPr>
        <w:t>a</w:t>
      </w:r>
      <w:r w:rsidR="0050029A" w:rsidRPr="006A0A3F">
        <w:rPr>
          <w:rFonts w:ascii="Verdana" w:hAnsi="Verdana"/>
          <w:sz w:val="20"/>
          <w:szCs w:val="20"/>
        </w:rPr>
        <w:t>bril de 2005</w:t>
      </w:r>
      <w:r w:rsidR="00D51030" w:rsidRPr="006A0A3F">
        <w:rPr>
          <w:rFonts w:ascii="Verdana" w:hAnsi="Verdana"/>
          <w:sz w:val="20"/>
          <w:szCs w:val="20"/>
        </w:rPr>
        <w:t>,</w:t>
      </w:r>
      <w:r w:rsidR="0050029A" w:rsidRPr="006A0A3F">
        <w:rPr>
          <w:rFonts w:ascii="Verdana" w:hAnsi="Verdana"/>
          <w:sz w:val="20"/>
          <w:szCs w:val="20"/>
        </w:rPr>
        <w:t xml:space="preserve"> la apertura de una investigación por c</w:t>
      </w:r>
      <w:r w:rsidR="00D51030" w:rsidRPr="006A0A3F">
        <w:rPr>
          <w:rFonts w:ascii="Verdana" w:hAnsi="Verdana"/>
          <w:sz w:val="20"/>
          <w:szCs w:val="20"/>
        </w:rPr>
        <w:t>asos de discriminación política (</w:t>
      </w:r>
      <w:r w:rsidR="00D51030" w:rsidRPr="006A0A3F">
        <w:rPr>
          <w:rFonts w:ascii="Verdana" w:hAnsi="Verdana"/>
          <w:i/>
          <w:sz w:val="20"/>
          <w:szCs w:val="20"/>
        </w:rPr>
        <w:t xml:space="preserve">supra </w:t>
      </w:r>
      <w:proofErr w:type="spellStart"/>
      <w:r w:rsidR="0034063A" w:rsidRPr="006A0A3F">
        <w:rPr>
          <w:rFonts w:ascii="Verdana" w:hAnsi="Verdana"/>
          <w:sz w:val="20"/>
          <w:szCs w:val="20"/>
        </w:rPr>
        <w:t>párr</w:t>
      </w:r>
      <w:r w:rsidR="0034734E">
        <w:rPr>
          <w:rFonts w:ascii="Verdana" w:hAnsi="Verdana"/>
          <w:sz w:val="20"/>
          <w:szCs w:val="20"/>
        </w:rPr>
        <w:t>s</w:t>
      </w:r>
      <w:proofErr w:type="spellEnd"/>
      <w:r w:rsidR="0034063A" w:rsidRPr="006A0A3F">
        <w:rPr>
          <w:rFonts w:ascii="Verdana" w:hAnsi="Verdana"/>
          <w:sz w:val="20"/>
          <w:szCs w:val="20"/>
        </w:rPr>
        <w:t xml:space="preserve">. </w:t>
      </w:r>
      <w:r w:rsidR="0034734E">
        <w:rPr>
          <w:rFonts w:ascii="Verdana" w:hAnsi="Verdana"/>
          <w:sz w:val="20"/>
          <w:szCs w:val="20"/>
        </w:rPr>
        <w:t xml:space="preserve">65 a </w:t>
      </w:r>
      <w:r w:rsidR="0034063A" w:rsidRPr="006A0A3F">
        <w:rPr>
          <w:rFonts w:ascii="Verdana" w:hAnsi="Verdana"/>
          <w:sz w:val="20"/>
          <w:szCs w:val="20"/>
        </w:rPr>
        <w:t>67</w:t>
      </w:r>
      <w:r w:rsidR="00D51030" w:rsidRPr="006A0A3F">
        <w:rPr>
          <w:rFonts w:ascii="Verdana" w:hAnsi="Verdana"/>
          <w:sz w:val="20"/>
          <w:szCs w:val="20"/>
        </w:rPr>
        <w:t>).</w:t>
      </w:r>
    </w:p>
    <w:p w14:paraId="49B9E07E" w14:textId="3614C477" w:rsidR="00840C9E" w:rsidRPr="006A0A3F" w:rsidRDefault="00840C9E" w:rsidP="00840C9E">
      <w:pPr>
        <w:pBdr>
          <w:top w:val="nil"/>
        </w:pBdr>
        <w:spacing w:after="0" w:line="240" w:lineRule="auto"/>
        <w:jc w:val="both"/>
        <w:rPr>
          <w:rFonts w:ascii="Verdana" w:hAnsi="Verdana"/>
          <w:sz w:val="20"/>
          <w:szCs w:val="20"/>
        </w:rPr>
      </w:pPr>
    </w:p>
    <w:p w14:paraId="3765C642" w14:textId="3C561E52" w:rsidR="005D6A4F" w:rsidRPr="0034734E" w:rsidRDefault="00840C9E" w:rsidP="005D6A4F">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Con posterioridad a la celebración </w:t>
      </w:r>
      <w:r w:rsidR="00A13543" w:rsidRPr="006A0A3F">
        <w:rPr>
          <w:rFonts w:ascii="Verdana" w:hAnsi="Verdana"/>
          <w:sz w:val="20"/>
          <w:szCs w:val="20"/>
        </w:rPr>
        <w:t xml:space="preserve">del </w:t>
      </w:r>
      <w:r w:rsidR="00F65F67" w:rsidRPr="006A0A3F">
        <w:rPr>
          <w:rFonts w:ascii="Verdana" w:hAnsi="Verdana"/>
          <w:sz w:val="20"/>
          <w:szCs w:val="20"/>
        </w:rPr>
        <w:t xml:space="preserve">referendo </w:t>
      </w:r>
      <w:r w:rsidR="00A13543" w:rsidRPr="006A0A3F">
        <w:rPr>
          <w:rFonts w:ascii="Verdana" w:hAnsi="Verdana"/>
          <w:sz w:val="20"/>
          <w:szCs w:val="20"/>
        </w:rPr>
        <w:t>revocatorio, en abril de 200</w:t>
      </w:r>
      <w:r w:rsidRPr="006A0A3F">
        <w:rPr>
          <w:rFonts w:ascii="Verdana" w:hAnsi="Verdana"/>
          <w:sz w:val="20"/>
          <w:szCs w:val="20"/>
        </w:rPr>
        <w:t xml:space="preserve">5 el entonces Presidente de la República hizo una declaración de cuyo contenido puede </w:t>
      </w:r>
      <w:r w:rsidR="005D6A4F" w:rsidRPr="006A0A3F">
        <w:rPr>
          <w:rFonts w:ascii="Verdana" w:hAnsi="Verdana"/>
          <w:sz w:val="20"/>
          <w:szCs w:val="20"/>
        </w:rPr>
        <w:t>desprenderse</w:t>
      </w:r>
      <w:r w:rsidRPr="006A0A3F">
        <w:rPr>
          <w:rFonts w:ascii="Verdana" w:hAnsi="Verdana"/>
          <w:sz w:val="20"/>
          <w:szCs w:val="20"/>
        </w:rPr>
        <w:t xml:space="preserve"> un reconocimiento de que la </w:t>
      </w:r>
      <w:r w:rsidR="00315BE6" w:rsidRPr="006A0A3F">
        <w:rPr>
          <w:rFonts w:ascii="Verdana" w:hAnsi="Verdana"/>
          <w:sz w:val="20"/>
          <w:szCs w:val="20"/>
        </w:rPr>
        <w:t>L</w:t>
      </w:r>
      <w:r w:rsidRPr="006A0A3F">
        <w:rPr>
          <w:rFonts w:ascii="Verdana" w:hAnsi="Verdana"/>
          <w:sz w:val="20"/>
          <w:szCs w:val="20"/>
        </w:rPr>
        <w:t xml:space="preserve">ista </w:t>
      </w:r>
      <w:proofErr w:type="spellStart"/>
      <w:r w:rsidRPr="006A0A3F">
        <w:rPr>
          <w:rFonts w:ascii="Verdana" w:hAnsi="Verdana"/>
          <w:sz w:val="20"/>
          <w:szCs w:val="20"/>
        </w:rPr>
        <w:t>Tascón</w:t>
      </w:r>
      <w:proofErr w:type="spellEnd"/>
      <w:r w:rsidRPr="006A0A3F">
        <w:rPr>
          <w:rFonts w:ascii="Verdana" w:hAnsi="Verdana"/>
          <w:sz w:val="20"/>
          <w:szCs w:val="20"/>
        </w:rPr>
        <w:t xml:space="preserve"> </w:t>
      </w:r>
      <w:r w:rsidR="001A05C5" w:rsidRPr="006A0A3F">
        <w:rPr>
          <w:rFonts w:ascii="Verdana" w:hAnsi="Verdana"/>
          <w:sz w:val="20"/>
          <w:szCs w:val="20"/>
        </w:rPr>
        <w:t xml:space="preserve">efectivamente </w:t>
      </w:r>
      <w:r w:rsidRPr="006A0A3F">
        <w:rPr>
          <w:rFonts w:ascii="Verdana" w:hAnsi="Verdana"/>
          <w:sz w:val="20"/>
          <w:szCs w:val="20"/>
        </w:rPr>
        <w:t xml:space="preserve">fue utilizada para bloquear solicitudes de empleo, </w:t>
      </w:r>
      <w:r w:rsidR="005D6A4F" w:rsidRPr="006A0A3F">
        <w:rPr>
          <w:rFonts w:ascii="Verdana" w:hAnsi="Verdana"/>
          <w:sz w:val="20"/>
          <w:szCs w:val="20"/>
        </w:rPr>
        <w:t xml:space="preserve">es decir, como instrumento para materializar represalias contra las personas que firmaron, </w:t>
      </w:r>
      <w:r w:rsidRPr="006A0A3F">
        <w:rPr>
          <w:rFonts w:ascii="Verdana" w:hAnsi="Verdana"/>
          <w:sz w:val="20"/>
          <w:szCs w:val="20"/>
        </w:rPr>
        <w:t>haciendo entonces un llamado “a tender puentes” y a</w:t>
      </w:r>
      <w:r w:rsidR="00E41457" w:rsidRPr="006A0A3F">
        <w:rPr>
          <w:rFonts w:ascii="Verdana" w:hAnsi="Verdana"/>
          <w:sz w:val="20"/>
          <w:szCs w:val="20"/>
        </w:rPr>
        <w:t xml:space="preserve"> “enterrar</w:t>
      </w:r>
      <w:r w:rsidRPr="006A0A3F">
        <w:rPr>
          <w:rFonts w:ascii="Verdana" w:hAnsi="Verdana"/>
          <w:sz w:val="20"/>
          <w:szCs w:val="20"/>
        </w:rPr>
        <w:t xml:space="preserve"> la lista </w:t>
      </w:r>
      <w:proofErr w:type="spellStart"/>
      <w:r w:rsidRPr="006A0A3F">
        <w:rPr>
          <w:rFonts w:ascii="Verdana" w:hAnsi="Verdana"/>
          <w:sz w:val="20"/>
          <w:szCs w:val="20"/>
        </w:rPr>
        <w:t>Tascón</w:t>
      </w:r>
      <w:proofErr w:type="spellEnd"/>
      <w:r w:rsidRPr="006A0A3F">
        <w:rPr>
          <w:rFonts w:ascii="Verdana" w:hAnsi="Verdana"/>
          <w:sz w:val="20"/>
          <w:szCs w:val="20"/>
        </w:rPr>
        <w:t>”</w:t>
      </w:r>
      <w:r w:rsidR="005D6A4F" w:rsidRPr="006A0A3F">
        <w:rPr>
          <w:rFonts w:ascii="Verdana" w:hAnsi="Verdana"/>
          <w:sz w:val="20"/>
          <w:szCs w:val="20"/>
        </w:rPr>
        <w:t xml:space="preserve"> (</w:t>
      </w:r>
      <w:r w:rsidR="005D6A4F" w:rsidRPr="006A0A3F">
        <w:rPr>
          <w:rFonts w:ascii="Verdana" w:hAnsi="Verdana"/>
          <w:i/>
          <w:sz w:val="20"/>
          <w:szCs w:val="20"/>
        </w:rPr>
        <w:t>supra</w:t>
      </w:r>
      <w:r w:rsidR="00862F2B" w:rsidRPr="006A0A3F">
        <w:rPr>
          <w:rFonts w:ascii="Verdana" w:hAnsi="Verdana"/>
          <w:sz w:val="20"/>
          <w:szCs w:val="20"/>
        </w:rPr>
        <w:t xml:space="preserve"> párr. 68</w:t>
      </w:r>
      <w:r w:rsidR="005D6A4F" w:rsidRPr="006A0A3F">
        <w:rPr>
          <w:rFonts w:ascii="Verdana" w:hAnsi="Verdana"/>
          <w:sz w:val="20"/>
          <w:szCs w:val="20"/>
        </w:rPr>
        <w:t>)</w:t>
      </w:r>
      <w:r w:rsidRPr="006A0A3F">
        <w:rPr>
          <w:rFonts w:ascii="Verdana" w:hAnsi="Verdana"/>
          <w:sz w:val="20"/>
          <w:szCs w:val="20"/>
        </w:rPr>
        <w:t>.</w:t>
      </w:r>
      <w:r w:rsidR="005D6A4F" w:rsidRPr="006A0A3F">
        <w:rPr>
          <w:rFonts w:ascii="Verdana" w:hAnsi="Verdana"/>
          <w:sz w:val="20"/>
          <w:szCs w:val="20"/>
        </w:rPr>
        <w:t xml:space="preserve"> </w:t>
      </w:r>
      <w:r w:rsidR="00EE5F77" w:rsidRPr="006A0A3F">
        <w:rPr>
          <w:rFonts w:ascii="Verdana" w:hAnsi="Verdana"/>
          <w:sz w:val="20"/>
          <w:szCs w:val="20"/>
        </w:rPr>
        <w:t>Asimismo</w:t>
      </w:r>
      <w:r w:rsidR="005D6A4F" w:rsidRPr="006A0A3F">
        <w:rPr>
          <w:rFonts w:ascii="Verdana" w:hAnsi="Verdana"/>
          <w:sz w:val="20"/>
          <w:szCs w:val="20"/>
        </w:rPr>
        <w:t xml:space="preserve">, en mayo de 2005 el directorio del </w:t>
      </w:r>
      <w:r w:rsidR="00EF2FF4" w:rsidRPr="006A0A3F">
        <w:rPr>
          <w:rFonts w:ascii="Verdana" w:hAnsi="Verdana"/>
          <w:sz w:val="20"/>
          <w:szCs w:val="20"/>
        </w:rPr>
        <w:t xml:space="preserve">Consejo Nacional Electoral </w:t>
      </w:r>
      <w:r w:rsidR="005D6A4F" w:rsidRPr="006A0A3F">
        <w:rPr>
          <w:rFonts w:ascii="Verdana" w:hAnsi="Verdana"/>
          <w:sz w:val="20"/>
          <w:szCs w:val="20"/>
        </w:rPr>
        <w:t xml:space="preserve">aprobó por unanimidad una resolución condenando la discriminación de los firmantes a través del uso de la lista </w:t>
      </w:r>
      <w:proofErr w:type="spellStart"/>
      <w:r w:rsidR="005D6A4F" w:rsidRPr="006A0A3F">
        <w:rPr>
          <w:rFonts w:ascii="Verdana" w:hAnsi="Verdana"/>
          <w:sz w:val="20"/>
          <w:szCs w:val="20"/>
        </w:rPr>
        <w:t>Tascón</w:t>
      </w:r>
      <w:proofErr w:type="spellEnd"/>
      <w:r w:rsidR="00862F2B" w:rsidRPr="006A0A3F">
        <w:rPr>
          <w:rFonts w:ascii="Verdana" w:hAnsi="Verdana"/>
          <w:sz w:val="20"/>
          <w:szCs w:val="20"/>
        </w:rPr>
        <w:t xml:space="preserve"> (</w:t>
      </w:r>
      <w:r w:rsidR="00862F2B" w:rsidRPr="006A0A3F">
        <w:rPr>
          <w:rFonts w:ascii="Verdana" w:hAnsi="Verdana"/>
          <w:i/>
          <w:sz w:val="20"/>
          <w:szCs w:val="20"/>
        </w:rPr>
        <w:t>supra</w:t>
      </w:r>
      <w:r w:rsidR="00862F2B" w:rsidRPr="006A0A3F">
        <w:rPr>
          <w:rFonts w:ascii="Verdana" w:hAnsi="Verdana"/>
          <w:sz w:val="20"/>
          <w:szCs w:val="20"/>
        </w:rPr>
        <w:t xml:space="preserve"> párr. 69)</w:t>
      </w:r>
      <w:r w:rsidR="005D6A4F" w:rsidRPr="006A0A3F">
        <w:rPr>
          <w:rFonts w:ascii="Verdana" w:hAnsi="Verdana"/>
          <w:sz w:val="20"/>
          <w:szCs w:val="20"/>
        </w:rPr>
        <w:t xml:space="preserve">. En efecto, en su informe de 2009 sobre Democracia y Derechos Humanos en Venezuela, la Comisión </w:t>
      </w:r>
      <w:r w:rsidR="0034734E">
        <w:rPr>
          <w:rFonts w:ascii="Verdana" w:hAnsi="Verdana"/>
          <w:sz w:val="20"/>
          <w:szCs w:val="20"/>
        </w:rPr>
        <w:t>observó que</w:t>
      </w:r>
      <w:r w:rsidR="005D6A4F" w:rsidRPr="006A0A3F">
        <w:rPr>
          <w:rFonts w:ascii="Verdana" w:hAnsi="Verdana"/>
          <w:sz w:val="20"/>
          <w:szCs w:val="20"/>
        </w:rPr>
        <w:t xml:space="preserve"> </w:t>
      </w:r>
      <w:r w:rsidR="0034734E">
        <w:rPr>
          <w:rFonts w:ascii="Verdana" w:hAnsi="Verdana"/>
          <w:sz w:val="20"/>
          <w:szCs w:val="20"/>
        </w:rPr>
        <w:t xml:space="preserve">en </w:t>
      </w:r>
      <w:r w:rsidR="005D6A4F" w:rsidRPr="006A0A3F">
        <w:rPr>
          <w:rFonts w:ascii="Verdana" w:hAnsi="Verdana"/>
          <w:sz w:val="20"/>
          <w:szCs w:val="20"/>
        </w:rPr>
        <w:t>la referida declaración el Presidente de la República habría reconocido que dicha lista fue utilizada con objet</w:t>
      </w:r>
      <w:r w:rsidR="00221416">
        <w:rPr>
          <w:rFonts w:ascii="Verdana" w:hAnsi="Verdana"/>
          <w:sz w:val="20"/>
          <w:szCs w:val="20"/>
        </w:rPr>
        <w:t>ivos de discriminación política; que</w:t>
      </w:r>
      <w:r w:rsidR="005D6A4F" w:rsidRPr="006A0A3F">
        <w:rPr>
          <w:rFonts w:ascii="Verdana" w:hAnsi="Verdana"/>
          <w:sz w:val="20"/>
          <w:szCs w:val="20"/>
        </w:rPr>
        <w:t xml:space="preserve"> tal lista habría seguido siendo utilizada a nivel público y privado como instrumento para discriminar por razones políticas</w:t>
      </w:r>
      <w:r w:rsidR="00221416">
        <w:rPr>
          <w:rFonts w:ascii="Verdana" w:hAnsi="Verdana"/>
          <w:sz w:val="20"/>
          <w:szCs w:val="20"/>
        </w:rPr>
        <w:t>;</w:t>
      </w:r>
      <w:r w:rsidR="005D6A4F" w:rsidRPr="006A0A3F">
        <w:rPr>
          <w:rFonts w:ascii="Verdana" w:hAnsi="Verdana"/>
          <w:sz w:val="20"/>
          <w:szCs w:val="20"/>
        </w:rPr>
        <w:t xml:space="preserve"> y</w:t>
      </w:r>
      <w:r w:rsidR="00221416">
        <w:rPr>
          <w:rFonts w:ascii="Verdana" w:hAnsi="Verdana"/>
          <w:sz w:val="20"/>
          <w:szCs w:val="20"/>
        </w:rPr>
        <w:t xml:space="preserve"> que</w:t>
      </w:r>
      <w:r w:rsidR="005D6A4F" w:rsidRPr="006A0A3F">
        <w:rPr>
          <w:rFonts w:ascii="Verdana" w:hAnsi="Verdana"/>
          <w:sz w:val="20"/>
          <w:szCs w:val="20"/>
        </w:rPr>
        <w:t xml:space="preserve">, durante las elecciones legislativas del año 2005, se creó una herramienta aún más sofisticada, conocida como la “lista </w:t>
      </w:r>
      <w:proofErr w:type="spellStart"/>
      <w:r w:rsidR="005D6A4F" w:rsidRPr="006A0A3F">
        <w:rPr>
          <w:rFonts w:ascii="Verdana" w:hAnsi="Verdana"/>
          <w:sz w:val="20"/>
          <w:szCs w:val="20"/>
        </w:rPr>
        <w:t>Maisanta</w:t>
      </w:r>
      <w:proofErr w:type="spellEnd"/>
      <w:r w:rsidR="005D6A4F" w:rsidRPr="006A0A3F">
        <w:rPr>
          <w:rFonts w:ascii="Verdana" w:hAnsi="Verdana"/>
          <w:sz w:val="20"/>
          <w:szCs w:val="20"/>
        </w:rPr>
        <w:t xml:space="preserve">”, que contiene, además de los nombres de quienes firmaron </w:t>
      </w:r>
      <w:r w:rsidR="005D6A4F" w:rsidRPr="0034734E">
        <w:rPr>
          <w:rFonts w:ascii="Verdana" w:hAnsi="Verdana"/>
          <w:sz w:val="20"/>
          <w:szCs w:val="20"/>
        </w:rPr>
        <w:t>la solicitud de referendo, información detallada sobre los votantes registrados y su posición política</w:t>
      </w:r>
      <w:r w:rsidR="005D6A4F" w:rsidRPr="0034734E">
        <w:rPr>
          <w:rStyle w:val="FootnoteReference"/>
          <w:rFonts w:ascii="Verdana" w:hAnsi="Verdana"/>
          <w:sz w:val="20"/>
          <w:szCs w:val="20"/>
        </w:rPr>
        <w:footnoteReference w:id="205"/>
      </w:r>
      <w:r w:rsidR="005D6A4F" w:rsidRPr="0034734E">
        <w:rPr>
          <w:rFonts w:ascii="Verdana" w:hAnsi="Verdana"/>
          <w:sz w:val="20"/>
          <w:szCs w:val="20"/>
        </w:rPr>
        <w:t>. Varios declarantes refirieron que ambas listas han sido utilizadas, y lo seguirían siendo actualmente, como bases de datos para incorporar información con fines políticos o de control político</w:t>
      </w:r>
      <w:r w:rsidR="00E41457" w:rsidRPr="0034734E">
        <w:rPr>
          <w:rFonts w:ascii="Verdana" w:hAnsi="Verdana"/>
          <w:sz w:val="20"/>
          <w:szCs w:val="20"/>
        </w:rPr>
        <w:t xml:space="preserve"> (</w:t>
      </w:r>
      <w:r w:rsidR="00E41457" w:rsidRPr="0034734E">
        <w:rPr>
          <w:rFonts w:ascii="Verdana" w:hAnsi="Verdana"/>
          <w:i/>
          <w:sz w:val="20"/>
          <w:szCs w:val="20"/>
        </w:rPr>
        <w:t xml:space="preserve">supra </w:t>
      </w:r>
      <w:r w:rsidR="00862F2B" w:rsidRPr="0034734E">
        <w:rPr>
          <w:rFonts w:ascii="Verdana" w:hAnsi="Verdana"/>
          <w:sz w:val="20"/>
          <w:szCs w:val="20"/>
        </w:rPr>
        <w:t>párr. 70</w:t>
      </w:r>
      <w:r w:rsidR="00E41457" w:rsidRPr="0034734E">
        <w:rPr>
          <w:rFonts w:ascii="Verdana" w:hAnsi="Verdana"/>
          <w:sz w:val="20"/>
          <w:szCs w:val="20"/>
        </w:rPr>
        <w:t>)</w:t>
      </w:r>
      <w:r w:rsidR="005D6A4F" w:rsidRPr="0034734E">
        <w:rPr>
          <w:rFonts w:ascii="Verdana" w:hAnsi="Verdana"/>
          <w:sz w:val="20"/>
          <w:szCs w:val="20"/>
        </w:rPr>
        <w:t>.</w:t>
      </w:r>
    </w:p>
    <w:p w14:paraId="60F97997" w14:textId="0C791DC3" w:rsidR="005D6A4F" w:rsidRPr="006A0A3F" w:rsidRDefault="005D6A4F" w:rsidP="005D6A4F">
      <w:pPr>
        <w:pBdr>
          <w:top w:val="nil"/>
        </w:pBdr>
        <w:spacing w:after="0" w:line="240" w:lineRule="auto"/>
        <w:jc w:val="both"/>
        <w:rPr>
          <w:rFonts w:ascii="Verdana" w:hAnsi="Verdana"/>
          <w:sz w:val="20"/>
          <w:szCs w:val="20"/>
        </w:rPr>
      </w:pPr>
    </w:p>
    <w:p w14:paraId="4E3ADDCE" w14:textId="2E6CEAD4" w:rsidR="00561D63" w:rsidRPr="006A0A3F" w:rsidRDefault="00561D63" w:rsidP="008E6952">
      <w:pPr>
        <w:pBdr>
          <w:top w:val="nil"/>
        </w:pBdr>
        <w:autoSpaceDE w:val="0"/>
        <w:autoSpaceDN w:val="0"/>
        <w:adjustRightInd w:val="0"/>
        <w:spacing w:after="0" w:line="240" w:lineRule="auto"/>
        <w:ind w:left="1413" w:hanging="705"/>
        <w:jc w:val="both"/>
        <w:rPr>
          <w:rFonts w:ascii="Verdana" w:hAnsi="Verdana"/>
          <w:b/>
          <w:sz w:val="20"/>
          <w:szCs w:val="20"/>
        </w:rPr>
      </w:pPr>
      <w:r w:rsidRPr="006A0A3F">
        <w:rPr>
          <w:rFonts w:ascii="Verdana" w:hAnsi="Verdana"/>
          <w:b/>
          <w:i/>
          <w:sz w:val="20"/>
        </w:rPr>
        <w:lastRenderedPageBreak/>
        <w:t xml:space="preserve">iv) </w:t>
      </w:r>
      <w:r w:rsidRPr="006A0A3F">
        <w:rPr>
          <w:rFonts w:ascii="Verdana" w:hAnsi="Verdana"/>
          <w:b/>
          <w:i/>
          <w:sz w:val="20"/>
        </w:rPr>
        <w:tab/>
        <w:t xml:space="preserve">Conclusión </w:t>
      </w:r>
    </w:p>
    <w:p w14:paraId="65866A03" w14:textId="77777777" w:rsidR="00561D63" w:rsidRPr="006A0A3F" w:rsidRDefault="00561D63" w:rsidP="005D6A4F">
      <w:pPr>
        <w:pBdr>
          <w:top w:val="nil"/>
        </w:pBdr>
        <w:spacing w:after="0" w:line="240" w:lineRule="auto"/>
        <w:jc w:val="both"/>
        <w:rPr>
          <w:rFonts w:ascii="Verdana" w:hAnsi="Verdana"/>
          <w:sz w:val="20"/>
          <w:szCs w:val="20"/>
        </w:rPr>
      </w:pPr>
    </w:p>
    <w:p w14:paraId="7F6A0D4E" w14:textId="3FC1662E" w:rsidR="0092339B" w:rsidRPr="006A0A3F" w:rsidRDefault="005D6A4F" w:rsidP="0092339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Los elementos anteriores permiten al Tribunal considerar que la terminación de los contratos de las presuntas víctimas se dio en un contexto de</w:t>
      </w:r>
      <w:r w:rsidR="00EE5F77" w:rsidRPr="006A0A3F">
        <w:rPr>
          <w:rFonts w:ascii="Verdana" w:hAnsi="Verdana"/>
          <w:sz w:val="20"/>
          <w:szCs w:val="20"/>
        </w:rPr>
        <w:t xml:space="preserve"> </w:t>
      </w:r>
      <w:r w:rsidR="00EE5F77" w:rsidRPr="006A0A3F">
        <w:rPr>
          <w:rFonts w:ascii="Verdana" w:hAnsi="Verdana"/>
          <w:sz w:val="20"/>
        </w:rPr>
        <w:t xml:space="preserve">alta inestabilidad, polarización política e intolerancia a la disidencia, el cual </w:t>
      </w:r>
      <w:r w:rsidR="0092339B" w:rsidRPr="006A0A3F">
        <w:rPr>
          <w:rFonts w:ascii="Verdana" w:hAnsi="Verdana"/>
          <w:sz w:val="20"/>
        </w:rPr>
        <w:t xml:space="preserve">pudo </w:t>
      </w:r>
      <w:r w:rsidR="00EE5F77" w:rsidRPr="006A0A3F">
        <w:rPr>
          <w:rFonts w:ascii="Verdana" w:hAnsi="Verdana"/>
          <w:sz w:val="20"/>
        </w:rPr>
        <w:t>propici</w:t>
      </w:r>
      <w:r w:rsidR="0092339B" w:rsidRPr="006A0A3F">
        <w:rPr>
          <w:rFonts w:ascii="Verdana" w:hAnsi="Verdana"/>
          <w:sz w:val="20"/>
        </w:rPr>
        <w:t>ar</w:t>
      </w:r>
      <w:r w:rsidR="00EE5F77" w:rsidRPr="006A0A3F">
        <w:rPr>
          <w:rFonts w:ascii="Verdana" w:hAnsi="Verdana"/>
          <w:sz w:val="20"/>
        </w:rPr>
        <w:t xml:space="preserve"> </w:t>
      </w:r>
      <w:r w:rsidR="0092339B" w:rsidRPr="006A0A3F">
        <w:rPr>
          <w:rFonts w:ascii="Verdana" w:hAnsi="Verdana"/>
          <w:sz w:val="20"/>
        </w:rPr>
        <w:t>formas de</w:t>
      </w:r>
      <w:r w:rsidRPr="006A0A3F">
        <w:rPr>
          <w:rFonts w:ascii="Verdana" w:hAnsi="Verdana"/>
          <w:sz w:val="20"/>
          <w:szCs w:val="20"/>
        </w:rPr>
        <w:t xml:space="preserve"> persecución o discriminación contra opositores políticos del </w:t>
      </w:r>
      <w:r w:rsidR="00EE5F77" w:rsidRPr="006A0A3F">
        <w:rPr>
          <w:rFonts w:ascii="Verdana" w:hAnsi="Verdana"/>
          <w:sz w:val="20"/>
          <w:szCs w:val="20"/>
        </w:rPr>
        <w:t xml:space="preserve">gobierno de </w:t>
      </w:r>
      <w:r w:rsidRPr="006A0A3F">
        <w:rPr>
          <w:rFonts w:ascii="Verdana" w:hAnsi="Verdana"/>
          <w:sz w:val="20"/>
          <w:szCs w:val="20"/>
        </w:rPr>
        <w:t>entonces o de quienes fueran percibidos como tales</w:t>
      </w:r>
      <w:r w:rsidR="00775CCD" w:rsidRPr="006A0A3F">
        <w:rPr>
          <w:rFonts w:ascii="Verdana" w:hAnsi="Verdana"/>
          <w:sz w:val="20"/>
          <w:szCs w:val="20"/>
        </w:rPr>
        <w:t>, así como contra ciudadanos y funcionarios públicos que firmaron la solicitud de referendo. Asimismo, el hecho de que lo anterior fuera posible mediante actos y de</w:t>
      </w:r>
      <w:r w:rsidR="00717A2F" w:rsidRPr="006A0A3F">
        <w:rPr>
          <w:rFonts w:ascii="Verdana" w:hAnsi="Verdana"/>
          <w:sz w:val="20"/>
          <w:szCs w:val="20"/>
        </w:rPr>
        <w:t>claraciones de miembros de los P</w:t>
      </w:r>
      <w:r w:rsidR="00775CCD" w:rsidRPr="006A0A3F">
        <w:rPr>
          <w:rFonts w:ascii="Verdana" w:hAnsi="Verdana"/>
          <w:sz w:val="20"/>
          <w:szCs w:val="20"/>
        </w:rPr>
        <w:t xml:space="preserve">oderes </w:t>
      </w:r>
      <w:r w:rsidR="00717A2F" w:rsidRPr="006A0A3F">
        <w:rPr>
          <w:rFonts w:ascii="Verdana" w:hAnsi="Verdana"/>
          <w:sz w:val="20"/>
          <w:szCs w:val="20"/>
        </w:rPr>
        <w:t>E</w:t>
      </w:r>
      <w:r w:rsidR="00775CCD" w:rsidRPr="006A0A3F">
        <w:rPr>
          <w:rFonts w:ascii="Verdana" w:hAnsi="Verdana"/>
          <w:sz w:val="20"/>
          <w:szCs w:val="20"/>
        </w:rPr>
        <w:t xml:space="preserve">jecutivo y </w:t>
      </w:r>
      <w:r w:rsidR="00717A2F" w:rsidRPr="006A0A3F">
        <w:rPr>
          <w:rFonts w:ascii="Verdana" w:hAnsi="Verdana"/>
          <w:sz w:val="20"/>
          <w:szCs w:val="20"/>
        </w:rPr>
        <w:t>L</w:t>
      </w:r>
      <w:r w:rsidR="00775CCD" w:rsidRPr="006A0A3F">
        <w:rPr>
          <w:rFonts w:ascii="Verdana" w:hAnsi="Verdana"/>
          <w:sz w:val="20"/>
          <w:szCs w:val="20"/>
        </w:rPr>
        <w:t xml:space="preserve">egislativo, así como de la autoridad electoral competente </w:t>
      </w:r>
      <w:r w:rsidR="00E41457" w:rsidRPr="006A0A3F">
        <w:rPr>
          <w:rFonts w:ascii="Verdana" w:hAnsi="Verdana"/>
          <w:sz w:val="20"/>
          <w:szCs w:val="20"/>
        </w:rPr>
        <w:t>que debía</w:t>
      </w:r>
      <w:r w:rsidR="00775CCD" w:rsidRPr="006A0A3F">
        <w:rPr>
          <w:rFonts w:ascii="Verdana" w:hAnsi="Verdana"/>
          <w:sz w:val="20"/>
          <w:szCs w:val="20"/>
        </w:rPr>
        <w:t xml:space="preserve"> velar por </w:t>
      </w:r>
      <w:r w:rsidR="00E41457" w:rsidRPr="006A0A3F">
        <w:rPr>
          <w:rFonts w:ascii="Verdana" w:hAnsi="Verdana"/>
          <w:sz w:val="20"/>
          <w:szCs w:val="20"/>
        </w:rPr>
        <w:t xml:space="preserve">la correcta realización del </w:t>
      </w:r>
      <w:r w:rsidR="00775CCD" w:rsidRPr="006A0A3F">
        <w:rPr>
          <w:rFonts w:ascii="Verdana" w:hAnsi="Verdana"/>
          <w:sz w:val="20"/>
          <w:szCs w:val="20"/>
        </w:rPr>
        <w:t>referendo revocatorio, podrían indicar formas de coordinación entre</w:t>
      </w:r>
      <w:r w:rsidR="00E41457" w:rsidRPr="006A0A3F">
        <w:rPr>
          <w:rFonts w:ascii="Verdana" w:hAnsi="Verdana"/>
          <w:sz w:val="20"/>
          <w:szCs w:val="20"/>
        </w:rPr>
        <w:t xml:space="preserve"> miembros de</w:t>
      </w:r>
      <w:r w:rsidR="00775CCD" w:rsidRPr="006A0A3F">
        <w:rPr>
          <w:rFonts w:ascii="Verdana" w:hAnsi="Verdana"/>
          <w:sz w:val="20"/>
          <w:szCs w:val="20"/>
        </w:rPr>
        <w:t xml:space="preserve"> poderes del Estado o </w:t>
      </w:r>
      <w:r w:rsidR="007F554C" w:rsidRPr="006A0A3F">
        <w:rPr>
          <w:rFonts w:ascii="Verdana" w:hAnsi="Verdana"/>
          <w:sz w:val="20"/>
          <w:szCs w:val="20"/>
        </w:rPr>
        <w:t>de</w:t>
      </w:r>
      <w:r w:rsidR="00775CCD" w:rsidRPr="006A0A3F">
        <w:rPr>
          <w:rFonts w:ascii="Verdana" w:hAnsi="Verdana"/>
          <w:sz w:val="20"/>
          <w:szCs w:val="20"/>
        </w:rPr>
        <w:t xml:space="preserve"> subordinación </w:t>
      </w:r>
      <w:r w:rsidR="00E41457" w:rsidRPr="006A0A3F">
        <w:rPr>
          <w:rFonts w:ascii="Verdana" w:hAnsi="Verdana"/>
          <w:sz w:val="20"/>
          <w:szCs w:val="20"/>
        </w:rPr>
        <w:t xml:space="preserve">de miembros de </w:t>
      </w:r>
      <w:r w:rsidR="007F554C" w:rsidRPr="006A0A3F">
        <w:rPr>
          <w:rFonts w:ascii="Verdana" w:hAnsi="Verdana"/>
          <w:sz w:val="20"/>
          <w:szCs w:val="20"/>
        </w:rPr>
        <w:t xml:space="preserve">éstos o de </w:t>
      </w:r>
      <w:r w:rsidR="00E41457" w:rsidRPr="006A0A3F">
        <w:rPr>
          <w:rFonts w:ascii="Verdana" w:hAnsi="Verdana"/>
          <w:sz w:val="20"/>
          <w:szCs w:val="20"/>
        </w:rPr>
        <w:t>ciertas</w:t>
      </w:r>
      <w:r w:rsidR="00775CCD" w:rsidRPr="006A0A3F">
        <w:rPr>
          <w:rFonts w:ascii="Verdana" w:hAnsi="Verdana"/>
          <w:sz w:val="20"/>
          <w:szCs w:val="20"/>
        </w:rPr>
        <w:t xml:space="preserve"> instituciones al Poder Ejecutivo de entonces.</w:t>
      </w:r>
      <w:r w:rsidR="0017277E" w:rsidRPr="006A0A3F">
        <w:rPr>
          <w:rFonts w:ascii="Verdana" w:hAnsi="Verdana"/>
          <w:b/>
          <w:color w:val="000000"/>
          <w:sz w:val="20"/>
          <w:szCs w:val="20"/>
        </w:rPr>
        <w:t xml:space="preserve"> </w:t>
      </w:r>
    </w:p>
    <w:p w14:paraId="74DFC32A" w14:textId="77777777" w:rsidR="0092339B" w:rsidRPr="006A0A3F" w:rsidRDefault="0092339B" w:rsidP="0092339B">
      <w:pPr>
        <w:pBdr>
          <w:top w:val="nil"/>
        </w:pBdr>
        <w:spacing w:after="0" w:line="240" w:lineRule="auto"/>
        <w:jc w:val="both"/>
        <w:rPr>
          <w:rFonts w:ascii="Verdana" w:hAnsi="Verdana"/>
          <w:sz w:val="20"/>
          <w:szCs w:val="20"/>
        </w:rPr>
      </w:pPr>
    </w:p>
    <w:p w14:paraId="55124E1C" w14:textId="6958EC83" w:rsidR="0092339B" w:rsidRPr="006A0A3F" w:rsidRDefault="00C819E3" w:rsidP="0092339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Más allá de la naturaleza del vínculo de las presuntas víctimas con la administración pública, o de la necesidad de determinar si –en virtud de una cláusula en su contrato– la autoridad respectiva tenía o no una facultad discrecional para darlo por terminado en cualquier momento, incluso sin motivación, </w:t>
      </w:r>
      <w:r w:rsidR="0092339B" w:rsidRPr="006A0A3F">
        <w:rPr>
          <w:rFonts w:ascii="Verdana" w:hAnsi="Verdana"/>
          <w:sz w:val="20"/>
          <w:szCs w:val="20"/>
        </w:rPr>
        <w:t xml:space="preserve">en el caso, el Estado no ha dado una explicación circunstanciada y precisa acerca de los motivos de su decisión. En casos como el presente no basta la mera invocación de conveniencia o reorganización, sin aportar más explicaciones, pues la debilidad de precisiones en cuanto a las motivaciones refuerza la verosimilitud de los indicios contrarios. </w:t>
      </w:r>
    </w:p>
    <w:p w14:paraId="7250D81D" w14:textId="77777777" w:rsidR="0092339B" w:rsidRPr="006A0A3F" w:rsidRDefault="0092339B" w:rsidP="0092339B">
      <w:pPr>
        <w:pStyle w:val="ListParagraph"/>
        <w:rPr>
          <w:rFonts w:ascii="Verdana" w:hAnsi="Verdana"/>
          <w:sz w:val="20"/>
          <w:lang w:val="es-CR"/>
        </w:rPr>
      </w:pPr>
    </w:p>
    <w:p w14:paraId="071A5E10" w14:textId="0BCC6D1D" w:rsidR="00C819E3" w:rsidRPr="006A0A3F" w:rsidRDefault="0092339B" w:rsidP="00C819E3">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Por ello, </w:t>
      </w:r>
      <w:r w:rsidR="00C819E3" w:rsidRPr="006A0A3F">
        <w:rPr>
          <w:rFonts w:ascii="Verdana" w:hAnsi="Verdana"/>
          <w:sz w:val="20"/>
          <w:szCs w:val="20"/>
        </w:rPr>
        <w:t>la Corte concluye que la terminación de los contratos constituyó una forma de desviación de poder, utilizando dicha cláusula como velo de legalidad para encubrir la verdadera motivación o finalidad real, a saber: una represalia en su contra por haber ejercido legítimamente un derecho de carácter político constitucionalmen</w:t>
      </w:r>
      <w:r w:rsidR="00795ECA" w:rsidRPr="006A0A3F">
        <w:rPr>
          <w:rFonts w:ascii="Verdana" w:hAnsi="Verdana"/>
          <w:sz w:val="20"/>
          <w:szCs w:val="20"/>
        </w:rPr>
        <w:t xml:space="preserve">te previsto, </w:t>
      </w:r>
      <w:r w:rsidR="00C819E3" w:rsidRPr="006A0A3F">
        <w:rPr>
          <w:rFonts w:ascii="Verdana" w:hAnsi="Verdana"/>
          <w:sz w:val="20"/>
          <w:szCs w:val="20"/>
        </w:rPr>
        <w:t>al firmar a favor de la convocatoria al referendo revocatorio presidencial</w:t>
      </w:r>
      <w:r w:rsidR="00B728D1" w:rsidRPr="006A0A3F">
        <w:rPr>
          <w:rFonts w:ascii="Verdana" w:hAnsi="Verdana"/>
          <w:sz w:val="20"/>
          <w:szCs w:val="20"/>
        </w:rPr>
        <w:t>.</w:t>
      </w:r>
      <w:r w:rsidR="00C819E3" w:rsidRPr="006A0A3F">
        <w:rPr>
          <w:rFonts w:ascii="Verdana" w:hAnsi="Verdana"/>
          <w:sz w:val="20"/>
          <w:szCs w:val="20"/>
        </w:rPr>
        <w:t xml:space="preserve"> </w:t>
      </w:r>
      <w:r w:rsidR="00B728D1" w:rsidRPr="006A0A3F">
        <w:rPr>
          <w:rFonts w:ascii="Verdana" w:hAnsi="Verdana"/>
          <w:sz w:val="20"/>
          <w:szCs w:val="20"/>
        </w:rPr>
        <w:t xml:space="preserve">Ello </w:t>
      </w:r>
      <w:r w:rsidR="00C819E3" w:rsidRPr="006A0A3F">
        <w:rPr>
          <w:rFonts w:ascii="Verdana" w:hAnsi="Verdana"/>
          <w:sz w:val="20"/>
          <w:szCs w:val="20"/>
        </w:rPr>
        <w:t xml:space="preserve">fue percibido por los funcionarios superiores como </w:t>
      </w:r>
      <w:r w:rsidR="00795ECA" w:rsidRPr="006A0A3F">
        <w:rPr>
          <w:rFonts w:ascii="Verdana" w:hAnsi="Verdana"/>
          <w:sz w:val="20"/>
          <w:szCs w:val="20"/>
        </w:rPr>
        <w:t>un acto de deslealtad política y</w:t>
      </w:r>
      <w:r w:rsidR="00C819E3" w:rsidRPr="006A0A3F">
        <w:rPr>
          <w:rFonts w:ascii="Verdana" w:hAnsi="Verdana"/>
          <w:sz w:val="20"/>
          <w:szCs w:val="20"/>
        </w:rPr>
        <w:t xml:space="preserve"> como la manifestación de una opinión u orientación política opositora o disidente, que motivó un trato </w:t>
      </w:r>
      <w:r w:rsidR="00B728D1" w:rsidRPr="006A0A3F">
        <w:rPr>
          <w:rFonts w:ascii="Verdana" w:hAnsi="Verdana"/>
          <w:sz w:val="20"/>
          <w:szCs w:val="20"/>
        </w:rPr>
        <w:t>diferenciado</w:t>
      </w:r>
      <w:r w:rsidR="00C819E3" w:rsidRPr="006A0A3F">
        <w:rPr>
          <w:rFonts w:ascii="Verdana" w:hAnsi="Verdana"/>
          <w:sz w:val="20"/>
          <w:szCs w:val="20"/>
        </w:rPr>
        <w:t xml:space="preserve"> hacia ellas</w:t>
      </w:r>
      <w:r w:rsidR="00B728D1" w:rsidRPr="006A0A3F">
        <w:rPr>
          <w:rFonts w:ascii="Verdana" w:hAnsi="Verdana"/>
          <w:sz w:val="20"/>
          <w:szCs w:val="20"/>
        </w:rPr>
        <w:t>, como en efecto fue el hecho de dar por terminada arbitrariamente la relación laboral</w:t>
      </w:r>
      <w:r w:rsidR="00C819E3" w:rsidRPr="006A0A3F">
        <w:rPr>
          <w:rFonts w:ascii="Verdana" w:hAnsi="Verdana"/>
          <w:spacing w:val="-3"/>
          <w:sz w:val="20"/>
          <w:szCs w:val="20"/>
        </w:rPr>
        <w:t>.</w:t>
      </w:r>
    </w:p>
    <w:p w14:paraId="19973F37" w14:textId="77777777" w:rsidR="00C819E3" w:rsidRPr="006A0A3F" w:rsidRDefault="00C819E3" w:rsidP="00C819E3">
      <w:pPr>
        <w:pBdr>
          <w:top w:val="nil"/>
        </w:pBdr>
        <w:spacing w:after="0" w:line="240" w:lineRule="auto"/>
        <w:jc w:val="both"/>
        <w:rPr>
          <w:rFonts w:ascii="Verdana" w:hAnsi="Verdana"/>
          <w:sz w:val="20"/>
          <w:szCs w:val="20"/>
        </w:rPr>
      </w:pPr>
    </w:p>
    <w:p w14:paraId="229ECF63" w14:textId="29F25E26" w:rsidR="00B728D1" w:rsidRPr="006A0A3F" w:rsidRDefault="00CC6F7D" w:rsidP="00B728D1">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En conclusión, </w:t>
      </w:r>
      <w:r w:rsidR="00E90B27" w:rsidRPr="006A0A3F">
        <w:rPr>
          <w:rFonts w:ascii="Verdana" w:hAnsi="Verdana"/>
          <w:sz w:val="20"/>
          <w:szCs w:val="20"/>
        </w:rPr>
        <w:t xml:space="preserve">la Corte </w:t>
      </w:r>
      <w:r w:rsidR="00B728D1" w:rsidRPr="006A0A3F">
        <w:rPr>
          <w:rFonts w:ascii="Verdana" w:hAnsi="Verdana"/>
          <w:sz w:val="20"/>
          <w:szCs w:val="20"/>
        </w:rPr>
        <w:t xml:space="preserve">declara que el Estado es responsable por la violación del derecho a la participación política, reconocido en el </w:t>
      </w:r>
      <w:r w:rsidR="004054C5" w:rsidRPr="006A0A3F">
        <w:rPr>
          <w:rFonts w:ascii="Verdana" w:hAnsi="Verdana"/>
          <w:sz w:val="20"/>
          <w:szCs w:val="20"/>
        </w:rPr>
        <w:t>artículo</w:t>
      </w:r>
      <w:r w:rsidR="00B728D1" w:rsidRPr="006A0A3F">
        <w:rPr>
          <w:rFonts w:ascii="Verdana" w:hAnsi="Verdana"/>
          <w:sz w:val="20"/>
          <w:szCs w:val="20"/>
        </w:rPr>
        <w:t xml:space="preserve"> 23.1.b) y c) de la Convención Americana, en relación con el principio de no discriminación contenido en el artículo 1.1 de la misma, en perjuicio de las señoras Rocío San Miguel Sosa, </w:t>
      </w:r>
      <w:proofErr w:type="spellStart"/>
      <w:r w:rsidR="00B728D1" w:rsidRPr="006A0A3F">
        <w:rPr>
          <w:rFonts w:ascii="Verdana" w:hAnsi="Verdana"/>
          <w:sz w:val="20"/>
          <w:szCs w:val="20"/>
        </w:rPr>
        <w:t>Magally</w:t>
      </w:r>
      <w:proofErr w:type="spellEnd"/>
      <w:r w:rsidR="00B728D1" w:rsidRPr="006A0A3F">
        <w:rPr>
          <w:rFonts w:ascii="Verdana" w:hAnsi="Verdana"/>
          <w:sz w:val="20"/>
          <w:szCs w:val="20"/>
        </w:rPr>
        <w:t xml:space="preserve"> Chang Girón y Thais Coromoto Peña. </w:t>
      </w:r>
    </w:p>
    <w:p w14:paraId="762BEF5B" w14:textId="77777777" w:rsidR="00B728D1" w:rsidRPr="006A0A3F" w:rsidRDefault="00B728D1" w:rsidP="00B728D1">
      <w:pPr>
        <w:pBdr>
          <w:top w:val="nil"/>
        </w:pBdr>
        <w:spacing w:after="0" w:line="240" w:lineRule="auto"/>
        <w:jc w:val="both"/>
        <w:rPr>
          <w:rFonts w:ascii="Verdana" w:hAnsi="Verdana"/>
          <w:sz w:val="20"/>
          <w:szCs w:val="20"/>
        </w:rPr>
      </w:pPr>
    </w:p>
    <w:p w14:paraId="0E8A6794" w14:textId="3C7E799D" w:rsidR="00B728D1" w:rsidRPr="006A0A3F" w:rsidRDefault="00B728D1" w:rsidP="00B728D1">
      <w:pPr>
        <w:pStyle w:val="Heading3"/>
        <w:numPr>
          <w:ilvl w:val="0"/>
          <w:numId w:val="16"/>
        </w:numPr>
        <w:jc w:val="both"/>
        <w:rPr>
          <w:rFonts w:ascii="Verdana" w:hAnsi="Verdana"/>
          <w:i/>
          <w:smallCaps/>
          <w:sz w:val="20"/>
          <w:lang w:val="es-CR"/>
        </w:rPr>
      </w:pPr>
      <w:bookmarkStart w:id="33" w:name="_Toc505876995"/>
      <w:r w:rsidRPr="006A0A3F">
        <w:rPr>
          <w:rFonts w:ascii="Verdana" w:hAnsi="Verdana"/>
          <w:i/>
          <w:smallCaps/>
          <w:sz w:val="20"/>
          <w:lang w:val="es-CR"/>
        </w:rPr>
        <w:t>libertad de pensamiento y expresión</w:t>
      </w:r>
      <w:bookmarkEnd w:id="33"/>
      <w:r w:rsidRPr="006A0A3F">
        <w:rPr>
          <w:rFonts w:ascii="Verdana" w:hAnsi="Verdana"/>
          <w:i/>
          <w:smallCaps/>
          <w:sz w:val="20"/>
          <w:lang w:val="es-CR"/>
        </w:rPr>
        <w:t xml:space="preserve"> </w:t>
      </w:r>
    </w:p>
    <w:p w14:paraId="1C580492" w14:textId="77777777" w:rsidR="00B728D1" w:rsidRPr="006A0A3F" w:rsidRDefault="00B728D1" w:rsidP="001A6711">
      <w:pPr>
        <w:pBdr>
          <w:top w:val="nil"/>
        </w:pBdr>
        <w:spacing w:after="0" w:line="240" w:lineRule="auto"/>
        <w:jc w:val="both"/>
        <w:rPr>
          <w:rFonts w:ascii="Verdana" w:hAnsi="Verdana"/>
          <w:sz w:val="20"/>
          <w:szCs w:val="20"/>
        </w:rPr>
      </w:pPr>
    </w:p>
    <w:p w14:paraId="401816AD" w14:textId="51524669" w:rsidR="00D62FC7" w:rsidRPr="006A0A3F" w:rsidRDefault="00D62FC7" w:rsidP="00D62FC7">
      <w:pPr>
        <w:numPr>
          <w:ilvl w:val="0"/>
          <w:numId w:val="4"/>
        </w:numPr>
        <w:pBdr>
          <w:top w:val="nil"/>
        </w:pBdr>
        <w:spacing w:after="0" w:line="240" w:lineRule="auto"/>
        <w:ind w:left="0" w:firstLine="0"/>
        <w:jc w:val="both"/>
        <w:rPr>
          <w:rFonts w:ascii="Verdana" w:hAnsi="Verdana"/>
          <w:b/>
          <w:sz w:val="20"/>
          <w:szCs w:val="20"/>
        </w:rPr>
      </w:pPr>
      <w:r w:rsidRPr="006A0A3F">
        <w:rPr>
          <w:rFonts w:ascii="Verdana" w:hAnsi="Verdana"/>
          <w:sz w:val="20"/>
          <w:szCs w:val="20"/>
        </w:rPr>
        <w:t>Es oportuno recordar que la libertad de expresión tiene una dimensión individual y una dimensión social, protegidas bajo el artículo 13 de la Convención, que comprende tanto el derecho de buscar, recibir y difundir ideas, opiniones e informaciones de toda índole, como el de recibir y conocer las informaciones, ideas y opiniones difundidas por los demás</w:t>
      </w:r>
      <w:r w:rsidRPr="006A0A3F">
        <w:rPr>
          <w:rStyle w:val="FootnoteReference"/>
          <w:rFonts w:ascii="Verdana" w:hAnsi="Verdana"/>
          <w:sz w:val="20"/>
        </w:rPr>
        <w:footnoteReference w:id="206"/>
      </w:r>
      <w:r w:rsidRPr="006A0A3F">
        <w:rPr>
          <w:rFonts w:ascii="Verdana" w:hAnsi="Verdana"/>
          <w:sz w:val="20"/>
          <w:szCs w:val="20"/>
        </w:rPr>
        <w:t>. Tal dimensión individual comprende el derecho a utilizar cualquier medio apropiado para difundirlas, por lo cual, en este sentido, la expresión y la difusión son indivisibles, de modo que una restricción de las posibilidades de divulgación representa directamente, y en la misma medida, un límite al derecho de expresarse libremente. L</w:t>
      </w:r>
      <w:r w:rsidRPr="006A0A3F">
        <w:rPr>
          <w:rFonts w:ascii="Verdana" w:hAnsi="Verdana"/>
          <w:spacing w:val="-3"/>
          <w:sz w:val="20"/>
          <w:szCs w:val="20"/>
        </w:rPr>
        <w:t>a dimensión social implica también el derecho de todos a conocer opiniones, relatos y noticias vertidas por terceros, el derecho a participar en el debate público y a intercambiar ideas</w:t>
      </w:r>
      <w:r w:rsidR="00C94CA1" w:rsidRPr="006A0A3F">
        <w:rPr>
          <w:rStyle w:val="FootnoteReference"/>
          <w:rFonts w:ascii="Verdana" w:hAnsi="Verdana"/>
          <w:sz w:val="20"/>
        </w:rPr>
        <w:footnoteReference w:id="207"/>
      </w:r>
      <w:r w:rsidRPr="006A0A3F">
        <w:rPr>
          <w:rFonts w:ascii="Verdana" w:hAnsi="Verdana"/>
          <w:spacing w:val="-3"/>
          <w:sz w:val="20"/>
          <w:szCs w:val="20"/>
        </w:rPr>
        <w:t xml:space="preserve">. </w:t>
      </w:r>
    </w:p>
    <w:p w14:paraId="772ABDCA" w14:textId="77777777" w:rsidR="00D62FC7" w:rsidRPr="006A0A3F" w:rsidRDefault="00D62FC7" w:rsidP="00D62FC7">
      <w:pPr>
        <w:pBdr>
          <w:top w:val="nil"/>
        </w:pBdr>
        <w:spacing w:after="0" w:line="240" w:lineRule="auto"/>
        <w:jc w:val="both"/>
        <w:rPr>
          <w:rFonts w:ascii="Verdana" w:hAnsi="Verdana"/>
          <w:b/>
          <w:color w:val="FF0000"/>
          <w:sz w:val="20"/>
          <w:szCs w:val="20"/>
        </w:rPr>
      </w:pPr>
    </w:p>
    <w:p w14:paraId="3DBFF182" w14:textId="1EDAF2DE" w:rsidR="00D62FC7" w:rsidRPr="006A0A3F" w:rsidRDefault="00D62FC7" w:rsidP="00D62FC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De conformidad a la ya citada Carta Democrática Interamericana, es componente fundamental del ejercicio de la democracia, entre otros, “</w:t>
      </w:r>
      <w:r w:rsidRPr="006A0A3F">
        <w:rPr>
          <w:rFonts w:ascii="Verdana" w:hAnsi="Verdana"/>
          <w:sz w:val="20"/>
          <w:szCs w:val="20"/>
          <w:shd w:val="clear" w:color="auto" w:fill="FFFFFF"/>
        </w:rPr>
        <w:t>la libertad de expresión y de prensa”</w:t>
      </w:r>
      <w:r w:rsidRPr="006A0A3F">
        <w:rPr>
          <w:rStyle w:val="FootnoteReference"/>
          <w:rFonts w:ascii="Verdana" w:hAnsi="Verdana"/>
          <w:sz w:val="20"/>
          <w:shd w:val="clear" w:color="auto" w:fill="FFFFFF"/>
        </w:rPr>
        <w:footnoteReference w:id="208"/>
      </w:r>
      <w:r w:rsidRPr="006A0A3F">
        <w:rPr>
          <w:rFonts w:ascii="Verdana" w:hAnsi="Verdana"/>
          <w:sz w:val="20"/>
          <w:szCs w:val="20"/>
          <w:shd w:val="clear" w:color="auto" w:fill="FFFFFF"/>
        </w:rPr>
        <w:t>.</w:t>
      </w:r>
      <w:r w:rsidR="00DD7D9D" w:rsidRPr="006A0A3F">
        <w:rPr>
          <w:rFonts w:ascii="Verdana" w:hAnsi="Verdana"/>
          <w:b/>
          <w:color w:val="000000"/>
          <w:sz w:val="20"/>
          <w:szCs w:val="20"/>
        </w:rPr>
        <w:t xml:space="preserve"> </w:t>
      </w:r>
    </w:p>
    <w:p w14:paraId="07A0DD46" w14:textId="77777777" w:rsidR="00D62FC7" w:rsidRPr="006A0A3F" w:rsidRDefault="00D62FC7" w:rsidP="00D62FC7">
      <w:pPr>
        <w:pBdr>
          <w:top w:val="nil"/>
        </w:pBdr>
        <w:spacing w:after="0" w:line="240" w:lineRule="auto"/>
        <w:jc w:val="both"/>
        <w:rPr>
          <w:rFonts w:ascii="Verdana" w:hAnsi="Verdana"/>
          <w:sz w:val="20"/>
          <w:szCs w:val="20"/>
        </w:rPr>
      </w:pPr>
    </w:p>
    <w:p w14:paraId="41558020" w14:textId="78643711" w:rsidR="00D62FC7" w:rsidRPr="006A0A3F" w:rsidRDefault="00D62FC7" w:rsidP="00D62FC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Es, consecuentemente, indiscutible</w:t>
      </w:r>
      <w:r w:rsidRPr="006A0A3F">
        <w:rPr>
          <w:rStyle w:val="apple-converted-space"/>
          <w:rFonts w:ascii="Verdana" w:hAnsi="Verdana"/>
          <w:sz w:val="20"/>
          <w:szCs w:val="20"/>
        </w:rPr>
        <w:t xml:space="preserve">, como se ha señalado en la jurisprudencia de la Corte, que sin una efectiva garantía de la libertad de expresión, se debilita el sistema democrático y sufren quebranto el pluralismo y la tolerancia; los mecanismos de control y denuncia ciudadana pueden volverse inoperantes y, en definitiva, se </w:t>
      </w:r>
      <w:r w:rsidRPr="006A0A3F">
        <w:rPr>
          <w:rFonts w:ascii="Verdana" w:hAnsi="Verdana"/>
          <w:sz w:val="20"/>
          <w:szCs w:val="20"/>
        </w:rPr>
        <w:t>crea un campo fértil para que se arraiguen sistemas autoritarios</w:t>
      </w:r>
      <w:r w:rsidRPr="006A0A3F">
        <w:rPr>
          <w:rStyle w:val="FootnoteReference"/>
          <w:rFonts w:ascii="Verdana" w:hAnsi="Verdana"/>
          <w:sz w:val="20"/>
        </w:rPr>
        <w:footnoteReference w:id="209"/>
      </w:r>
      <w:r w:rsidRPr="006A0A3F">
        <w:rPr>
          <w:rFonts w:ascii="Verdana" w:hAnsi="Verdana"/>
          <w:sz w:val="20"/>
          <w:szCs w:val="20"/>
        </w:rPr>
        <w:t xml:space="preserve">; que, en un contexto de vulnerabilidad enfrentado por </w:t>
      </w:r>
      <w:r w:rsidR="004530FD" w:rsidRPr="006A0A3F">
        <w:rPr>
          <w:rFonts w:ascii="Verdana" w:hAnsi="Verdana"/>
          <w:sz w:val="20"/>
          <w:szCs w:val="20"/>
        </w:rPr>
        <w:t>determinadas personas</w:t>
      </w:r>
      <w:r w:rsidRPr="006A0A3F">
        <w:rPr>
          <w:rFonts w:ascii="Verdana" w:hAnsi="Verdana"/>
          <w:sz w:val="20"/>
          <w:szCs w:val="20"/>
        </w:rPr>
        <w:t>, declaraciones de las autoridades pueden ser percibidas como amenazas y provocar un efecto amedrentador</w:t>
      </w:r>
      <w:r w:rsidRPr="006A0A3F">
        <w:rPr>
          <w:rStyle w:val="FootnoteReference"/>
          <w:rFonts w:ascii="Verdana" w:hAnsi="Verdana"/>
          <w:sz w:val="20"/>
        </w:rPr>
        <w:footnoteReference w:id="210"/>
      </w:r>
      <w:r w:rsidRPr="006A0A3F">
        <w:rPr>
          <w:rFonts w:ascii="Verdana" w:hAnsi="Verdana"/>
          <w:sz w:val="20"/>
          <w:szCs w:val="20"/>
        </w:rPr>
        <w:t>; y que, al evaluar una supuesta restricción o limitación a la libertad de expresión, el Tribunal no debe sujetarse al estudio del acto en cuestión, sino que debe igualmente examinar dicho acto a la luz de los hechos del caso en su totalidad, incluyendo las circunstancias y el contexto en los que éstos se presentaron</w:t>
      </w:r>
      <w:r w:rsidRPr="006A0A3F">
        <w:rPr>
          <w:rStyle w:val="FootnoteReference"/>
          <w:rFonts w:ascii="Verdana" w:hAnsi="Verdana"/>
          <w:sz w:val="20"/>
        </w:rPr>
        <w:footnoteReference w:id="211"/>
      </w:r>
      <w:r w:rsidRPr="006A0A3F">
        <w:rPr>
          <w:rFonts w:ascii="Verdana" w:hAnsi="Verdana"/>
          <w:sz w:val="20"/>
          <w:szCs w:val="20"/>
        </w:rPr>
        <w:t>.</w:t>
      </w:r>
    </w:p>
    <w:p w14:paraId="500BDDF6" w14:textId="77777777" w:rsidR="00D62FC7" w:rsidRPr="006A0A3F" w:rsidRDefault="00D62FC7" w:rsidP="00D62FC7">
      <w:pPr>
        <w:pBdr>
          <w:top w:val="nil"/>
        </w:pBdr>
        <w:spacing w:after="0" w:line="240" w:lineRule="auto"/>
        <w:jc w:val="both"/>
        <w:rPr>
          <w:rFonts w:ascii="Verdana" w:hAnsi="Verdana"/>
          <w:sz w:val="20"/>
          <w:szCs w:val="20"/>
        </w:rPr>
      </w:pPr>
    </w:p>
    <w:p w14:paraId="17FF003B" w14:textId="332BD6DD" w:rsidR="00965CF3" w:rsidRPr="006A0A3F" w:rsidRDefault="006F5B09" w:rsidP="00965CF3">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z w:val="20"/>
          <w:szCs w:val="20"/>
        </w:rPr>
        <w:t>Además, rec</w:t>
      </w:r>
      <w:r w:rsidRPr="006A0A3F">
        <w:rPr>
          <w:rFonts w:ascii="Verdana" w:hAnsi="Verdana"/>
          <w:spacing w:val="-3"/>
          <w:sz w:val="20"/>
          <w:szCs w:val="20"/>
        </w:rPr>
        <w:t>ientemente esta</w:t>
      </w:r>
      <w:r w:rsidRPr="006A0A3F">
        <w:rPr>
          <w:rFonts w:ascii="Verdana" w:hAnsi="Verdana"/>
          <w:sz w:val="20"/>
        </w:rPr>
        <w:t xml:space="preserve"> Corte ha afirmado que el ámbito de protección del derecho a la libertad de pensamiento y expresión resulta particularmente aplicable en contextos laborales, </w:t>
      </w:r>
      <w:r w:rsidR="00362F1F">
        <w:rPr>
          <w:rFonts w:ascii="Verdana" w:hAnsi="Verdana"/>
          <w:sz w:val="20"/>
        </w:rPr>
        <w:t>en los que</w:t>
      </w:r>
      <w:r w:rsidRPr="006A0A3F">
        <w:rPr>
          <w:rFonts w:ascii="Verdana" w:hAnsi="Verdana"/>
          <w:sz w:val="20"/>
        </w:rPr>
        <w:t xml:space="preserve"> el Estado debe respetar y garantizar dicho derecho a los trabajadores o sus representantes, por lo cual, en caso en que exista un interés general o público, se requiere de un nivel reforzado de protección</w:t>
      </w:r>
      <w:r w:rsidRPr="006A0A3F">
        <w:rPr>
          <w:rStyle w:val="FootnoteReference"/>
          <w:rFonts w:ascii="Verdana" w:hAnsi="Verdana"/>
          <w:sz w:val="20"/>
        </w:rPr>
        <w:footnoteReference w:id="212"/>
      </w:r>
      <w:r w:rsidRPr="006A0A3F">
        <w:rPr>
          <w:rFonts w:ascii="Verdana" w:hAnsi="Verdana"/>
          <w:sz w:val="20"/>
        </w:rPr>
        <w:t xml:space="preserve">. </w:t>
      </w:r>
      <w:r w:rsidR="00965CF3" w:rsidRPr="006A0A3F">
        <w:rPr>
          <w:rFonts w:ascii="Verdana" w:hAnsi="Verdana"/>
          <w:sz w:val="20"/>
          <w:szCs w:val="20"/>
        </w:rPr>
        <w:t xml:space="preserve">Adicionalmente, </w:t>
      </w:r>
      <w:r w:rsidR="00950511" w:rsidRPr="006A0A3F">
        <w:rPr>
          <w:rFonts w:ascii="Verdana" w:hAnsi="Verdana"/>
          <w:sz w:val="20"/>
          <w:szCs w:val="20"/>
        </w:rPr>
        <w:t xml:space="preserve">el Tribunal </w:t>
      </w:r>
      <w:r w:rsidR="00965CF3" w:rsidRPr="006A0A3F">
        <w:rPr>
          <w:rFonts w:ascii="Verdana" w:hAnsi="Verdana"/>
          <w:sz w:val="20"/>
          <w:szCs w:val="20"/>
        </w:rPr>
        <w:t>ha sostenido que “[e]</w:t>
      </w:r>
      <w:r w:rsidR="00965CF3" w:rsidRPr="006A0A3F">
        <w:rPr>
          <w:rFonts w:ascii="Verdana" w:hAnsi="Verdana" w:cs="Arial"/>
          <w:sz w:val="20"/>
          <w:szCs w:val="20"/>
        </w:rPr>
        <w:t>n la arena del debate sobre temas de alto interés público, no sólo se protege la emisión de expresiones inofensivas o bien recibidas por la opinión pública, sino también la de aquellas que chocan, irritan o inquietan a los funcionarios públicos o a un sector cualquiera de la población</w:t>
      </w:r>
      <w:r w:rsidR="003E3AFD" w:rsidRPr="006A0A3F">
        <w:rPr>
          <w:rFonts w:ascii="Verdana" w:hAnsi="Verdana" w:cs="Arial"/>
          <w:sz w:val="20"/>
          <w:szCs w:val="20"/>
        </w:rPr>
        <w:t>”</w:t>
      </w:r>
      <w:r w:rsidR="00965CF3" w:rsidRPr="006A0A3F">
        <w:rPr>
          <w:rFonts w:ascii="Verdana" w:hAnsi="Verdana"/>
          <w:sz w:val="20"/>
          <w:szCs w:val="20"/>
          <w:vertAlign w:val="superscript"/>
        </w:rPr>
        <w:footnoteReference w:id="213"/>
      </w:r>
      <w:r w:rsidR="00965CF3" w:rsidRPr="006A0A3F">
        <w:rPr>
          <w:rFonts w:ascii="Verdana" w:hAnsi="Verdana" w:cs="Arial"/>
          <w:sz w:val="20"/>
          <w:szCs w:val="20"/>
        </w:rPr>
        <w:t>.</w:t>
      </w:r>
    </w:p>
    <w:p w14:paraId="668CF87E" w14:textId="77777777" w:rsidR="006F5B09" w:rsidRPr="006A0A3F" w:rsidRDefault="006F5B09" w:rsidP="00D62FC7">
      <w:pPr>
        <w:pBdr>
          <w:top w:val="nil"/>
        </w:pBdr>
        <w:spacing w:after="0" w:line="240" w:lineRule="auto"/>
        <w:jc w:val="both"/>
        <w:rPr>
          <w:rFonts w:ascii="Verdana" w:hAnsi="Verdana"/>
          <w:sz w:val="20"/>
          <w:szCs w:val="20"/>
        </w:rPr>
      </w:pPr>
    </w:p>
    <w:p w14:paraId="48788748" w14:textId="33DEB18E" w:rsidR="000169BD" w:rsidRPr="006A0A3F" w:rsidRDefault="005E3D33" w:rsidP="000169BD">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pacing w:val="-3"/>
          <w:sz w:val="20"/>
          <w:szCs w:val="20"/>
        </w:rPr>
        <w:t xml:space="preserve">En atención </w:t>
      </w:r>
      <w:r w:rsidR="000169BD" w:rsidRPr="006A0A3F">
        <w:rPr>
          <w:rFonts w:ascii="Verdana" w:hAnsi="Verdana"/>
          <w:spacing w:val="-3"/>
          <w:sz w:val="20"/>
          <w:szCs w:val="20"/>
        </w:rPr>
        <w:t>a las</w:t>
      </w:r>
      <w:r w:rsidRPr="006A0A3F">
        <w:rPr>
          <w:rFonts w:ascii="Verdana" w:hAnsi="Verdana"/>
          <w:spacing w:val="-3"/>
          <w:sz w:val="20"/>
          <w:szCs w:val="20"/>
        </w:rPr>
        <w:t xml:space="preserve"> conclusiones de la sección anterior, </w:t>
      </w:r>
      <w:r w:rsidR="00D62FC7" w:rsidRPr="006A0A3F">
        <w:rPr>
          <w:rFonts w:ascii="Verdana" w:hAnsi="Verdana"/>
          <w:sz w:val="20"/>
          <w:szCs w:val="20"/>
        </w:rPr>
        <w:t xml:space="preserve">el acto de firma de una solicitud de referendo </w:t>
      </w:r>
      <w:r w:rsidR="004530FD" w:rsidRPr="006A0A3F">
        <w:rPr>
          <w:rFonts w:ascii="Verdana" w:hAnsi="Verdana"/>
          <w:sz w:val="20"/>
          <w:szCs w:val="20"/>
        </w:rPr>
        <w:t>fue</w:t>
      </w:r>
      <w:r w:rsidR="00083B0D" w:rsidRPr="006A0A3F">
        <w:rPr>
          <w:rFonts w:ascii="Verdana" w:hAnsi="Verdana"/>
          <w:sz w:val="20"/>
          <w:szCs w:val="20"/>
        </w:rPr>
        <w:t>,</w:t>
      </w:r>
      <w:r w:rsidR="00D62FC7" w:rsidRPr="006A0A3F">
        <w:rPr>
          <w:rFonts w:ascii="Verdana" w:hAnsi="Verdana"/>
          <w:sz w:val="20"/>
          <w:szCs w:val="20"/>
        </w:rPr>
        <w:t xml:space="preserve"> </w:t>
      </w:r>
      <w:r w:rsidR="00083B0D" w:rsidRPr="006A0A3F">
        <w:rPr>
          <w:rFonts w:ascii="Verdana" w:hAnsi="Verdana"/>
          <w:sz w:val="20"/>
          <w:szCs w:val="20"/>
        </w:rPr>
        <w:t xml:space="preserve">en un sentido amplio, </w:t>
      </w:r>
      <w:r w:rsidR="00D62FC7" w:rsidRPr="006A0A3F">
        <w:rPr>
          <w:rFonts w:ascii="Verdana" w:hAnsi="Verdana"/>
          <w:sz w:val="20"/>
          <w:szCs w:val="20"/>
        </w:rPr>
        <w:t xml:space="preserve">una forma de opinión </w:t>
      </w:r>
      <w:r w:rsidR="00D62FC7" w:rsidRPr="006A0A3F">
        <w:rPr>
          <w:rFonts w:ascii="Verdana" w:hAnsi="Verdana"/>
          <w:spacing w:val="-3"/>
          <w:sz w:val="20"/>
          <w:szCs w:val="20"/>
        </w:rPr>
        <w:t>política, en cuanto implica</w:t>
      </w:r>
      <w:r w:rsidR="006F5B09" w:rsidRPr="006A0A3F">
        <w:rPr>
          <w:rFonts w:ascii="Verdana" w:hAnsi="Verdana"/>
          <w:spacing w:val="-3"/>
          <w:sz w:val="20"/>
          <w:szCs w:val="20"/>
        </w:rPr>
        <w:t>ba</w:t>
      </w:r>
      <w:r w:rsidR="00D62FC7" w:rsidRPr="006A0A3F">
        <w:rPr>
          <w:rFonts w:ascii="Verdana" w:hAnsi="Verdana"/>
          <w:spacing w:val="-3"/>
          <w:sz w:val="20"/>
          <w:szCs w:val="20"/>
        </w:rPr>
        <w:t xml:space="preserve"> la manifestación de que se considera</w:t>
      </w:r>
      <w:r w:rsidR="00362F1F">
        <w:rPr>
          <w:rFonts w:ascii="Verdana" w:hAnsi="Verdana"/>
          <w:spacing w:val="-3"/>
          <w:sz w:val="20"/>
          <w:szCs w:val="20"/>
        </w:rPr>
        <w:t>ba</w:t>
      </w:r>
      <w:r w:rsidR="00D62FC7" w:rsidRPr="006A0A3F">
        <w:rPr>
          <w:rFonts w:ascii="Verdana" w:hAnsi="Verdana"/>
          <w:spacing w:val="-3"/>
          <w:sz w:val="20"/>
          <w:szCs w:val="20"/>
        </w:rPr>
        <w:t xml:space="preserve"> necesario activar una consulta popular sobre un tema de interés público que es susceptible de deliberac</w:t>
      </w:r>
      <w:r w:rsidRPr="006A0A3F">
        <w:rPr>
          <w:rFonts w:ascii="Verdana" w:hAnsi="Verdana"/>
          <w:spacing w:val="-3"/>
          <w:sz w:val="20"/>
          <w:szCs w:val="20"/>
        </w:rPr>
        <w:t>ión en una sociedad democrática</w:t>
      </w:r>
      <w:r w:rsidR="000169BD" w:rsidRPr="006A0A3F">
        <w:rPr>
          <w:rFonts w:ascii="Verdana" w:hAnsi="Verdana"/>
          <w:spacing w:val="-3"/>
          <w:sz w:val="20"/>
          <w:szCs w:val="20"/>
        </w:rPr>
        <w:t xml:space="preserve">, aún si ello no equivale propiamente a la expresión de una específica o determinada opinión. </w:t>
      </w:r>
    </w:p>
    <w:p w14:paraId="6C726BA7" w14:textId="77777777" w:rsidR="000169BD" w:rsidRPr="006A0A3F" w:rsidRDefault="000169BD" w:rsidP="00D62FC7">
      <w:pPr>
        <w:pStyle w:val="ListParagraph"/>
        <w:rPr>
          <w:rFonts w:ascii="Verdana" w:hAnsi="Verdana"/>
          <w:spacing w:val="-3"/>
          <w:sz w:val="20"/>
          <w:lang w:val="es-CR"/>
        </w:rPr>
      </w:pPr>
    </w:p>
    <w:p w14:paraId="1C5A4436" w14:textId="47B65FAA" w:rsidR="00981B7C" w:rsidRPr="006A0A3F" w:rsidRDefault="00981B7C" w:rsidP="00981B7C">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pacing w:val="-3"/>
          <w:sz w:val="20"/>
          <w:szCs w:val="20"/>
        </w:rPr>
        <w:t>En este caso, a</w:t>
      </w:r>
      <w:r w:rsidR="00D62FC7" w:rsidRPr="006A0A3F">
        <w:rPr>
          <w:rFonts w:ascii="Verdana" w:hAnsi="Verdana"/>
          <w:spacing w:val="-3"/>
          <w:sz w:val="20"/>
          <w:szCs w:val="20"/>
        </w:rPr>
        <w:t>l plantear la acción de amparo, las presuntas víctimas no alegaron violaciones a su libertad de expresión (</w:t>
      </w:r>
      <w:r w:rsidR="00D62FC7" w:rsidRPr="006A0A3F">
        <w:rPr>
          <w:rFonts w:ascii="Verdana" w:hAnsi="Verdana"/>
          <w:i/>
          <w:spacing w:val="-3"/>
          <w:sz w:val="20"/>
          <w:szCs w:val="20"/>
        </w:rPr>
        <w:t>supra</w:t>
      </w:r>
      <w:r w:rsidR="00D62FC7" w:rsidRPr="006A0A3F">
        <w:rPr>
          <w:rFonts w:ascii="Verdana" w:hAnsi="Verdana"/>
          <w:spacing w:val="-3"/>
          <w:sz w:val="20"/>
          <w:szCs w:val="20"/>
        </w:rPr>
        <w:t xml:space="preserve"> párr. 88). No obstante, en el contexto de alta polarización política en que ocurrieron los hechos, </w:t>
      </w:r>
      <w:r w:rsidR="00D62FC7" w:rsidRPr="006A0A3F">
        <w:rPr>
          <w:rFonts w:ascii="Verdana" w:hAnsi="Verdana"/>
          <w:spacing w:val="-3"/>
          <w:sz w:val="20"/>
        </w:rPr>
        <w:t xml:space="preserve">la sola circunstancia de firmar por el revocatorio implicaba una manifestación de que se estaba dispuesto a que el mandato del Presidente </w:t>
      </w:r>
      <w:r w:rsidR="00D62FC7" w:rsidRPr="006A0A3F">
        <w:rPr>
          <w:rFonts w:ascii="Verdana" w:hAnsi="Verdana"/>
          <w:spacing w:val="-3"/>
          <w:sz w:val="20"/>
          <w:szCs w:val="20"/>
        </w:rPr>
        <w:t>de la República</w:t>
      </w:r>
      <w:r w:rsidR="00D62FC7" w:rsidRPr="006A0A3F">
        <w:rPr>
          <w:rFonts w:ascii="Verdana" w:hAnsi="Verdana"/>
          <w:spacing w:val="-3"/>
          <w:sz w:val="20"/>
        </w:rPr>
        <w:t xml:space="preserve"> fuese revocado, si así lo decidía la mayoría, y además se asumía un riesgo al enfrentarse a quién detentaba el poder. La divulgación de esa manifestación, al menos entre las demás personas que procedían de igual manera, constituía un aliciente para que otras asimismo procedieran. Téngase presente, a este respecto, que según el artículo 13.1 de la Convención la libertad de expresión se puede ejercer “por cualquier otro procedimiento de su elección” y, dado el contexto, el acto de firmar puede ser considerado uno de esos otros procedimientos. Es decir, no se trataba solo de ejercer un derecho individual, secreto, sino de expresar un parecer desde el momento mismo de la firma, cual era, que se convocara al revocatorio, el que no tenía sentido si no era apoyado por la cantidad de solicitantes que se exigía y que, por lo mismo, debía ser </w:t>
      </w:r>
      <w:r w:rsidR="00D62FC7" w:rsidRPr="006A0A3F">
        <w:rPr>
          <w:rFonts w:ascii="Verdana" w:hAnsi="Verdana"/>
          <w:spacing w:val="-3"/>
          <w:sz w:val="20"/>
        </w:rPr>
        <w:lastRenderedPageBreak/>
        <w:t>conocido, al menos a través de medios personalizados o de divulgación no tan masivos. Téngase presente también que los hechos posteriores demuestran que las autoridades sí utilizaron esas firmas para amedrentar a los ciudadanos a fin de que no se expresaran de igual manera (</w:t>
      </w:r>
      <w:r w:rsidR="007575B2">
        <w:rPr>
          <w:rFonts w:ascii="Verdana" w:hAnsi="Verdana"/>
          <w:i/>
          <w:spacing w:val="-3"/>
          <w:sz w:val="20"/>
        </w:rPr>
        <w:t>supra</w:t>
      </w:r>
      <w:r w:rsidR="00D62FC7" w:rsidRPr="006A0A3F">
        <w:rPr>
          <w:rFonts w:ascii="Verdana" w:hAnsi="Verdana"/>
          <w:i/>
          <w:spacing w:val="-3"/>
          <w:sz w:val="20"/>
        </w:rPr>
        <w:t xml:space="preserve"> </w:t>
      </w:r>
      <w:proofErr w:type="spellStart"/>
      <w:r w:rsidR="007575B2">
        <w:rPr>
          <w:rFonts w:ascii="Verdana" w:hAnsi="Verdana"/>
          <w:spacing w:val="-3"/>
          <w:sz w:val="20"/>
        </w:rPr>
        <w:t>párrs</w:t>
      </w:r>
      <w:proofErr w:type="spellEnd"/>
      <w:r w:rsidR="007575B2">
        <w:rPr>
          <w:rFonts w:ascii="Verdana" w:hAnsi="Verdana"/>
          <w:spacing w:val="-3"/>
          <w:sz w:val="20"/>
        </w:rPr>
        <w:t>. 14</w:t>
      </w:r>
      <w:r w:rsidR="00D62FC7" w:rsidRPr="006A0A3F">
        <w:rPr>
          <w:rFonts w:ascii="Verdana" w:hAnsi="Verdana"/>
          <w:spacing w:val="-3"/>
          <w:sz w:val="20"/>
        </w:rPr>
        <w:t>2 a 1</w:t>
      </w:r>
      <w:r w:rsidR="007575B2">
        <w:rPr>
          <w:rFonts w:ascii="Verdana" w:hAnsi="Verdana"/>
          <w:spacing w:val="-3"/>
          <w:sz w:val="20"/>
        </w:rPr>
        <w:t>4</w:t>
      </w:r>
      <w:r w:rsidR="00D62FC7" w:rsidRPr="006A0A3F">
        <w:rPr>
          <w:rFonts w:ascii="Verdana" w:hAnsi="Verdana"/>
          <w:spacing w:val="-3"/>
          <w:sz w:val="20"/>
        </w:rPr>
        <w:t>7). En ese orden de ideas, evidentemente esa manifestación constituía un ejercicio de la libertad de expresión.</w:t>
      </w:r>
    </w:p>
    <w:p w14:paraId="1B2CED83" w14:textId="5C91CBB1" w:rsidR="00981B7C" w:rsidRPr="006A0A3F" w:rsidRDefault="00981B7C" w:rsidP="00981B7C">
      <w:pPr>
        <w:pBdr>
          <w:top w:val="nil"/>
        </w:pBdr>
        <w:spacing w:after="0" w:line="240" w:lineRule="auto"/>
        <w:jc w:val="both"/>
        <w:rPr>
          <w:rFonts w:ascii="Verdana" w:hAnsi="Verdana"/>
          <w:spacing w:val="-3"/>
          <w:sz w:val="20"/>
          <w:szCs w:val="20"/>
        </w:rPr>
      </w:pPr>
    </w:p>
    <w:p w14:paraId="56495502" w14:textId="195A766D" w:rsidR="00981B7C" w:rsidRPr="006A0A3F" w:rsidRDefault="00C176A0" w:rsidP="00981B7C">
      <w:pPr>
        <w:numPr>
          <w:ilvl w:val="0"/>
          <w:numId w:val="4"/>
        </w:numPr>
        <w:pBdr>
          <w:top w:val="nil"/>
        </w:pBdr>
        <w:spacing w:after="0" w:line="240" w:lineRule="auto"/>
        <w:ind w:left="0" w:firstLine="0"/>
        <w:jc w:val="both"/>
        <w:rPr>
          <w:rFonts w:ascii="Verdana" w:hAnsi="Verdana"/>
          <w:spacing w:val="-3"/>
          <w:sz w:val="20"/>
          <w:szCs w:val="20"/>
        </w:rPr>
      </w:pPr>
      <w:r w:rsidRPr="006A0A3F">
        <w:rPr>
          <w:rFonts w:ascii="Verdana" w:hAnsi="Verdana"/>
          <w:spacing w:val="-3"/>
          <w:sz w:val="20"/>
          <w:szCs w:val="20"/>
        </w:rPr>
        <w:t xml:space="preserve">Consecuentemente, </w:t>
      </w:r>
      <w:r w:rsidR="00981B7C" w:rsidRPr="006A0A3F">
        <w:rPr>
          <w:rFonts w:ascii="Verdana" w:hAnsi="Verdana"/>
          <w:spacing w:val="-3"/>
          <w:sz w:val="20"/>
          <w:szCs w:val="20"/>
        </w:rPr>
        <w:t>e</w:t>
      </w:r>
      <w:r w:rsidRPr="006A0A3F">
        <w:rPr>
          <w:rFonts w:ascii="Verdana" w:hAnsi="Verdana"/>
          <w:spacing w:val="-3"/>
          <w:sz w:val="20"/>
          <w:szCs w:val="20"/>
        </w:rPr>
        <w:t>l</w:t>
      </w:r>
      <w:r w:rsidR="00981B7C" w:rsidRPr="006A0A3F">
        <w:rPr>
          <w:rFonts w:ascii="Verdana" w:hAnsi="Verdana"/>
          <w:spacing w:val="-3"/>
          <w:sz w:val="20"/>
          <w:szCs w:val="20"/>
        </w:rPr>
        <w:t xml:space="preserve"> hecho de que las presuntas víctimas fueron objeto de discriminación política precisamente como represalia por haber ejercido su libertad de expresión al firmar la solicitud de referendo, implica necesariamente un</w:t>
      </w:r>
      <w:r w:rsidR="002169AE">
        <w:rPr>
          <w:rFonts w:ascii="Verdana" w:hAnsi="Verdana"/>
          <w:spacing w:val="-3"/>
          <w:sz w:val="20"/>
          <w:szCs w:val="20"/>
        </w:rPr>
        <w:t>a restricción directa al ejercici</w:t>
      </w:r>
      <w:r w:rsidR="00981B7C" w:rsidRPr="006A0A3F">
        <w:rPr>
          <w:rFonts w:ascii="Verdana" w:hAnsi="Verdana"/>
          <w:spacing w:val="-3"/>
          <w:sz w:val="20"/>
          <w:szCs w:val="20"/>
        </w:rPr>
        <w:t>o de la misma. El despido arbitrario al que fueron sometidas</w:t>
      </w:r>
      <w:r w:rsidR="00965CF3" w:rsidRPr="006A0A3F">
        <w:rPr>
          <w:rFonts w:ascii="Verdana" w:hAnsi="Verdana"/>
          <w:spacing w:val="-3"/>
          <w:sz w:val="20"/>
          <w:szCs w:val="20"/>
        </w:rPr>
        <w:t xml:space="preserve">, </w:t>
      </w:r>
      <w:r w:rsidR="00950511" w:rsidRPr="006A0A3F">
        <w:rPr>
          <w:rFonts w:ascii="Verdana" w:hAnsi="Verdana"/>
          <w:spacing w:val="-3"/>
          <w:sz w:val="20"/>
          <w:szCs w:val="20"/>
        </w:rPr>
        <w:t xml:space="preserve">luego de la publicación de la lista </w:t>
      </w:r>
      <w:proofErr w:type="spellStart"/>
      <w:r w:rsidR="00950511" w:rsidRPr="006A0A3F">
        <w:rPr>
          <w:rFonts w:ascii="Verdana" w:hAnsi="Verdana"/>
          <w:spacing w:val="-3"/>
          <w:sz w:val="20"/>
          <w:szCs w:val="20"/>
        </w:rPr>
        <w:t>Tascón</w:t>
      </w:r>
      <w:proofErr w:type="spellEnd"/>
      <w:r w:rsidR="00950511" w:rsidRPr="006A0A3F">
        <w:rPr>
          <w:rFonts w:ascii="Verdana" w:hAnsi="Verdana"/>
          <w:spacing w:val="-3"/>
          <w:sz w:val="20"/>
          <w:szCs w:val="20"/>
        </w:rPr>
        <w:t xml:space="preserve"> y </w:t>
      </w:r>
      <w:r w:rsidR="00965CF3" w:rsidRPr="006A0A3F">
        <w:rPr>
          <w:rFonts w:ascii="Verdana" w:hAnsi="Verdana"/>
          <w:spacing w:val="-3"/>
          <w:sz w:val="20"/>
          <w:szCs w:val="20"/>
        </w:rPr>
        <w:t>en un contexto de denuncias de despidos arbitrarios y de otras formas de represalia para quienes habían firmado por el referendo,</w:t>
      </w:r>
      <w:r w:rsidR="00981B7C" w:rsidRPr="006A0A3F">
        <w:rPr>
          <w:rFonts w:ascii="Verdana" w:hAnsi="Verdana"/>
          <w:spacing w:val="-3"/>
          <w:sz w:val="20"/>
          <w:szCs w:val="20"/>
        </w:rPr>
        <w:t xml:space="preserve"> te</w:t>
      </w:r>
      <w:r w:rsidR="00965CF3" w:rsidRPr="006A0A3F">
        <w:rPr>
          <w:rFonts w:ascii="Verdana" w:hAnsi="Verdana"/>
          <w:spacing w:val="-3"/>
          <w:sz w:val="20"/>
          <w:szCs w:val="20"/>
        </w:rPr>
        <w:t xml:space="preserve">nía la intención encubierta de acallar y desincentivar la disidencia política, pues fue instrumentalizado como factor ejemplarizante para que otras personas que ejercieron esa misma libertad se vieran amedrentadas de participar políticamente y eventualmente motivadas de manera ilegítima a retirar o “reparar” sus firmas en el procedimiento establecido por el </w:t>
      </w:r>
      <w:r w:rsidR="00EF2FF4" w:rsidRPr="006A0A3F">
        <w:rPr>
          <w:rFonts w:ascii="Verdana" w:hAnsi="Verdana"/>
          <w:sz w:val="20"/>
          <w:szCs w:val="20"/>
        </w:rPr>
        <w:t>Consejo Nacional Electoral</w:t>
      </w:r>
      <w:r w:rsidR="00EF2FF4" w:rsidRPr="006A0A3F">
        <w:rPr>
          <w:rFonts w:ascii="Verdana" w:hAnsi="Verdana"/>
          <w:spacing w:val="-3"/>
          <w:sz w:val="20"/>
          <w:szCs w:val="20"/>
        </w:rPr>
        <w:t xml:space="preserve"> </w:t>
      </w:r>
      <w:r w:rsidR="00965CF3" w:rsidRPr="006A0A3F">
        <w:rPr>
          <w:rFonts w:ascii="Verdana" w:hAnsi="Verdana"/>
          <w:spacing w:val="-3"/>
          <w:sz w:val="20"/>
          <w:szCs w:val="20"/>
        </w:rPr>
        <w:t>al efecto</w:t>
      </w:r>
      <w:r w:rsidR="00950511" w:rsidRPr="006A0A3F">
        <w:rPr>
          <w:rFonts w:ascii="Verdana" w:hAnsi="Verdana"/>
          <w:spacing w:val="-3"/>
          <w:sz w:val="20"/>
          <w:szCs w:val="20"/>
        </w:rPr>
        <w:t xml:space="preserve">. </w:t>
      </w:r>
    </w:p>
    <w:p w14:paraId="1D0ADF13" w14:textId="77777777" w:rsidR="00981B7C" w:rsidRPr="006A0A3F" w:rsidRDefault="00981B7C" w:rsidP="00981B7C">
      <w:pPr>
        <w:pBdr>
          <w:top w:val="nil"/>
        </w:pBdr>
        <w:spacing w:after="0" w:line="240" w:lineRule="auto"/>
        <w:jc w:val="both"/>
        <w:rPr>
          <w:rFonts w:ascii="Verdana" w:hAnsi="Verdana"/>
          <w:spacing w:val="-3"/>
          <w:sz w:val="20"/>
          <w:szCs w:val="20"/>
        </w:rPr>
      </w:pPr>
    </w:p>
    <w:p w14:paraId="29094339" w14:textId="081D9863" w:rsidR="00D62FC7" w:rsidRPr="006A0A3F" w:rsidRDefault="004530FD" w:rsidP="00D62FC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Según fue considerado,</w:t>
      </w:r>
      <w:r w:rsidR="00D62FC7" w:rsidRPr="006A0A3F">
        <w:rPr>
          <w:rFonts w:ascii="Verdana" w:hAnsi="Verdana"/>
          <w:sz w:val="20"/>
          <w:szCs w:val="20"/>
        </w:rPr>
        <w:t xml:space="preserve"> las situaciones analizadas pudieron generar impedimentos en el libre debate público sobre temas de interés de la sociedad, lo que es esencial para el sano funcionamie</w:t>
      </w:r>
      <w:r w:rsidR="00950511" w:rsidRPr="006A0A3F">
        <w:rPr>
          <w:rFonts w:ascii="Verdana" w:hAnsi="Verdana"/>
          <w:sz w:val="20"/>
          <w:szCs w:val="20"/>
        </w:rPr>
        <w:t>nto de una sociedad democrática y, por ende,</w:t>
      </w:r>
      <w:r w:rsidR="00D62FC7" w:rsidRPr="006A0A3F">
        <w:rPr>
          <w:rFonts w:ascii="Verdana" w:hAnsi="Verdana"/>
          <w:sz w:val="20"/>
          <w:szCs w:val="20"/>
        </w:rPr>
        <w:t xml:space="preserve"> efectos disuasivos, atemorizadores e inhibidores en la dimensión colectiva de la libertad de expresión</w:t>
      </w:r>
      <w:r w:rsidR="00D62FC7" w:rsidRPr="006A0A3F">
        <w:rPr>
          <w:rStyle w:val="FootnoteReference"/>
          <w:rFonts w:ascii="Verdana" w:hAnsi="Verdana"/>
          <w:sz w:val="20"/>
          <w:szCs w:val="20"/>
        </w:rPr>
        <w:footnoteReference w:id="214"/>
      </w:r>
      <w:r w:rsidR="00D62FC7" w:rsidRPr="006A0A3F">
        <w:rPr>
          <w:rFonts w:ascii="Verdana" w:hAnsi="Verdana"/>
          <w:sz w:val="20"/>
          <w:szCs w:val="20"/>
        </w:rPr>
        <w:t xml:space="preserve">. </w:t>
      </w:r>
    </w:p>
    <w:p w14:paraId="11B0DDC1" w14:textId="77777777" w:rsidR="00950511" w:rsidRPr="006A0A3F" w:rsidRDefault="00950511" w:rsidP="00950511">
      <w:pPr>
        <w:pBdr>
          <w:top w:val="nil"/>
        </w:pBdr>
        <w:spacing w:after="0" w:line="240" w:lineRule="auto"/>
        <w:jc w:val="both"/>
        <w:rPr>
          <w:rFonts w:ascii="Verdana" w:hAnsi="Verdana"/>
          <w:sz w:val="20"/>
          <w:szCs w:val="20"/>
        </w:rPr>
      </w:pPr>
    </w:p>
    <w:p w14:paraId="2B8A4BA4" w14:textId="6E631E08" w:rsidR="00D62FC7" w:rsidRPr="006A0A3F" w:rsidRDefault="00950511" w:rsidP="00D62FC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Por las razones anteriores, l</w:t>
      </w:r>
      <w:r w:rsidR="00D62FC7" w:rsidRPr="006A0A3F">
        <w:rPr>
          <w:rFonts w:ascii="Verdana" w:hAnsi="Verdana"/>
          <w:sz w:val="20"/>
          <w:szCs w:val="20"/>
        </w:rPr>
        <w:t xml:space="preserve">a Corte declara que el Estado es responsable por la violación de la libertad de </w:t>
      </w:r>
      <w:r w:rsidRPr="006A0A3F">
        <w:rPr>
          <w:rFonts w:ascii="Verdana" w:hAnsi="Verdana"/>
          <w:sz w:val="20"/>
          <w:szCs w:val="20"/>
        </w:rPr>
        <w:t xml:space="preserve">pensamiento y </w:t>
      </w:r>
      <w:r w:rsidR="00D62FC7" w:rsidRPr="006A0A3F">
        <w:rPr>
          <w:rFonts w:ascii="Verdana" w:hAnsi="Verdana"/>
          <w:sz w:val="20"/>
          <w:szCs w:val="20"/>
        </w:rPr>
        <w:t>expresión</w:t>
      </w:r>
      <w:r w:rsidRPr="006A0A3F">
        <w:rPr>
          <w:rFonts w:ascii="Verdana" w:hAnsi="Verdana"/>
          <w:sz w:val="20"/>
          <w:szCs w:val="20"/>
        </w:rPr>
        <w:t>, reconocida</w:t>
      </w:r>
      <w:r w:rsidR="00D62FC7" w:rsidRPr="006A0A3F">
        <w:rPr>
          <w:rFonts w:ascii="Verdana" w:hAnsi="Verdana"/>
          <w:sz w:val="20"/>
          <w:szCs w:val="20"/>
        </w:rPr>
        <w:t xml:space="preserve"> en </w:t>
      </w:r>
      <w:r w:rsidRPr="006A0A3F">
        <w:rPr>
          <w:rFonts w:ascii="Verdana" w:hAnsi="Verdana"/>
          <w:sz w:val="20"/>
          <w:szCs w:val="20"/>
        </w:rPr>
        <w:t xml:space="preserve">el </w:t>
      </w:r>
      <w:r w:rsidR="00D62FC7" w:rsidRPr="006A0A3F">
        <w:rPr>
          <w:rFonts w:ascii="Verdana" w:hAnsi="Verdana"/>
          <w:sz w:val="20"/>
          <w:szCs w:val="20"/>
        </w:rPr>
        <w:t>artículo</w:t>
      </w:r>
      <w:r w:rsidRPr="006A0A3F">
        <w:rPr>
          <w:rFonts w:ascii="Verdana" w:hAnsi="Verdana"/>
          <w:sz w:val="20"/>
          <w:szCs w:val="20"/>
        </w:rPr>
        <w:t xml:space="preserve"> </w:t>
      </w:r>
      <w:r w:rsidR="00D62FC7" w:rsidRPr="006A0A3F">
        <w:rPr>
          <w:rFonts w:ascii="Verdana" w:hAnsi="Verdana"/>
          <w:sz w:val="20"/>
          <w:szCs w:val="20"/>
        </w:rPr>
        <w:t xml:space="preserve">13.1 de la Convención Americana, en relación con el principio de no discriminación contenido en el artículo 1.1 de la misma, en perjuicio de las señoras Rocío San Miguel Sosa, </w:t>
      </w:r>
      <w:proofErr w:type="spellStart"/>
      <w:r w:rsidR="00D62FC7" w:rsidRPr="006A0A3F">
        <w:rPr>
          <w:rFonts w:ascii="Verdana" w:hAnsi="Verdana"/>
          <w:sz w:val="20"/>
          <w:szCs w:val="20"/>
        </w:rPr>
        <w:t>Magally</w:t>
      </w:r>
      <w:proofErr w:type="spellEnd"/>
      <w:r w:rsidR="00D62FC7" w:rsidRPr="006A0A3F">
        <w:rPr>
          <w:rFonts w:ascii="Verdana" w:hAnsi="Verdana"/>
          <w:sz w:val="20"/>
          <w:szCs w:val="20"/>
        </w:rPr>
        <w:t xml:space="preserve"> Chang Girón y Thais Coromoto Peña. </w:t>
      </w:r>
    </w:p>
    <w:p w14:paraId="2089B0B4" w14:textId="77777777" w:rsidR="00BB2A15" w:rsidRDefault="00BB2A15" w:rsidP="001A6711">
      <w:pPr>
        <w:pBdr>
          <w:top w:val="nil"/>
        </w:pBdr>
        <w:spacing w:after="0" w:line="240" w:lineRule="auto"/>
        <w:jc w:val="both"/>
        <w:rPr>
          <w:rFonts w:ascii="Verdana" w:hAnsi="Verdana"/>
          <w:sz w:val="20"/>
          <w:szCs w:val="20"/>
        </w:rPr>
      </w:pPr>
    </w:p>
    <w:p w14:paraId="137DA76F" w14:textId="77777777" w:rsidR="00BA1712" w:rsidRPr="006A0A3F" w:rsidRDefault="00BA1712" w:rsidP="001A6711">
      <w:pPr>
        <w:pBdr>
          <w:top w:val="nil"/>
        </w:pBdr>
        <w:spacing w:after="0" w:line="240" w:lineRule="auto"/>
        <w:jc w:val="both"/>
        <w:rPr>
          <w:rFonts w:ascii="Verdana" w:hAnsi="Verdana"/>
          <w:sz w:val="20"/>
          <w:szCs w:val="20"/>
        </w:rPr>
      </w:pPr>
    </w:p>
    <w:p w14:paraId="43B8DC30" w14:textId="533CDD68" w:rsidR="00315BE6" w:rsidRPr="006A0A3F" w:rsidRDefault="000D6029" w:rsidP="00B728D1">
      <w:pPr>
        <w:pStyle w:val="Heading3"/>
        <w:numPr>
          <w:ilvl w:val="0"/>
          <w:numId w:val="16"/>
        </w:numPr>
        <w:jc w:val="both"/>
        <w:rPr>
          <w:rFonts w:ascii="Verdana" w:hAnsi="Verdana"/>
          <w:i/>
          <w:smallCaps/>
          <w:sz w:val="20"/>
          <w:lang w:val="es-CR"/>
        </w:rPr>
      </w:pPr>
      <w:bookmarkStart w:id="34" w:name="_Toc505876996"/>
      <w:r w:rsidRPr="006A0A3F">
        <w:rPr>
          <w:rFonts w:ascii="Verdana" w:hAnsi="Verdana"/>
          <w:i/>
          <w:smallCaps/>
          <w:sz w:val="20"/>
          <w:lang w:val="es-CR"/>
        </w:rPr>
        <w:t>Alegada</w:t>
      </w:r>
      <w:r w:rsidR="00731189" w:rsidRPr="006A0A3F">
        <w:rPr>
          <w:rFonts w:ascii="Verdana" w:hAnsi="Verdana"/>
          <w:i/>
          <w:smallCaps/>
          <w:sz w:val="20"/>
          <w:lang w:val="es-CR"/>
        </w:rPr>
        <w:t xml:space="preserve"> </w:t>
      </w:r>
      <w:r w:rsidR="000F3300" w:rsidRPr="006A0A3F">
        <w:rPr>
          <w:rFonts w:ascii="Verdana" w:hAnsi="Verdana"/>
          <w:i/>
          <w:smallCaps/>
          <w:sz w:val="20"/>
          <w:lang w:val="es-CR"/>
        </w:rPr>
        <w:t>violación</w:t>
      </w:r>
      <w:r w:rsidR="00731189" w:rsidRPr="006A0A3F">
        <w:rPr>
          <w:rFonts w:ascii="Verdana" w:hAnsi="Verdana"/>
          <w:i/>
          <w:smallCaps/>
          <w:sz w:val="20"/>
          <w:lang w:val="es-CR"/>
        </w:rPr>
        <w:t xml:space="preserve"> del</w:t>
      </w:r>
      <w:r w:rsidR="00231AC6" w:rsidRPr="006A0A3F">
        <w:rPr>
          <w:rFonts w:ascii="Verdana" w:hAnsi="Verdana"/>
          <w:i/>
          <w:smallCaps/>
          <w:sz w:val="20"/>
          <w:lang w:val="es-CR"/>
        </w:rPr>
        <w:t xml:space="preserve"> d</w:t>
      </w:r>
      <w:r w:rsidR="00315BE6" w:rsidRPr="006A0A3F">
        <w:rPr>
          <w:rFonts w:ascii="Verdana" w:hAnsi="Verdana"/>
          <w:i/>
          <w:smallCaps/>
          <w:sz w:val="20"/>
          <w:lang w:val="es-CR"/>
        </w:rPr>
        <w:t xml:space="preserve">erecho a </w:t>
      </w:r>
      <w:r w:rsidR="00231AC6" w:rsidRPr="006A0A3F">
        <w:rPr>
          <w:rFonts w:ascii="Verdana" w:hAnsi="Verdana"/>
          <w:i/>
          <w:smallCaps/>
          <w:sz w:val="20"/>
          <w:lang w:val="es-CR"/>
        </w:rPr>
        <w:t>igual protección ante la ley</w:t>
      </w:r>
      <w:bookmarkEnd w:id="34"/>
      <w:r w:rsidR="000F3300" w:rsidRPr="006A0A3F">
        <w:rPr>
          <w:rFonts w:ascii="Verdana" w:hAnsi="Verdana"/>
          <w:i/>
          <w:smallCaps/>
          <w:sz w:val="20"/>
          <w:lang w:val="es-CR"/>
        </w:rPr>
        <w:t xml:space="preserve"> </w:t>
      </w:r>
    </w:p>
    <w:p w14:paraId="1ACF3694" w14:textId="77777777" w:rsidR="00155883" w:rsidRPr="006A0A3F" w:rsidRDefault="00155883" w:rsidP="00155883">
      <w:pPr>
        <w:pBdr>
          <w:top w:val="nil"/>
        </w:pBdr>
        <w:spacing w:after="0" w:line="240" w:lineRule="auto"/>
        <w:jc w:val="both"/>
        <w:rPr>
          <w:rFonts w:ascii="Verdana" w:hAnsi="Verdana"/>
          <w:sz w:val="20"/>
          <w:szCs w:val="20"/>
        </w:rPr>
      </w:pPr>
    </w:p>
    <w:p w14:paraId="2DF1832B" w14:textId="06A09FD7" w:rsidR="002264B6" w:rsidRPr="006A0A3F" w:rsidRDefault="00795ECA" w:rsidP="002264B6">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L</w:t>
      </w:r>
      <w:r w:rsidR="002264B6" w:rsidRPr="006A0A3F">
        <w:rPr>
          <w:rFonts w:ascii="Verdana" w:hAnsi="Verdana"/>
          <w:sz w:val="20"/>
          <w:szCs w:val="20"/>
        </w:rPr>
        <w:t>a Comisión consideró que el</w:t>
      </w:r>
      <w:r w:rsidR="007F554C" w:rsidRPr="006A0A3F">
        <w:rPr>
          <w:rFonts w:ascii="Verdana" w:hAnsi="Verdana"/>
          <w:sz w:val="20"/>
          <w:szCs w:val="20"/>
        </w:rPr>
        <w:t xml:space="preserve"> referido</w:t>
      </w:r>
      <w:r w:rsidR="002264B6" w:rsidRPr="006A0A3F">
        <w:rPr>
          <w:rFonts w:ascii="Verdana" w:hAnsi="Verdana"/>
          <w:sz w:val="20"/>
          <w:szCs w:val="20"/>
        </w:rPr>
        <w:t xml:space="preserve"> trato discriminatorio </w:t>
      </w:r>
      <w:r w:rsidR="007F554C" w:rsidRPr="006A0A3F">
        <w:rPr>
          <w:rFonts w:ascii="Verdana" w:hAnsi="Verdana"/>
          <w:sz w:val="20"/>
          <w:szCs w:val="20"/>
        </w:rPr>
        <w:t xml:space="preserve">dado </w:t>
      </w:r>
      <w:r w:rsidR="002264B6" w:rsidRPr="006A0A3F">
        <w:rPr>
          <w:rFonts w:ascii="Verdana" w:hAnsi="Verdana"/>
          <w:sz w:val="20"/>
          <w:szCs w:val="20"/>
        </w:rPr>
        <w:t xml:space="preserve">a las presuntas víctimas, se confirmaría por el hecho de que quienes no lo hicieron (por compartir el ideario político del gobierno o por temor) o quienes retiraron sus firmas de la solicitud, no fueron objeto de actos similares. En tales circunstancias, la Comisión concluyó que el Estado violó el principio de igualdad y no discriminación, que entiende contenido en </w:t>
      </w:r>
      <w:r w:rsidR="007F554C" w:rsidRPr="006A0A3F">
        <w:rPr>
          <w:rFonts w:ascii="Verdana" w:hAnsi="Verdana"/>
          <w:sz w:val="20"/>
          <w:szCs w:val="20"/>
        </w:rPr>
        <w:t xml:space="preserve">el artículo </w:t>
      </w:r>
      <w:r w:rsidR="00EB58D4">
        <w:rPr>
          <w:rFonts w:ascii="Verdana" w:hAnsi="Verdana"/>
          <w:sz w:val="20"/>
          <w:szCs w:val="20"/>
        </w:rPr>
        <w:t xml:space="preserve">24 </w:t>
      </w:r>
      <w:r w:rsidR="002264B6" w:rsidRPr="006A0A3F">
        <w:rPr>
          <w:rFonts w:ascii="Verdana" w:hAnsi="Verdana"/>
          <w:sz w:val="20"/>
          <w:szCs w:val="20"/>
        </w:rPr>
        <w:t>de la Convención</w:t>
      </w:r>
      <w:r w:rsidR="007F554C" w:rsidRPr="006A0A3F">
        <w:rPr>
          <w:rFonts w:ascii="Verdana" w:hAnsi="Verdana"/>
          <w:sz w:val="20"/>
          <w:szCs w:val="20"/>
        </w:rPr>
        <w:t>, además del artículo 1.1 de la misma</w:t>
      </w:r>
      <w:r w:rsidR="002264B6" w:rsidRPr="006A0A3F">
        <w:rPr>
          <w:rFonts w:ascii="Verdana" w:hAnsi="Verdana"/>
          <w:sz w:val="20"/>
          <w:szCs w:val="20"/>
        </w:rPr>
        <w:t>.</w:t>
      </w:r>
    </w:p>
    <w:p w14:paraId="2541CAA3" w14:textId="77777777" w:rsidR="002264B6" w:rsidRPr="006A0A3F" w:rsidRDefault="002264B6" w:rsidP="002264B6">
      <w:pPr>
        <w:pBdr>
          <w:top w:val="nil"/>
        </w:pBdr>
        <w:spacing w:after="0" w:line="240" w:lineRule="auto"/>
        <w:jc w:val="both"/>
        <w:rPr>
          <w:rFonts w:ascii="Verdana" w:hAnsi="Verdana"/>
          <w:sz w:val="20"/>
          <w:szCs w:val="20"/>
        </w:rPr>
      </w:pPr>
    </w:p>
    <w:p w14:paraId="3338C0F5" w14:textId="76DE5B36" w:rsidR="002264B6" w:rsidRPr="006A0A3F" w:rsidRDefault="002264B6" w:rsidP="002264B6">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cs="Arial"/>
          <w:sz w:val="20"/>
          <w:szCs w:val="20"/>
        </w:rPr>
        <w:t>En lo que respecta a los artículos 1.1 y 24 de la Convención, la diferencia entre ambos radica en que “si un Estado discrimina en el respeto o garantía de un derecho convencional, violaría el artículo 1.1 y el derecho sustantivo en cuestión”, mientras que si, por el contrario, “la discriminación se refiere a una protección desigual de la ley interna o su aplicación, el hecho debe analizarse a la luz del artículo 24”</w:t>
      </w:r>
      <w:r w:rsidRPr="006A0A3F">
        <w:rPr>
          <w:rFonts w:ascii="Verdana" w:hAnsi="Verdana" w:cs="Arial"/>
          <w:sz w:val="20"/>
          <w:vertAlign w:val="superscript"/>
        </w:rPr>
        <w:footnoteReference w:id="215"/>
      </w:r>
      <w:r w:rsidRPr="006A0A3F">
        <w:rPr>
          <w:rFonts w:ascii="Verdana" w:hAnsi="Verdana" w:cs="Arial"/>
          <w:sz w:val="20"/>
          <w:szCs w:val="20"/>
        </w:rPr>
        <w:t>.</w:t>
      </w:r>
    </w:p>
    <w:p w14:paraId="7F3653AC" w14:textId="77777777" w:rsidR="00307546" w:rsidRPr="006A0A3F" w:rsidRDefault="00307546" w:rsidP="007523B0">
      <w:pPr>
        <w:pBdr>
          <w:top w:val="nil"/>
        </w:pBdr>
        <w:spacing w:after="0" w:line="240" w:lineRule="auto"/>
        <w:jc w:val="both"/>
        <w:rPr>
          <w:rFonts w:ascii="Verdana" w:hAnsi="Verdana"/>
          <w:sz w:val="20"/>
          <w:szCs w:val="20"/>
        </w:rPr>
      </w:pPr>
    </w:p>
    <w:p w14:paraId="52184600" w14:textId="64C71BAE" w:rsidR="00E2315D" w:rsidRPr="006A0A3F" w:rsidRDefault="00E2315D" w:rsidP="00E2315D">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Según fue alegado, del total de 23 empleados de la nómina de personal del Consejo Nacional de Fronteras para 2003, se notificó la terminación de los contratos a las tres personas que firmaron la solicitud de convocatoria a referendo revocatorio y no retiraron su firma, a </w:t>
      </w:r>
      <w:r w:rsidRPr="006A0A3F">
        <w:rPr>
          <w:rFonts w:ascii="Verdana" w:hAnsi="Verdana"/>
          <w:sz w:val="20"/>
          <w:szCs w:val="20"/>
        </w:rPr>
        <w:lastRenderedPageBreak/>
        <w:t xml:space="preserve">saber, las tres presuntas víctimas. La Comisión y el representante hicieron referencia a una cuarta persona que también firmó pero no fue despedido al haber </w:t>
      </w:r>
      <w:r w:rsidR="007F554C" w:rsidRPr="006A0A3F">
        <w:rPr>
          <w:rFonts w:ascii="Verdana" w:hAnsi="Verdana"/>
          <w:sz w:val="20"/>
          <w:szCs w:val="20"/>
        </w:rPr>
        <w:t xml:space="preserve">“reparado” </w:t>
      </w:r>
      <w:r w:rsidRPr="006A0A3F">
        <w:rPr>
          <w:rFonts w:ascii="Verdana" w:hAnsi="Verdana"/>
          <w:sz w:val="20"/>
          <w:szCs w:val="20"/>
        </w:rPr>
        <w:t>su firma. Por su parte, el Estado hizo referencia a una quinta persona que fue despedida a pesar de no haber firmado, argumento</w:t>
      </w:r>
      <w:r w:rsidR="00606473" w:rsidRPr="006A0A3F">
        <w:rPr>
          <w:rFonts w:ascii="Verdana" w:hAnsi="Verdana"/>
          <w:sz w:val="20"/>
          <w:szCs w:val="20"/>
        </w:rPr>
        <w:t xml:space="preserve"> sobre el que n</w:t>
      </w:r>
      <w:r w:rsidR="00BA1712">
        <w:rPr>
          <w:rFonts w:ascii="Verdana" w:hAnsi="Verdana"/>
          <w:sz w:val="20"/>
          <w:szCs w:val="20"/>
        </w:rPr>
        <w:t xml:space="preserve">o se proporcionó prueba alguna y </w:t>
      </w:r>
      <w:r w:rsidRPr="006A0A3F">
        <w:rPr>
          <w:rFonts w:ascii="Verdana" w:hAnsi="Verdana"/>
          <w:sz w:val="20"/>
          <w:szCs w:val="20"/>
        </w:rPr>
        <w:t xml:space="preserve">que no </w:t>
      </w:r>
      <w:r w:rsidR="007F554C" w:rsidRPr="006A0A3F">
        <w:rPr>
          <w:rFonts w:ascii="Verdana" w:hAnsi="Verdana"/>
          <w:sz w:val="20"/>
          <w:szCs w:val="20"/>
        </w:rPr>
        <w:t>es</w:t>
      </w:r>
      <w:r w:rsidRPr="006A0A3F">
        <w:rPr>
          <w:rFonts w:ascii="Verdana" w:hAnsi="Verdana"/>
          <w:sz w:val="20"/>
          <w:szCs w:val="20"/>
        </w:rPr>
        <w:t xml:space="preserve"> tomado en cuenta por ser extemporáneo</w:t>
      </w:r>
      <w:r w:rsidR="00606473" w:rsidRPr="006A0A3F">
        <w:rPr>
          <w:rFonts w:ascii="Verdana" w:hAnsi="Verdana"/>
          <w:color w:val="FF0000"/>
          <w:sz w:val="20"/>
          <w:szCs w:val="20"/>
        </w:rPr>
        <w:t xml:space="preserve">. </w:t>
      </w:r>
    </w:p>
    <w:p w14:paraId="67947195" w14:textId="77777777" w:rsidR="00E2315D" w:rsidRPr="006A0A3F" w:rsidRDefault="00E2315D" w:rsidP="007523B0">
      <w:pPr>
        <w:pBdr>
          <w:top w:val="nil"/>
        </w:pBdr>
        <w:spacing w:after="0" w:line="240" w:lineRule="auto"/>
        <w:jc w:val="both"/>
        <w:rPr>
          <w:rFonts w:ascii="Verdana" w:hAnsi="Verdana"/>
          <w:sz w:val="20"/>
          <w:szCs w:val="20"/>
        </w:rPr>
      </w:pPr>
    </w:p>
    <w:p w14:paraId="13655F83" w14:textId="0BFF86F4" w:rsidR="000F3300" w:rsidRPr="006A0A3F" w:rsidRDefault="007C2DB2" w:rsidP="00306D5B">
      <w:pPr>
        <w:numPr>
          <w:ilvl w:val="0"/>
          <w:numId w:val="4"/>
        </w:numPr>
        <w:pBdr>
          <w:top w:val="nil"/>
        </w:pBdr>
        <w:spacing w:after="0" w:line="240" w:lineRule="auto"/>
        <w:ind w:left="0" w:firstLine="0"/>
        <w:jc w:val="both"/>
        <w:rPr>
          <w:rFonts w:ascii="Verdana" w:hAnsi="Verdana" w:cs="BookAntiqua"/>
          <w:sz w:val="18"/>
          <w:szCs w:val="20"/>
        </w:rPr>
      </w:pPr>
      <w:r w:rsidRPr="006A0A3F">
        <w:rPr>
          <w:rFonts w:ascii="Verdana" w:hAnsi="Verdana" w:cs="BookAntiqua"/>
          <w:sz w:val="20"/>
          <w:szCs w:val="20"/>
        </w:rPr>
        <w:t xml:space="preserve">No obstante, </w:t>
      </w:r>
      <w:r w:rsidR="00306D5B" w:rsidRPr="006A0A3F">
        <w:rPr>
          <w:rFonts w:ascii="Verdana" w:hAnsi="Verdana" w:cs="BookAntiqua"/>
          <w:sz w:val="20"/>
          <w:szCs w:val="20"/>
        </w:rPr>
        <w:t xml:space="preserve">la Corte hace notar que, de la argumentación de la Comisión o del representante, no se desprende que </w:t>
      </w:r>
      <w:r w:rsidRPr="006A0A3F">
        <w:rPr>
          <w:rFonts w:ascii="Verdana" w:hAnsi="Verdana" w:cs="BookAntiqua"/>
          <w:sz w:val="20"/>
          <w:szCs w:val="20"/>
        </w:rPr>
        <w:t xml:space="preserve">la discriminación política a que fueron sometidas las presuntas víctimas fuese producto de </w:t>
      </w:r>
      <w:r w:rsidR="00306D5B" w:rsidRPr="006A0A3F">
        <w:rPr>
          <w:rFonts w:ascii="Verdana" w:hAnsi="Verdana" w:cs="BookAntiqua"/>
          <w:sz w:val="20"/>
          <w:szCs w:val="20"/>
        </w:rPr>
        <w:t xml:space="preserve">una </w:t>
      </w:r>
      <w:r w:rsidRPr="006A0A3F">
        <w:rPr>
          <w:rFonts w:ascii="Verdana" w:hAnsi="Verdana" w:cs="BookAntiqua"/>
          <w:sz w:val="20"/>
          <w:szCs w:val="20"/>
        </w:rPr>
        <w:t xml:space="preserve">desprotección por aplicación </w:t>
      </w:r>
      <w:r w:rsidR="00306D5B" w:rsidRPr="006A0A3F">
        <w:rPr>
          <w:rFonts w:ascii="Verdana" w:hAnsi="Verdana" w:cs="BookAntiqua"/>
          <w:sz w:val="20"/>
          <w:szCs w:val="20"/>
        </w:rPr>
        <w:t xml:space="preserve">desigual de una ley </w:t>
      </w:r>
      <w:r w:rsidRPr="006A0A3F">
        <w:rPr>
          <w:rFonts w:ascii="Verdana" w:hAnsi="Verdana" w:cs="BookAntiqua"/>
          <w:sz w:val="20"/>
          <w:szCs w:val="20"/>
        </w:rPr>
        <w:t xml:space="preserve">o reglamentación </w:t>
      </w:r>
      <w:r w:rsidR="00306D5B" w:rsidRPr="006A0A3F">
        <w:rPr>
          <w:rFonts w:ascii="Verdana" w:hAnsi="Verdana" w:cs="BookAntiqua"/>
          <w:sz w:val="20"/>
          <w:szCs w:val="20"/>
        </w:rPr>
        <w:t>interna</w:t>
      </w:r>
      <w:r w:rsidR="000F3300" w:rsidRPr="006A0A3F">
        <w:rPr>
          <w:rFonts w:ascii="Verdana" w:hAnsi="Verdana" w:cs="BookAntiqua"/>
          <w:sz w:val="20"/>
          <w:szCs w:val="20"/>
        </w:rPr>
        <w:t xml:space="preserve">, la que sería, entonces, de orden contractual. Pero, este </w:t>
      </w:r>
      <w:r w:rsidRPr="006A0A3F">
        <w:rPr>
          <w:rFonts w:ascii="Verdana" w:hAnsi="Verdana" w:cs="BookAntiqua"/>
          <w:sz w:val="20"/>
          <w:szCs w:val="20"/>
        </w:rPr>
        <w:t xml:space="preserve">caso es más grave </w:t>
      </w:r>
      <w:r w:rsidR="000F3300" w:rsidRPr="006A0A3F">
        <w:rPr>
          <w:rFonts w:ascii="Verdana" w:hAnsi="Verdana" w:cs="BookAntiqua"/>
          <w:sz w:val="20"/>
          <w:szCs w:val="20"/>
        </w:rPr>
        <w:t xml:space="preserve">y amplio </w:t>
      </w:r>
      <w:r w:rsidRPr="006A0A3F">
        <w:rPr>
          <w:rFonts w:ascii="Verdana" w:hAnsi="Verdana" w:cs="BookAntiqua"/>
          <w:sz w:val="20"/>
          <w:szCs w:val="20"/>
        </w:rPr>
        <w:t>aún porque ellas fueron discri</w:t>
      </w:r>
      <w:r w:rsidR="000F3300" w:rsidRPr="006A0A3F">
        <w:rPr>
          <w:rFonts w:ascii="Verdana" w:hAnsi="Verdana" w:cs="BookAntiqua"/>
          <w:sz w:val="20"/>
          <w:szCs w:val="20"/>
        </w:rPr>
        <w:t>minadas por una desviación de po</w:t>
      </w:r>
      <w:r w:rsidRPr="006A0A3F">
        <w:rPr>
          <w:rFonts w:ascii="Verdana" w:hAnsi="Verdana" w:cs="BookAntiqua"/>
          <w:sz w:val="20"/>
          <w:szCs w:val="20"/>
        </w:rPr>
        <w:t>der</w:t>
      </w:r>
      <w:r w:rsidR="0097275A" w:rsidRPr="006A0A3F">
        <w:rPr>
          <w:rFonts w:ascii="Verdana" w:hAnsi="Verdana" w:cs="BookAntiqua"/>
          <w:sz w:val="20"/>
          <w:szCs w:val="20"/>
        </w:rPr>
        <w:t xml:space="preserve">, </w:t>
      </w:r>
      <w:r w:rsidRPr="006A0A3F">
        <w:rPr>
          <w:rFonts w:ascii="Verdana" w:hAnsi="Verdana" w:cs="BookAntiqua"/>
          <w:sz w:val="20"/>
          <w:szCs w:val="20"/>
        </w:rPr>
        <w:t>encubierta con el velo de legalidad de aplicación de un</w:t>
      </w:r>
      <w:r w:rsidR="0097275A" w:rsidRPr="006A0A3F">
        <w:rPr>
          <w:rFonts w:ascii="Verdana" w:hAnsi="Verdana" w:cs="BookAntiqua"/>
          <w:sz w:val="20"/>
          <w:szCs w:val="20"/>
        </w:rPr>
        <w:t>a</w:t>
      </w:r>
      <w:r w:rsidRPr="006A0A3F">
        <w:rPr>
          <w:rFonts w:ascii="Verdana" w:hAnsi="Verdana" w:cs="BookAntiqua"/>
          <w:sz w:val="20"/>
          <w:szCs w:val="20"/>
        </w:rPr>
        <w:t xml:space="preserve"> cláusula contractual que se justific</w:t>
      </w:r>
      <w:r w:rsidR="0097275A" w:rsidRPr="006A0A3F">
        <w:rPr>
          <w:rFonts w:ascii="Verdana" w:hAnsi="Verdana" w:cs="BookAntiqua"/>
          <w:sz w:val="20"/>
          <w:szCs w:val="20"/>
        </w:rPr>
        <w:t xml:space="preserve">ó como discrecional, </w:t>
      </w:r>
      <w:r w:rsidRPr="006A0A3F">
        <w:rPr>
          <w:rFonts w:ascii="Verdana" w:hAnsi="Verdana" w:cs="BookAntiqua"/>
          <w:sz w:val="20"/>
          <w:szCs w:val="20"/>
        </w:rPr>
        <w:t xml:space="preserve">lo cual </w:t>
      </w:r>
      <w:r w:rsidR="0097275A" w:rsidRPr="006A0A3F">
        <w:rPr>
          <w:rFonts w:ascii="Verdana" w:hAnsi="Verdana" w:cs="BookAntiqua"/>
          <w:sz w:val="20"/>
          <w:szCs w:val="20"/>
        </w:rPr>
        <w:t xml:space="preserve">hace que </w:t>
      </w:r>
      <w:r w:rsidR="00306D5B" w:rsidRPr="006A0A3F">
        <w:rPr>
          <w:rFonts w:ascii="Verdana" w:hAnsi="Verdana" w:cs="BookAntiqua"/>
          <w:sz w:val="20"/>
          <w:szCs w:val="20"/>
        </w:rPr>
        <w:t>un juicio de igualdad</w:t>
      </w:r>
      <w:r w:rsidR="0097275A" w:rsidRPr="006A0A3F">
        <w:rPr>
          <w:rFonts w:ascii="Verdana" w:hAnsi="Verdana" w:cs="BookAntiqua"/>
          <w:sz w:val="20"/>
          <w:szCs w:val="20"/>
        </w:rPr>
        <w:t xml:space="preserve"> no sea aplicable propiamente </w:t>
      </w:r>
      <w:r w:rsidR="000F3300" w:rsidRPr="006A0A3F">
        <w:rPr>
          <w:rFonts w:ascii="Verdana" w:hAnsi="Verdana" w:cs="BookAntiqua"/>
          <w:sz w:val="20"/>
          <w:szCs w:val="20"/>
        </w:rPr>
        <w:t>en autos</w:t>
      </w:r>
      <w:r w:rsidR="000D6029" w:rsidRPr="006A0A3F">
        <w:rPr>
          <w:rFonts w:ascii="Verdana" w:hAnsi="Verdana" w:cs="BookAntiqua"/>
          <w:sz w:val="20"/>
          <w:szCs w:val="20"/>
        </w:rPr>
        <w:t>.</w:t>
      </w:r>
      <w:r w:rsidR="00422DF6" w:rsidRPr="006A0A3F">
        <w:rPr>
          <w:rFonts w:ascii="Verdana" w:hAnsi="Verdana" w:cs="BookAntiqua"/>
          <w:sz w:val="20"/>
          <w:szCs w:val="20"/>
        </w:rPr>
        <w:t xml:space="preserve"> </w:t>
      </w:r>
    </w:p>
    <w:p w14:paraId="284E249D" w14:textId="77777777" w:rsidR="000F3300" w:rsidRPr="006A0A3F" w:rsidRDefault="000F3300" w:rsidP="000F3300">
      <w:pPr>
        <w:pStyle w:val="ListParagraph"/>
        <w:rPr>
          <w:rFonts w:ascii="Verdana" w:hAnsi="Verdana" w:cs="BookAntiqua"/>
          <w:sz w:val="20"/>
          <w:highlight w:val="yellow"/>
          <w:lang w:val="es-CR"/>
        </w:rPr>
      </w:pPr>
    </w:p>
    <w:p w14:paraId="7540E06F" w14:textId="2D351137" w:rsidR="000D6029" w:rsidRPr="006A0A3F" w:rsidRDefault="00422DF6" w:rsidP="000D6029">
      <w:pPr>
        <w:numPr>
          <w:ilvl w:val="0"/>
          <w:numId w:val="4"/>
        </w:numPr>
        <w:pBdr>
          <w:top w:val="nil"/>
        </w:pBdr>
        <w:spacing w:after="0" w:line="240" w:lineRule="auto"/>
        <w:ind w:left="0" w:firstLine="0"/>
        <w:jc w:val="both"/>
        <w:rPr>
          <w:rFonts w:ascii="Verdana" w:hAnsi="Verdana" w:cs="BookAntiqua"/>
          <w:sz w:val="18"/>
          <w:szCs w:val="20"/>
        </w:rPr>
      </w:pPr>
      <w:r w:rsidRPr="006A0A3F">
        <w:rPr>
          <w:rFonts w:ascii="Verdana" w:hAnsi="Verdana" w:cs="BookAntiqua"/>
          <w:sz w:val="20"/>
          <w:szCs w:val="20"/>
        </w:rPr>
        <w:t xml:space="preserve">En razón de lo anterior, la Corte considera que </w:t>
      </w:r>
      <w:r w:rsidR="00306D5B" w:rsidRPr="006A0A3F">
        <w:rPr>
          <w:rFonts w:ascii="Verdana" w:hAnsi="Verdana" w:cs="BookAntiqua"/>
          <w:sz w:val="20"/>
          <w:szCs w:val="20"/>
        </w:rPr>
        <w:t xml:space="preserve">la </w:t>
      </w:r>
      <w:r w:rsidR="0097275A" w:rsidRPr="006A0A3F">
        <w:rPr>
          <w:rFonts w:ascii="Verdana" w:hAnsi="Verdana" w:cs="BookAntiqua"/>
          <w:sz w:val="20"/>
          <w:szCs w:val="20"/>
        </w:rPr>
        <w:t>discriminación sufrida por las presuntas víctimas ya ha sido analizada bajo los artículos 23.1 y 13.1 de la Convención, en relación con el artículo 1.1 de la misma, por lo cual no es necesario pronunciarse respecto de</w:t>
      </w:r>
      <w:r w:rsidR="00997B4D">
        <w:rPr>
          <w:rFonts w:ascii="Verdana" w:hAnsi="Verdana" w:cs="BookAntiqua"/>
          <w:sz w:val="20"/>
          <w:szCs w:val="20"/>
        </w:rPr>
        <w:t xml:space="preserve"> la</w:t>
      </w:r>
      <w:r w:rsidR="0097275A" w:rsidRPr="006A0A3F">
        <w:rPr>
          <w:rFonts w:ascii="Verdana" w:hAnsi="Verdana" w:cs="BookAntiqua"/>
          <w:sz w:val="20"/>
          <w:szCs w:val="20"/>
        </w:rPr>
        <w:t xml:space="preserve"> </w:t>
      </w:r>
      <w:r w:rsidR="00306D5B" w:rsidRPr="006A0A3F">
        <w:rPr>
          <w:rFonts w:ascii="Verdana" w:hAnsi="Verdana" w:cs="BookAntiqua"/>
          <w:sz w:val="20"/>
          <w:szCs w:val="20"/>
        </w:rPr>
        <w:t>alegada violación del derecho a igual</w:t>
      </w:r>
      <w:r w:rsidR="0097275A" w:rsidRPr="006A0A3F">
        <w:rPr>
          <w:rFonts w:ascii="Verdana" w:hAnsi="Verdana" w:cs="BookAntiqua"/>
          <w:sz w:val="20"/>
          <w:szCs w:val="20"/>
        </w:rPr>
        <w:t>dad ante</w:t>
      </w:r>
      <w:r w:rsidR="00306D5B" w:rsidRPr="006A0A3F">
        <w:rPr>
          <w:rFonts w:ascii="Verdana" w:hAnsi="Verdana" w:cs="BookAntiqua"/>
          <w:sz w:val="20"/>
          <w:szCs w:val="20"/>
        </w:rPr>
        <w:t xml:space="preserve"> la ley, contenido en el artículo 24 de la Convención</w:t>
      </w:r>
      <w:r w:rsidRPr="006A0A3F">
        <w:rPr>
          <w:rFonts w:ascii="Verdana" w:hAnsi="Verdana" w:cs="BookAntiqua"/>
          <w:sz w:val="20"/>
          <w:szCs w:val="20"/>
        </w:rPr>
        <w:t>.</w:t>
      </w:r>
    </w:p>
    <w:p w14:paraId="163F3039" w14:textId="77777777" w:rsidR="000D6029" w:rsidRDefault="000D6029" w:rsidP="000D6029">
      <w:pPr>
        <w:pBdr>
          <w:top w:val="nil"/>
        </w:pBdr>
        <w:spacing w:after="0" w:line="240" w:lineRule="auto"/>
        <w:jc w:val="both"/>
        <w:rPr>
          <w:rFonts w:ascii="Verdana" w:hAnsi="Verdana" w:cs="BookAntiqua"/>
          <w:sz w:val="20"/>
          <w:szCs w:val="20"/>
        </w:rPr>
      </w:pPr>
    </w:p>
    <w:p w14:paraId="568D0991" w14:textId="77777777" w:rsidR="00BA1712" w:rsidRPr="006A0A3F" w:rsidRDefault="00BA1712" w:rsidP="000D6029">
      <w:pPr>
        <w:pBdr>
          <w:top w:val="nil"/>
        </w:pBdr>
        <w:spacing w:after="0" w:line="240" w:lineRule="auto"/>
        <w:jc w:val="both"/>
        <w:rPr>
          <w:rFonts w:ascii="Verdana" w:hAnsi="Verdana" w:cs="BookAntiqua"/>
          <w:sz w:val="20"/>
          <w:szCs w:val="20"/>
        </w:rPr>
      </w:pPr>
    </w:p>
    <w:p w14:paraId="748464FD" w14:textId="096B45DD" w:rsidR="000F3300" w:rsidRPr="006A0A3F" w:rsidRDefault="000F3300" w:rsidP="00B728D1">
      <w:pPr>
        <w:pStyle w:val="Heading3"/>
        <w:numPr>
          <w:ilvl w:val="0"/>
          <w:numId w:val="16"/>
        </w:numPr>
        <w:jc w:val="both"/>
        <w:rPr>
          <w:rFonts w:ascii="Verdana" w:hAnsi="Verdana"/>
          <w:i/>
          <w:smallCaps/>
          <w:sz w:val="20"/>
          <w:lang w:val="es-CR"/>
        </w:rPr>
      </w:pPr>
      <w:bookmarkStart w:id="35" w:name="_Toc505876997"/>
      <w:r w:rsidRPr="006A0A3F">
        <w:rPr>
          <w:rFonts w:ascii="Verdana" w:hAnsi="Verdana"/>
          <w:i/>
          <w:smallCaps/>
          <w:sz w:val="20"/>
          <w:lang w:val="es-CR"/>
        </w:rPr>
        <w:t>Alegado incumplimiento del deber de adoptar disposiciones de derecho interno</w:t>
      </w:r>
      <w:r w:rsidR="0035180F" w:rsidRPr="006A0A3F">
        <w:rPr>
          <w:rFonts w:ascii="Verdana" w:hAnsi="Verdana"/>
          <w:i/>
          <w:smallCaps/>
          <w:sz w:val="20"/>
          <w:lang w:val="es-CR"/>
        </w:rPr>
        <w:t>.</w:t>
      </w:r>
      <w:bookmarkEnd w:id="35"/>
    </w:p>
    <w:p w14:paraId="273DE04D" w14:textId="77777777" w:rsidR="000D6029" w:rsidRPr="006A0A3F" w:rsidRDefault="000D6029" w:rsidP="000D6029">
      <w:pPr>
        <w:pBdr>
          <w:top w:val="nil"/>
        </w:pBdr>
        <w:spacing w:after="0" w:line="240" w:lineRule="auto"/>
        <w:jc w:val="both"/>
        <w:rPr>
          <w:rFonts w:ascii="Verdana" w:hAnsi="Verdana"/>
          <w:sz w:val="20"/>
          <w:szCs w:val="20"/>
        </w:rPr>
      </w:pPr>
    </w:p>
    <w:p w14:paraId="0FDB946C" w14:textId="446C9EFA" w:rsidR="0035180F" w:rsidRPr="006A0A3F" w:rsidRDefault="00E30C80" w:rsidP="00306D5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R</w:t>
      </w:r>
      <w:r w:rsidR="008C4BF9" w:rsidRPr="006A0A3F">
        <w:rPr>
          <w:rFonts w:ascii="Verdana" w:hAnsi="Verdana"/>
          <w:sz w:val="20"/>
          <w:szCs w:val="20"/>
        </w:rPr>
        <w:t>especto del alegado incumplimiento de</w:t>
      </w:r>
      <w:r w:rsidR="00306D5B" w:rsidRPr="006A0A3F">
        <w:rPr>
          <w:rFonts w:ascii="Verdana" w:hAnsi="Verdana"/>
          <w:sz w:val="20"/>
          <w:szCs w:val="20"/>
        </w:rPr>
        <w:t>l artículo 2 de la Convención</w:t>
      </w:r>
      <w:r w:rsidR="008C4BF9" w:rsidRPr="006A0A3F">
        <w:rPr>
          <w:rStyle w:val="FootnoteAnchor"/>
          <w:rFonts w:ascii="Verdana" w:hAnsi="Verdana"/>
          <w:sz w:val="20"/>
          <w:szCs w:val="20"/>
        </w:rPr>
        <w:footnoteReference w:id="216"/>
      </w:r>
      <w:r w:rsidR="008C4BF9" w:rsidRPr="006A0A3F">
        <w:rPr>
          <w:rFonts w:ascii="Verdana" w:hAnsi="Verdana"/>
          <w:sz w:val="20"/>
          <w:szCs w:val="20"/>
        </w:rPr>
        <w:t xml:space="preserve">, </w:t>
      </w:r>
      <w:r w:rsidR="004E0EFF" w:rsidRPr="006A0A3F">
        <w:rPr>
          <w:rFonts w:ascii="Verdana" w:hAnsi="Verdana"/>
          <w:sz w:val="20"/>
          <w:szCs w:val="20"/>
        </w:rPr>
        <w:t xml:space="preserve">se </w:t>
      </w:r>
      <w:r w:rsidR="008C4BF9" w:rsidRPr="006A0A3F">
        <w:rPr>
          <w:rFonts w:ascii="Verdana" w:hAnsi="Verdana"/>
          <w:sz w:val="20"/>
          <w:szCs w:val="20"/>
        </w:rPr>
        <w:t>hace notar que</w:t>
      </w:r>
      <w:r w:rsidR="00306D5B" w:rsidRPr="006A0A3F">
        <w:rPr>
          <w:rFonts w:ascii="Verdana" w:hAnsi="Verdana"/>
          <w:sz w:val="20"/>
          <w:szCs w:val="20"/>
        </w:rPr>
        <w:t xml:space="preserve"> </w:t>
      </w:r>
      <w:r w:rsidR="008C4BF9" w:rsidRPr="006A0A3F">
        <w:rPr>
          <w:rFonts w:ascii="Verdana" w:hAnsi="Verdana"/>
          <w:sz w:val="20"/>
          <w:szCs w:val="20"/>
        </w:rPr>
        <w:t xml:space="preserve">la Comisión y el representante omitieron señalar específicamente </w:t>
      </w:r>
      <w:r w:rsidR="008C4BF9" w:rsidRPr="006A0A3F">
        <w:rPr>
          <w:rFonts w:ascii="Verdana" w:hAnsi="Verdana"/>
          <w:color w:val="000000"/>
          <w:sz w:val="20"/>
          <w:szCs w:val="20"/>
        </w:rPr>
        <w:t xml:space="preserve">qué tipo de normas o prácticas faltó expedir, desarrollar o modificar para comprometer la responsabilidad del Estado </w:t>
      </w:r>
      <w:r w:rsidR="0081553E">
        <w:rPr>
          <w:rFonts w:ascii="Verdana" w:hAnsi="Verdana"/>
          <w:color w:val="000000"/>
          <w:sz w:val="20"/>
          <w:szCs w:val="20"/>
        </w:rPr>
        <w:t xml:space="preserve">en este caso, </w:t>
      </w:r>
      <w:r w:rsidR="008C4BF9" w:rsidRPr="006A0A3F">
        <w:rPr>
          <w:rFonts w:ascii="Verdana" w:hAnsi="Verdana"/>
          <w:color w:val="000000"/>
          <w:sz w:val="20"/>
          <w:szCs w:val="20"/>
        </w:rPr>
        <w:t>en los términos</w:t>
      </w:r>
      <w:r w:rsidR="00FE69C9" w:rsidRPr="006A0A3F">
        <w:rPr>
          <w:rFonts w:ascii="Verdana" w:hAnsi="Verdana"/>
          <w:color w:val="000000"/>
          <w:sz w:val="20"/>
          <w:szCs w:val="20"/>
        </w:rPr>
        <w:t xml:space="preserve"> de esa</w:t>
      </w:r>
      <w:r w:rsidR="008C4BF9" w:rsidRPr="006A0A3F">
        <w:rPr>
          <w:rFonts w:ascii="Verdana" w:hAnsi="Verdana"/>
          <w:sz w:val="20"/>
          <w:szCs w:val="20"/>
        </w:rPr>
        <w:t xml:space="preserve"> obligación general </w:t>
      </w:r>
      <w:r w:rsidR="00BA1712">
        <w:rPr>
          <w:rFonts w:ascii="Verdana" w:hAnsi="Verdana"/>
          <w:sz w:val="20"/>
          <w:szCs w:val="20"/>
        </w:rPr>
        <w:t>contenida en el artículo 2 de la Convención</w:t>
      </w:r>
      <w:r w:rsidR="008C4BF9" w:rsidRPr="006A0A3F">
        <w:rPr>
          <w:rFonts w:ascii="Verdana" w:hAnsi="Verdana"/>
          <w:color w:val="000000"/>
          <w:sz w:val="20"/>
          <w:szCs w:val="20"/>
        </w:rPr>
        <w:t>.</w:t>
      </w:r>
      <w:r w:rsidR="008C4BF9" w:rsidRPr="006A0A3F">
        <w:rPr>
          <w:rFonts w:ascii="Verdana" w:hAnsi="Verdana"/>
          <w:sz w:val="20"/>
          <w:szCs w:val="20"/>
        </w:rPr>
        <w:t xml:space="preserve"> </w:t>
      </w:r>
    </w:p>
    <w:p w14:paraId="26230B65" w14:textId="77777777" w:rsidR="0035180F" w:rsidRPr="006A0A3F" w:rsidRDefault="0035180F" w:rsidP="0035180F">
      <w:pPr>
        <w:pBdr>
          <w:top w:val="nil"/>
        </w:pBdr>
        <w:spacing w:after="0" w:line="240" w:lineRule="auto"/>
        <w:jc w:val="both"/>
        <w:rPr>
          <w:rFonts w:ascii="Verdana" w:hAnsi="Verdana"/>
          <w:sz w:val="20"/>
          <w:szCs w:val="20"/>
        </w:rPr>
      </w:pPr>
    </w:p>
    <w:p w14:paraId="16137E5A" w14:textId="75D9AB47" w:rsidR="00306D5B" w:rsidRPr="006A0A3F" w:rsidRDefault="008C4BF9" w:rsidP="00306D5B">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Por</w:t>
      </w:r>
      <w:r w:rsidRPr="006A0A3F">
        <w:rPr>
          <w:rFonts w:ascii="Verdana" w:hAnsi="Verdana"/>
          <w:b/>
          <w:sz w:val="20"/>
          <w:szCs w:val="20"/>
        </w:rPr>
        <w:t xml:space="preserve"> </w:t>
      </w:r>
      <w:r w:rsidRPr="006A0A3F">
        <w:rPr>
          <w:rFonts w:ascii="Verdana" w:hAnsi="Verdana"/>
          <w:sz w:val="20"/>
          <w:szCs w:val="20"/>
        </w:rPr>
        <w:t>ello, la Corte considera que no han sido aportados elementos suficientes para analizar los hechos bajo esta norma</w:t>
      </w:r>
      <w:r w:rsidRPr="006A0A3F">
        <w:rPr>
          <w:rStyle w:val="FootnoteReference"/>
          <w:rFonts w:ascii="Verdana" w:hAnsi="Verdana"/>
          <w:sz w:val="20"/>
          <w:szCs w:val="20"/>
        </w:rPr>
        <w:footnoteReference w:id="217"/>
      </w:r>
      <w:r w:rsidRPr="006A0A3F">
        <w:rPr>
          <w:rFonts w:ascii="Verdana" w:hAnsi="Verdana"/>
          <w:sz w:val="20"/>
          <w:szCs w:val="20"/>
        </w:rPr>
        <w:t>, por lo cual no corresponde pronunciarse al respecto.</w:t>
      </w:r>
      <w:r w:rsidR="00306D5B" w:rsidRPr="006A0A3F">
        <w:rPr>
          <w:rFonts w:ascii="Verdana" w:hAnsi="Verdana"/>
          <w:sz w:val="20"/>
          <w:szCs w:val="20"/>
        </w:rPr>
        <w:t xml:space="preserve"> </w:t>
      </w:r>
    </w:p>
    <w:p w14:paraId="4D0B96A3" w14:textId="77777777" w:rsidR="00985F74" w:rsidRDefault="00985F74" w:rsidP="0035180F">
      <w:pPr>
        <w:pStyle w:val="ListParagraph"/>
        <w:rPr>
          <w:rFonts w:ascii="Verdana" w:hAnsi="Verdana"/>
          <w:sz w:val="20"/>
          <w:lang w:val="es-CR"/>
        </w:rPr>
      </w:pPr>
    </w:p>
    <w:p w14:paraId="2072F0F9" w14:textId="77777777" w:rsidR="00BB2A15" w:rsidRPr="006A0A3F" w:rsidRDefault="00BB2A15" w:rsidP="0035180F">
      <w:pPr>
        <w:pStyle w:val="ListParagraph"/>
        <w:rPr>
          <w:rFonts w:ascii="Verdana" w:hAnsi="Verdana"/>
          <w:sz w:val="20"/>
          <w:lang w:val="es-CR"/>
        </w:rPr>
      </w:pPr>
    </w:p>
    <w:p w14:paraId="10767FB6" w14:textId="366AAFF0" w:rsidR="0035180F" w:rsidRPr="006A0A3F" w:rsidRDefault="0035180F" w:rsidP="00B728D1">
      <w:pPr>
        <w:pStyle w:val="Heading3"/>
        <w:numPr>
          <w:ilvl w:val="0"/>
          <w:numId w:val="16"/>
        </w:numPr>
        <w:jc w:val="both"/>
        <w:rPr>
          <w:rFonts w:ascii="Verdana" w:hAnsi="Verdana"/>
          <w:i/>
          <w:smallCaps/>
          <w:sz w:val="20"/>
          <w:lang w:val="es-CR"/>
        </w:rPr>
      </w:pPr>
      <w:bookmarkStart w:id="36" w:name="_Toc505876998"/>
      <w:r w:rsidRPr="006A0A3F">
        <w:rPr>
          <w:rFonts w:ascii="Verdana" w:hAnsi="Verdana"/>
          <w:i/>
          <w:smallCaps/>
          <w:sz w:val="20"/>
          <w:lang w:val="es-CR"/>
        </w:rPr>
        <w:t>Alegada violación del derecho a la integridad personal.</w:t>
      </w:r>
      <w:bookmarkEnd w:id="36"/>
    </w:p>
    <w:p w14:paraId="2E8EB4B8" w14:textId="77777777" w:rsidR="00E30C80" w:rsidRPr="006A0A3F" w:rsidRDefault="00E30C80" w:rsidP="00E30C80">
      <w:pPr>
        <w:suppressAutoHyphens/>
        <w:spacing w:after="0" w:line="240" w:lineRule="auto"/>
        <w:jc w:val="both"/>
        <w:rPr>
          <w:rFonts w:ascii="Verdana" w:eastAsia="Times New Roman" w:hAnsi="Verdana" w:cs="Tahoma"/>
          <w:sz w:val="20"/>
          <w:szCs w:val="20"/>
        </w:rPr>
      </w:pPr>
    </w:p>
    <w:p w14:paraId="304871AA" w14:textId="1D555957" w:rsidR="00E30C80" w:rsidRPr="006A0A3F" w:rsidRDefault="005B25BF" w:rsidP="005B25BF">
      <w:pPr>
        <w:numPr>
          <w:ilvl w:val="0"/>
          <w:numId w:val="4"/>
        </w:numPr>
        <w:pBdr>
          <w:top w:val="nil"/>
        </w:pBdr>
        <w:autoSpaceDE w:val="0"/>
        <w:autoSpaceDN w:val="0"/>
        <w:adjustRightInd w:val="0"/>
        <w:spacing w:after="0" w:line="240" w:lineRule="auto"/>
        <w:ind w:left="0" w:firstLine="0"/>
        <w:jc w:val="both"/>
        <w:rPr>
          <w:rFonts w:ascii="Verdana" w:hAnsi="Verdana"/>
          <w:sz w:val="20"/>
          <w:lang w:eastAsia="es-CR"/>
        </w:rPr>
      </w:pPr>
      <w:r w:rsidRPr="006A0A3F">
        <w:rPr>
          <w:rFonts w:ascii="Verdana" w:hAnsi="Verdana"/>
          <w:sz w:val="20"/>
        </w:rPr>
        <w:t>Por último, e</w:t>
      </w:r>
      <w:r w:rsidR="00E30C80" w:rsidRPr="006A0A3F">
        <w:rPr>
          <w:rFonts w:ascii="Verdana" w:hAnsi="Verdana"/>
          <w:sz w:val="20"/>
        </w:rPr>
        <w:t>l representante alegó, citando también la Convención Interamericana para Prevenir y Sancionar la Tortura, que la terminación de los contratos “sin forma de juicio, sin posibilidad de conocer las causas de dicha sanción, y sin posibilidad de defenderse”, las privó de lo que era su medio de vida, lo cual les generó angustia y sufrimiento en cuanto a su futuro, estigmatización ante la opinión pública y les cerró la puerta para acceder a cualquier otro emple</w:t>
      </w:r>
      <w:r w:rsidRPr="006A0A3F">
        <w:rPr>
          <w:rFonts w:ascii="Verdana" w:hAnsi="Verdana"/>
          <w:sz w:val="20"/>
        </w:rPr>
        <w:t xml:space="preserve">o en la administración pública y </w:t>
      </w:r>
      <w:r w:rsidR="00E30C80" w:rsidRPr="006A0A3F">
        <w:rPr>
          <w:rFonts w:ascii="Verdana" w:hAnsi="Verdana"/>
          <w:sz w:val="20"/>
        </w:rPr>
        <w:t xml:space="preserve">dificultades para obtener empleo en el sector privado. Ante esto, alegó que “no cabe ninguna duda que las [presuntas] víctimas en este caso fueron objeto de una pena o trato cruel, inhumano o degradante”, que les afectó su salud física y </w:t>
      </w:r>
      <w:r w:rsidR="00E30C80" w:rsidRPr="006A0A3F">
        <w:rPr>
          <w:rFonts w:ascii="Verdana" w:hAnsi="Verdana"/>
          <w:sz w:val="20"/>
        </w:rPr>
        <w:lastRenderedPageBreak/>
        <w:t xml:space="preserve">mental, de manera que “la privación arbitraria de su medio de vida atentó gravemente contra su integridad psíquica y moral”. La </w:t>
      </w:r>
      <w:r w:rsidR="00E30C80" w:rsidRPr="006A0A3F">
        <w:rPr>
          <w:rFonts w:ascii="Verdana" w:hAnsi="Verdana"/>
          <w:sz w:val="20"/>
          <w:lang w:eastAsia="es-CR"/>
        </w:rPr>
        <w:t xml:space="preserve">Comisión consideró en su Informe que no contaba con elementos para efectuar una determinación separada sobre la posible violación del artículo 5 de la Convención, </w:t>
      </w:r>
      <w:r w:rsidRPr="006A0A3F">
        <w:rPr>
          <w:rFonts w:ascii="Verdana" w:hAnsi="Verdana"/>
          <w:sz w:val="20"/>
          <w:lang w:eastAsia="es-CR"/>
        </w:rPr>
        <w:t>que consideró</w:t>
      </w:r>
      <w:r w:rsidR="00E30C80" w:rsidRPr="006A0A3F">
        <w:rPr>
          <w:rFonts w:ascii="Verdana" w:hAnsi="Verdana"/>
          <w:sz w:val="20"/>
          <w:lang w:eastAsia="es-CR"/>
        </w:rPr>
        <w:t xml:space="preserve"> </w:t>
      </w:r>
      <w:r w:rsidRPr="006A0A3F">
        <w:rPr>
          <w:rFonts w:ascii="Verdana" w:hAnsi="Verdana"/>
          <w:sz w:val="20"/>
          <w:lang w:eastAsia="es-CR"/>
        </w:rPr>
        <w:t>“</w:t>
      </w:r>
      <w:r w:rsidR="00E30C80" w:rsidRPr="006A0A3F">
        <w:rPr>
          <w:rFonts w:ascii="Verdana" w:hAnsi="Verdana"/>
          <w:sz w:val="20"/>
          <w:lang w:eastAsia="es-CR"/>
        </w:rPr>
        <w:t>subsumida en las demás violaciones</w:t>
      </w:r>
      <w:r w:rsidRPr="006A0A3F">
        <w:rPr>
          <w:rFonts w:ascii="Verdana" w:hAnsi="Verdana"/>
          <w:sz w:val="20"/>
          <w:lang w:eastAsia="es-CR"/>
        </w:rPr>
        <w:t>”</w:t>
      </w:r>
      <w:r w:rsidR="00E30C80" w:rsidRPr="006A0A3F">
        <w:rPr>
          <w:rFonts w:ascii="Verdana" w:hAnsi="Verdana"/>
          <w:sz w:val="20"/>
          <w:lang w:eastAsia="es-CR"/>
        </w:rPr>
        <w:t xml:space="preserve">. En sus alegatos finales, el Estado solicitó a la Corte que declare improcedente la alegada violación de este derecho, pues ello excede el marco fáctico del caso. </w:t>
      </w:r>
    </w:p>
    <w:p w14:paraId="46CD0C1A" w14:textId="77777777" w:rsidR="00E30C80" w:rsidRPr="006A0A3F" w:rsidRDefault="00E30C80" w:rsidP="00E30C80">
      <w:pPr>
        <w:pBdr>
          <w:top w:val="nil"/>
        </w:pBdr>
        <w:autoSpaceDE w:val="0"/>
        <w:autoSpaceDN w:val="0"/>
        <w:adjustRightInd w:val="0"/>
        <w:spacing w:after="0" w:line="240" w:lineRule="auto"/>
        <w:jc w:val="both"/>
        <w:rPr>
          <w:rFonts w:ascii="Verdana" w:hAnsi="Verdana"/>
          <w:sz w:val="20"/>
          <w:lang w:eastAsia="es-CR"/>
        </w:rPr>
      </w:pPr>
    </w:p>
    <w:p w14:paraId="4356227A" w14:textId="3DA8BAE2" w:rsidR="00E30C80" w:rsidRPr="006A0A3F" w:rsidRDefault="00E30C80" w:rsidP="00E30C80">
      <w:pPr>
        <w:numPr>
          <w:ilvl w:val="0"/>
          <w:numId w:val="4"/>
        </w:numPr>
        <w:pBdr>
          <w:top w:val="nil"/>
        </w:pBdr>
        <w:autoSpaceDE w:val="0"/>
        <w:autoSpaceDN w:val="0"/>
        <w:adjustRightInd w:val="0"/>
        <w:spacing w:after="0" w:line="240" w:lineRule="auto"/>
        <w:ind w:left="0" w:firstLine="0"/>
        <w:jc w:val="both"/>
        <w:rPr>
          <w:rFonts w:ascii="Verdana" w:hAnsi="Verdana"/>
          <w:sz w:val="24"/>
        </w:rPr>
      </w:pPr>
      <w:r w:rsidRPr="006A0A3F">
        <w:rPr>
          <w:rFonts w:ascii="Verdana" w:eastAsia="Calibri" w:hAnsi="Verdana" w:cs="Helvetica"/>
          <w:sz w:val="20"/>
          <w:szCs w:val="16"/>
          <w:lang w:bidi="en-US"/>
        </w:rPr>
        <w:t>El artículo 5.1 de la Convención consagra en términos generales el derecho a la integridad personal, tanto física, psíquica como moral y el artículo 5.2 establece, de manera más específica, la prohibición absoluta de someter a alguien a torturas o a penas o tratos crueles, inhumanos o degradantes, así como el derecho de toda persona privada de libertad a ser tratada con el respeto debido a la dignidad inherente al ser humano</w:t>
      </w:r>
      <w:r w:rsidRPr="006A0A3F">
        <w:rPr>
          <w:rStyle w:val="FootnoteReference"/>
          <w:rFonts w:ascii="Verdana" w:eastAsia="Calibri" w:hAnsi="Verdana" w:cs="Helvetica"/>
          <w:sz w:val="20"/>
          <w:szCs w:val="16"/>
          <w:lang w:bidi="en-US"/>
        </w:rPr>
        <w:footnoteReference w:id="218"/>
      </w:r>
      <w:r w:rsidRPr="006A0A3F">
        <w:rPr>
          <w:rFonts w:ascii="Verdana" w:eastAsia="Calibri" w:hAnsi="Verdana" w:cs="Helvetica"/>
          <w:sz w:val="20"/>
          <w:szCs w:val="16"/>
          <w:lang w:bidi="en-US"/>
        </w:rPr>
        <w:t xml:space="preserve">. La violación </w:t>
      </w:r>
      <w:r w:rsidR="005B25BF" w:rsidRPr="006A0A3F">
        <w:rPr>
          <w:rFonts w:ascii="Verdana" w:eastAsia="Calibri" w:hAnsi="Verdana" w:cs="Helvetica"/>
          <w:sz w:val="20"/>
          <w:szCs w:val="16"/>
          <w:lang w:bidi="en-US"/>
        </w:rPr>
        <w:t>de este</w:t>
      </w:r>
      <w:r w:rsidRPr="006A0A3F">
        <w:rPr>
          <w:rFonts w:ascii="Verdana" w:eastAsia="Calibri" w:hAnsi="Verdana" w:cs="Helvetica"/>
          <w:sz w:val="20"/>
          <w:szCs w:val="16"/>
          <w:lang w:bidi="en-US"/>
        </w:rPr>
        <w:t xml:space="preserve"> derecho tiene diversas connotaciones de grado y abarca desde la tortura hasta otro tipo de vejámenes o tratos crueles, inhumanos o degradantes, cuyas secuelas físicas y psíquicas varían de intensidad según factores endógenos y exógenos (duración de los tratos, edad, sexo, salud, contexto, vulnerabilidad, entre otros) que deberán ser analizados en cada situación concreta</w:t>
      </w:r>
      <w:r w:rsidRPr="006A0A3F">
        <w:rPr>
          <w:rStyle w:val="FootnoteReference"/>
          <w:rFonts w:ascii="Verdana" w:eastAsia="Calibri" w:hAnsi="Verdana" w:cs="Helvetica"/>
          <w:sz w:val="20"/>
          <w:szCs w:val="16"/>
          <w:lang w:bidi="en-US"/>
        </w:rPr>
        <w:footnoteReference w:id="219"/>
      </w:r>
      <w:r w:rsidRPr="006A0A3F">
        <w:rPr>
          <w:rFonts w:ascii="Verdana" w:eastAsia="Calibri" w:hAnsi="Verdana" w:cs="Helvetica"/>
          <w:sz w:val="20"/>
          <w:szCs w:val="16"/>
          <w:lang w:bidi="en-US"/>
        </w:rPr>
        <w:t>.</w:t>
      </w:r>
    </w:p>
    <w:p w14:paraId="5A7584C6" w14:textId="77777777" w:rsidR="00E30C80" w:rsidRPr="006A0A3F" w:rsidRDefault="00E30C80" w:rsidP="00E30C80">
      <w:pPr>
        <w:pBdr>
          <w:top w:val="nil"/>
        </w:pBdr>
        <w:autoSpaceDE w:val="0"/>
        <w:autoSpaceDN w:val="0"/>
        <w:adjustRightInd w:val="0"/>
        <w:spacing w:after="0" w:line="240" w:lineRule="auto"/>
        <w:jc w:val="both"/>
        <w:rPr>
          <w:rFonts w:ascii="Verdana" w:hAnsi="Verdana"/>
          <w:sz w:val="20"/>
        </w:rPr>
      </w:pPr>
    </w:p>
    <w:p w14:paraId="697393B1" w14:textId="77777777" w:rsidR="00E30C80" w:rsidRPr="006A0A3F" w:rsidRDefault="00E30C80" w:rsidP="00E30C80">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La Corte considera que, en los términos argumentados por el representante, no corresponde analizar, en sentido alguno, los hechos del presente caso en relación con las definiciones de </w:t>
      </w:r>
      <w:r w:rsidRPr="006A0A3F">
        <w:rPr>
          <w:rFonts w:ascii="Verdana" w:eastAsia="Calibri" w:hAnsi="Verdana" w:cs="Helvetica"/>
          <w:sz w:val="20"/>
          <w:szCs w:val="16"/>
          <w:lang w:bidi="en-US"/>
        </w:rPr>
        <w:t xml:space="preserve">tortura o de penas o tratos crueles, inhumanos o degradantes, pues no revisten la entidad o magnitud de este tipo de casos. En consecuencia, corresponde declarar que el Estado no es responsable por la alegada violación del </w:t>
      </w:r>
      <w:r w:rsidRPr="006A0A3F">
        <w:rPr>
          <w:rFonts w:ascii="Verdana" w:hAnsi="Verdana"/>
          <w:sz w:val="20"/>
        </w:rPr>
        <w:t>artículo 5.2 de la Convención.</w:t>
      </w:r>
    </w:p>
    <w:p w14:paraId="11F5DF7F" w14:textId="77777777" w:rsidR="00E30C80" w:rsidRPr="006A0A3F" w:rsidRDefault="00E30C80" w:rsidP="00E30C80">
      <w:pPr>
        <w:pStyle w:val="ListParagraph"/>
        <w:rPr>
          <w:rFonts w:ascii="Verdana" w:hAnsi="Verdana"/>
          <w:bCs/>
          <w:sz w:val="20"/>
          <w:lang w:val="es-CR"/>
        </w:rPr>
      </w:pPr>
    </w:p>
    <w:p w14:paraId="64145C30" w14:textId="77777777" w:rsidR="001F5497" w:rsidRPr="006A0A3F" w:rsidRDefault="00E30C80" w:rsidP="001F5497">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bCs/>
          <w:sz w:val="20"/>
        </w:rPr>
        <w:t>En cuanto a lo demás, la Corte ha señalado que, en casos que por sus circunstancias no suponen una grave violación a los derechos humanos, tal como el presente, la vulneración de la integridad personal de las presuntas víctimas o familiares, en relación con las consecuencias de los hechos y el sufrimiento ocasionados, debe ser comprobada</w:t>
      </w:r>
      <w:r w:rsidRPr="006A0A3F">
        <w:rPr>
          <w:rStyle w:val="FootnoteReference"/>
          <w:rFonts w:ascii="Verdana" w:hAnsi="Verdana"/>
          <w:bCs/>
          <w:sz w:val="20"/>
        </w:rPr>
        <w:footnoteReference w:id="220"/>
      </w:r>
      <w:r w:rsidRPr="006A0A3F">
        <w:rPr>
          <w:rFonts w:ascii="Verdana" w:hAnsi="Verdana"/>
          <w:bCs/>
          <w:sz w:val="20"/>
        </w:rPr>
        <w:t xml:space="preserve">, lo cual corresponde </w:t>
      </w:r>
      <w:r w:rsidRPr="006A0A3F">
        <w:rPr>
          <w:rFonts w:ascii="Verdana" w:hAnsi="Verdana"/>
          <w:bCs/>
          <w:spacing w:val="-2"/>
          <w:sz w:val="20"/>
        </w:rPr>
        <w:t>analizar bajo el artículo 5.1 de la Convención, según sea alegado y aportada la prueba pertinente</w:t>
      </w:r>
      <w:r w:rsidRPr="006A0A3F">
        <w:rPr>
          <w:rStyle w:val="FootnoteReference"/>
          <w:rFonts w:ascii="Verdana" w:hAnsi="Verdana"/>
          <w:bCs/>
          <w:spacing w:val="-2"/>
          <w:sz w:val="20"/>
        </w:rPr>
        <w:footnoteReference w:id="221"/>
      </w:r>
      <w:r w:rsidRPr="006A0A3F">
        <w:rPr>
          <w:rFonts w:ascii="Verdana" w:hAnsi="Verdana"/>
          <w:bCs/>
          <w:spacing w:val="-2"/>
          <w:sz w:val="20"/>
        </w:rPr>
        <w:t>.</w:t>
      </w:r>
    </w:p>
    <w:p w14:paraId="542C875A" w14:textId="77777777" w:rsidR="001F5497" w:rsidRPr="006A0A3F" w:rsidRDefault="001F5497" w:rsidP="001F5497">
      <w:pPr>
        <w:pStyle w:val="ListParagraph"/>
        <w:rPr>
          <w:rFonts w:ascii="Verdana" w:hAnsi="Verdana"/>
          <w:color w:val="FF0000"/>
          <w:sz w:val="20"/>
          <w:lang w:val="es-CR"/>
        </w:rPr>
      </w:pPr>
    </w:p>
    <w:p w14:paraId="6DCCCA02" w14:textId="35797538" w:rsidR="00E30C80" w:rsidRPr="006A0A3F" w:rsidRDefault="00705A3D" w:rsidP="001F5497">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En este caso </w:t>
      </w:r>
      <w:r w:rsidR="001F5497" w:rsidRPr="006A0A3F">
        <w:rPr>
          <w:rFonts w:ascii="Verdana" w:hAnsi="Verdana"/>
          <w:sz w:val="20"/>
        </w:rPr>
        <w:t xml:space="preserve">no consta en autos </w:t>
      </w:r>
      <w:r w:rsidR="00E30C80" w:rsidRPr="006A0A3F">
        <w:rPr>
          <w:rFonts w:ascii="Verdana" w:hAnsi="Verdana"/>
          <w:sz w:val="20"/>
        </w:rPr>
        <w:t>una clara distinción entre</w:t>
      </w:r>
      <w:r w:rsidR="00C15E98" w:rsidRPr="006A0A3F">
        <w:rPr>
          <w:rFonts w:ascii="Verdana" w:hAnsi="Verdana"/>
          <w:sz w:val="20"/>
        </w:rPr>
        <w:t xml:space="preserve"> </w:t>
      </w:r>
      <w:r w:rsidR="00E30C80" w:rsidRPr="006A0A3F">
        <w:rPr>
          <w:rFonts w:ascii="Verdana" w:hAnsi="Verdana"/>
          <w:sz w:val="20"/>
        </w:rPr>
        <w:t xml:space="preserve">los supuestos daños a </w:t>
      </w:r>
      <w:r w:rsidR="00C15E98" w:rsidRPr="006A0A3F">
        <w:rPr>
          <w:rFonts w:ascii="Verdana" w:hAnsi="Verdana"/>
          <w:sz w:val="20"/>
        </w:rPr>
        <w:t>su</w:t>
      </w:r>
      <w:r w:rsidR="00E30C80" w:rsidRPr="006A0A3F">
        <w:rPr>
          <w:rFonts w:ascii="Verdana" w:hAnsi="Verdana"/>
          <w:sz w:val="20"/>
        </w:rPr>
        <w:t xml:space="preserve"> salud física y mental, luego de l</w:t>
      </w:r>
      <w:r w:rsidR="00C15E98" w:rsidRPr="006A0A3F">
        <w:rPr>
          <w:rFonts w:ascii="Verdana" w:hAnsi="Verdana"/>
          <w:sz w:val="20"/>
        </w:rPr>
        <w:t>a terminación de sus contratos</w:t>
      </w:r>
      <w:r w:rsidR="00831F29" w:rsidRPr="006A0A3F">
        <w:rPr>
          <w:rFonts w:ascii="Verdana" w:hAnsi="Verdana"/>
          <w:sz w:val="20"/>
        </w:rPr>
        <w:t>,</w:t>
      </w:r>
      <w:r w:rsidR="00C15E98" w:rsidRPr="006A0A3F">
        <w:rPr>
          <w:rFonts w:ascii="Verdana" w:hAnsi="Verdana"/>
          <w:sz w:val="20"/>
        </w:rPr>
        <w:t xml:space="preserve"> y</w:t>
      </w:r>
      <w:r w:rsidR="001F5497" w:rsidRPr="006A0A3F">
        <w:rPr>
          <w:rFonts w:ascii="Verdana" w:hAnsi="Verdana"/>
          <w:color w:val="FF0000"/>
          <w:sz w:val="20"/>
        </w:rPr>
        <w:t xml:space="preserve"> </w:t>
      </w:r>
      <w:r w:rsidR="00E30C80" w:rsidRPr="006A0A3F">
        <w:rPr>
          <w:rFonts w:ascii="Verdana" w:hAnsi="Verdana"/>
          <w:sz w:val="20"/>
        </w:rPr>
        <w:t xml:space="preserve">los daños materiales o morales </w:t>
      </w:r>
      <w:r w:rsidR="001F5497" w:rsidRPr="006A0A3F">
        <w:rPr>
          <w:rFonts w:ascii="Verdana" w:hAnsi="Verdana"/>
          <w:sz w:val="20"/>
        </w:rPr>
        <w:t>también alegados, por lo cual no corresponde emitir un pronunciamiento sobre la alegada violación del artículo 5 de la Convención respecto de ellos</w:t>
      </w:r>
      <w:r w:rsidR="001F5497" w:rsidRPr="006A0A3F">
        <w:rPr>
          <w:rStyle w:val="FootnoteReference"/>
          <w:rFonts w:ascii="Verdana" w:hAnsi="Verdana"/>
          <w:sz w:val="20"/>
        </w:rPr>
        <w:footnoteReference w:id="222"/>
      </w:r>
      <w:r w:rsidR="001F5497" w:rsidRPr="006A0A3F">
        <w:rPr>
          <w:rFonts w:ascii="Verdana" w:hAnsi="Verdana"/>
          <w:sz w:val="20"/>
        </w:rPr>
        <w:t>.</w:t>
      </w:r>
      <w:r w:rsidR="00C15E98" w:rsidRPr="006A0A3F">
        <w:rPr>
          <w:rFonts w:ascii="Verdana" w:hAnsi="Verdana"/>
          <w:sz w:val="20"/>
        </w:rPr>
        <w:t xml:space="preserve"> </w:t>
      </w:r>
      <w:r w:rsidR="001F5497" w:rsidRPr="006A0A3F">
        <w:rPr>
          <w:rFonts w:ascii="Verdana" w:hAnsi="Verdana"/>
          <w:sz w:val="20"/>
        </w:rPr>
        <w:t>Con todo, e</w:t>
      </w:r>
      <w:r w:rsidR="00E30C80" w:rsidRPr="006A0A3F">
        <w:rPr>
          <w:rFonts w:ascii="Verdana" w:hAnsi="Verdana"/>
          <w:sz w:val="20"/>
        </w:rPr>
        <w:t>n las circunstancias del presente caso, la Corte tomará en consideración</w:t>
      </w:r>
      <w:r w:rsidR="001F5497" w:rsidRPr="006A0A3F">
        <w:rPr>
          <w:rFonts w:ascii="Verdana" w:hAnsi="Verdana"/>
          <w:sz w:val="20"/>
        </w:rPr>
        <w:t xml:space="preserve"> l</w:t>
      </w:r>
      <w:r w:rsidR="00E30C80" w:rsidRPr="006A0A3F">
        <w:rPr>
          <w:rFonts w:ascii="Verdana" w:hAnsi="Verdana"/>
          <w:sz w:val="20"/>
        </w:rPr>
        <w:t>os efectos que los hechos han tenido en las presuntas víctimas</w:t>
      </w:r>
      <w:r w:rsidR="001F5497" w:rsidRPr="006A0A3F">
        <w:rPr>
          <w:rFonts w:ascii="Verdana" w:hAnsi="Verdana"/>
          <w:sz w:val="20"/>
        </w:rPr>
        <w:t>,</w:t>
      </w:r>
      <w:r w:rsidR="00E30C80" w:rsidRPr="006A0A3F">
        <w:rPr>
          <w:rFonts w:ascii="Verdana" w:hAnsi="Verdana"/>
          <w:sz w:val="20"/>
        </w:rPr>
        <w:t xml:space="preserve"> al momento de determinar</w:t>
      </w:r>
      <w:r w:rsidR="001F5497" w:rsidRPr="006A0A3F">
        <w:rPr>
          <w:rFonts w:ascii="Verdana" w:hAnsi="Verdana"/>
          <w:sz w:val="20"/>
        </w:rPr>
        <w:t>, en el capítulo</w:t>
      </w:r>
      <w:r w:rsidR="00601720">
        <w:rPr>
          <w:rFonts w:ascii="Verdana" w:hAnsi="Verdana"/>
          <w:sz w:val="20"/>
        </w:rPr>
        <w:t xml:space="preserve"> correspondiente</w:t>
      </w:r>
      <w:r w:rsidR="001F5497" w:rsidRPr="006A0A3F">
        <w:rPr>
          <w:rFonts w:ascii="Verdana" w:hAnsi="Verdana"/>
          <w:sz w:val="20"/>
        </w:rPr>
        <w:t>,</w:t>
      </w:r>
      <w:r w:rsidR="00E30C80" w:rsidRPr="006A0A3F">
        <w:rPr>
          <w:rFonts w:ascii="Verdana" w:hAnsi="Verdana"/>
          <w:sz w:val="20"/>
        </w:rPr>
        <w:t xml:space="preserve"> las reparaciones pertin</w:t>
      </w:r>
      <w:r w:rsidR="001F5497" w:rsidRPr="006A0A3F">
        <w:rPr>
          <w:rFonts w:ascii="Verdana" w:hAnsi="Verdana"/>
          <w:sz w:val="20"/>
        </w:rPr>
        <w:t>entes.</w:t>
      </w:r>
    </w:p>
    <w:p w14:paraId="1472A239" w14:textId="77777777" w:rsidR="008C4BF9" w:rsidRPr="006A0A3F" w:rsidRDefault="008C4BF9" w:rsidP="008C4BF9">
      <w:pPr>
        <w:pBdr>
          <w:top w:val="nil"/>
        </w:pBdr>
        <w:spacing w:after="0" w:line="240" w:lineRule="auto"/>
        <w:jc w:val="both"/>
        <w:rPr>
          <w:rFonts w:ascii="Verdana" w:hAnsi="Verdana"/>
          <w:sz w:val="20"/>
          <w:szCs w:val="20"/>
        </w:rPr>
      </w:pPr>
    </w:p>
    <w:p w14:paraId="4FF0EB05" w14:textId="6E7FE1FC" w:rsidR="00E34234" w:rsidRDefault="00E34234">
      <w:pPr>
        <w:rPr>
          <w:rFonts w:ascii="Verdana" w:eastAsia="Times New Roman" w:hAnsi="Verdana" w:cs="Times New Roman"/>
          <w:sz w:val="20"/>
          <w:szCs w:val="20"/>
          <w:lang w:eastAsia="es-ES"/>
        </w:rPr>
      </w:pPr>
    </w:p>
    <w:p w14:paraId="0584B4E3" w14:textId="77777777" w:rsidR="00925197" w:rsidRPr="006A0A3F" w:rsidRDefault="00925197">
      <w:pPr>
        <w:rPr>
          <w:rFonts w:ascii="Verdana" w:eastAsia="Times New Roman" w:hAnsi="Verdana" w:cs="Times New Roman"/>
          <w:sz w:val="20"/>
          <w:szCs w:val="20"/>
          <w:lang w:eastAsia="es-ES"/>
        </w:rPr>
      </w:pPr>
    </w:p>
    <w:p w14:paraId="5A2553D7" w14:textId="5164A601" w:rsidR="00275951" w:rsidRPr="006A0A3F" w:rsidRDefault="00275951" w:rsidP="00275951">
      <w:pPr>
        <w:pStyle w:val="Heading1"/>
        <w:spacing w:before="0" w:after="0" w:line="240" w:lineRule="auto"/>
        <w:ind w:firstLine="4"/>
        <w:jc w:val="center"/>
        <w:rPr>
          <w:rFonts w:ascii="Verdana" w:hAnsi="Verdana" w:cs="Verdana"/>
          <w:caps/>
          <w:snapToGrid w:val="0"/>
          <w:sz w:val="20"/>
          <w:szCs w:val="20"/>
          <w:lang w:val="es-CR" w:eastAsia="es-ES"/>
        </w:rPr>
      </w:pPr>
      <w:bookmarkStart w:id="37" w:name="_Toc340752594"/>
      <w:bookmarkStart w:id="38" w:name="_Toc476251457"/>
      <w:bookmarkStart w:id="39" w:name="_Toc505876999"/>
      <w:r w:rsidRPr="006A0A3F">
        <w:rPr>
          <w:rFonts w:ascii="Verdana" w:hAnsi="Verdana" w:cs="Verdana"/>
          <w:caps/>
          <w:snapToGrid w:val="0"/>
          <w:sz w:val="20"/>
          <w:szCs w:val="20"/>
          <w:lang w:val="es-CR" w:eastAsia="es-ES"/>
        </w:rPr>
        <w:lastRenderedPageBreak/>
        <w:t>ViI.2</w:t>
      </w:r>
      <w:r w:rsidRPr="006A0A3F">
        <w:rPr>
          <w:rFonts w:ascii="Verdana" w:hAnsi="Verdana" w:cs="Verdana"/>
          <w:caps/>
          <w:snapToGrid w:val="0"/>
          <w:sz w:val="20"/>
          <w:szCs w:val="20"/>
          <w:lang w:val="es-CR" w:eastAsia="es-ES"/>
        </w:rPr>
        <w:br/>
      </w:r>
      <w:bookmarkEnd w:id="37"/>
      <w:r w:rsidRPr="006A0A3F">
        <w:rPr>
          <w:rFonts w:ascii="Verdana" w:hAnsi="Verdana" w:cs="Verdana"/>
          <w:caps/>
          <w:snapToGrid w:val="0"/>
          <w:sz w:val="20"/>
          <w:szCs w:val="20"/>
          <w:lang w:val="es-CR" w:eastAsia="es-ES"/>
        </w:rPr>
        <w:t>derecho a las garantías judiciales y Protección judicial</w:t>
      </w:r>
      <w:bookmarkEnd w:id="38"/>
      <w:bookmarkEnd w:id="39"/>
    </w:p>
    <w:p w14:paraId="650E539E" w14:textId="314A9A47" w:rsidR="00275951" w:rsidRPr="006A0A3F" w:rsidRDefault="00275951" w:rsidP="00275951">
      <w:pPr>
        <w:spacing w:after="0" w:line="240" w:lineRule="auto"/>
        <w:jc w:val="center"/>
        <w:rPr>
          <w:rFonts w:ascii="Times New Roman" w:hAnsi="Times New Roman" w:cs="Times New Roman"/>
          <w:sz w:val="24"/>
          <w:szCs w:val="24"/>
          <w:lang w:eastAsia="es-CR"/>
        </w:rPr>
      </w:pPr>
      <w:r w:rsidRPr="006A0A3F">
        <w:rPr>
          <w:rFonts w:ascii="Verdana" w:hAnsi="Verdana" w:cs="Verdana"/>
          <w:b/>
          <w:smallCaps/>
          <w:snapToGrid w:val="0"/>
          <w:sz w:val="20"/>
          <w:szCs w:val="20"/>
          <w:lang w:eastAsia="es-ES"/>
        </w:rPr>
        <w:t>(</w:t>
      </w:r>
      <w:r w:rsidRPr="006A0A3F">
        <w:rPr>
          <w:rFonts w:ascii="Verdana" w:hAnsi="Verdana" w:cs="Verdana"/>
          <w:b/>
          <w:snapToGrid w:val="0"/>
          <w:sz w:val="20"/>
          <w:szCs w:val="20"/>
          <w:lang w:eastAsia="es-ES"/>
        </w:rPr>
        <w:t xml:space="preserve">Artículos </w:t>
      </w:r>
      <w:r w:rsidRPr="006A0A3F">
        <w:rPr>
          <w:rFonts w:ascii="Verdana" w:hAnsi="Verdana"/>
          <w:b/>
          <w:sz w:val="20"/>
          <w:szCs w:val="20"/>
          <w:lang w:eastAsia="es-ES"/>
        </w:rPr>
        <w:t>1.1, 8</w:t>
      </w:r>
      <w:r w:rsidR="007805AB" w:rsidRPr="006A0A3F">
        <w:rPr>
          <w:rFonts w:ascii="Verdana" w:hAnsi="Verdana"/>
          <w:b/>
          <w:sz w:val="20"/>
          <w:szCs w:val="20"/>
          <w:lang w:eastAsia="es-ES"/>
        </w:rPr>
        <w:t>.1</w:t>
      </w:r>
      <w:r w:rsidRPr="006A0A3F">
        <w:rPr>
          <w:rStyle w:val="FootnoteReference"/>
          <w:rFonts w:ascii="Verdana" w:hAnsi="Verdana"/>
          <w:sz w:val="20"/>
          <w:szCs w:val="20"/>
        </w:rPr>
        <w:footnoteReference w:id="223"/>
      </w:r>
      <w:r w:rsidRPr="006A0A3F">
        <w:rPr>
          <w:rFonts w:ascii="Verdana" w:hAnsi="Verdana"/>
          <w:b/>
          <w:sz w:val="20"/>
          <w:szCs w:val="20"/>
          <w:lang w:eastAsia="es-ES"/>
        </w:rPr>
        <w:t xml:space="preserve"> y 25</w:t>
      </w:r>
      <w:r w:rsidRPr="006A0A3F">
        <w:rPr>
          <w:rStyle w:val="FootnoteReference"/>
          <w:rFonts w:ascii="Verdana" w:hAnsi="Verdana"/>
          <w:sz w:val="20"/>
          <w:szCs w:val="20"/>
        </w:rPr>
        <w:footnoteReference w:id="224"/>
      </w:r>
      <w:r w:rsidRPr="006A0A3F">
        <w:rPr>
          <w:rFonts w:ascii="Verdana" w:hAnsi="Verdana"/>
          <w:b/>
          <w:sz w:val="20"/>
          <w:szCs w:val="20"/>
          <w:lang w:eastAsia="es-ES"/>
        </w:rPr>
        <w:t xml:space="preserve"> de la Convención Americana)</w:t>
      </w:r>
    </w:p>
    <w:p w14:paraId="110C5058" w14:textId="77777777" w:rsidR="00BB2A15" w:rsidRPr="006A0A3F" w:rsidRDefault="00BB2A15" w:rsidP="00275951">
      <w:pPr>
        <w:pStyle w:val="ListParagraph"/>
        <w:ind w:left="0"/>
        <w:jc w:val="both"/>
        <w:rPr>
          <w:rFonts w:ascii="Verdana" w:hAnsi="Verdana" w:cs="Arial"/>
          <w:i/>
          <w:sz w:val="20"/>
          <w:lang w:val="es-CR"/>
        </w:rPr>
      </w:pPr>
    </w:p>
    <w:p w14:paraId="003EB102" w14:textId="3D8FFEDD" w:rsidR="009B0103" w:rsidRPr="006A0A3F" w:rsidRDefault="009B0103" w:rsidP="009B0103">
      <w:pPr>
        <w:pStyle w:val="ListParagraph"/>
        <w:ind w:left="0" w:firstLine="708"/>
        <w:jc w:val="both"/>
        <w:rPr>
          <w:rFonts w:ascii="Verdana" w:hAnsi="Verdana" w:cs="Arial"/>
          <w:b/>
          <w:i/>
          <w:sz w:val="20"/>
          <w:lang w:val="es-CR"/>
        </w:rPr>
      </w:pPr>
      <w:r w:rsidRPr="006A0A3F">
        <w:rPr>
          <w:rFonts w:ascii="Verdana" w:hAnsi="Verdana" w:cs="Arial"/>
          <w:b/>
          <w:i/>
          <w:sz w:val="20"/>
          <w:lang w:val="es-CR"/>
        </w:rPr>
        <w:t>Alegatos de las partes y de la Comisión</w:t>
      </w:r>
    </w:p>
    <w:p w14:paraId="183BEB1F" w14:textId="77777777" w:rsidR="00275951" w:rsidRPr="006A0A3F" w:rsidRDefault="00275951" w:rsidP="001F09C8">
      <w:pPr>
        <w:pStyle w:val="ListParagraph"/>
        <w:ind w:left="0"/>
        <w:jc w:val="both"/>
        <w:rPr>
          <w:rFonts w:ascii="Verdana" w:hAnsi="Verdana"/>
          <w:sz w:val="20"/>
          <w:lang w:val="es-CR"/>
        </w:rPr>
      </w:pPr>
    </w:p>
    <w:p w14:paraId="36766B22" w14:textId="208E5DB8" w:rsidR="00FC0C6A" w:rsidRPr="006A0A3F" w:rsidRDefault="00FC0C6A" w:rsidP="00FC0C6A">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La </w:t>
      </w:r>
      <w:r w:rsidRPr="006A0A3F">
        <w:rPr>
          <w:rFonts w:ascii="Verdana" w:hAnsi="Verdana"/>
          <w:b/>
          <w:sz w:val="20"/>
          <w:szCs w:val="20"/>
        </w:rPr>
        <w:t>Comisión</w:t>
      </w:r>
      <w:r w:rsidRPr="006A0A3F">
        <w:rPr>
          <w:rFonts w:ascii="Verdana" w:hAnsi="Verdana"/>
          <w:sz w:val="20"/>
          <w:szCs w:val="20"/>
        </w:rPr>
        <w:t xml:space="preserve"> </w:t>
      </w:r>
      <w:r w:rsidR="005F5346" w:rsidRPr="006A0A3F">
        <w:rPr>
          <w:rFonts w:ascii="Verdana" w:hAnsi="Verdana"/>
          <w:sz w:val="20"/>
          <w:szCs w:val="20"/>
        </w:rPr>
        <w:t>señaló</w:t>
      </w:r>
      <w:r w:rsidRPr="006A0A3F">
        <w:rPr>
          <w:rFonts w:ascii="Verdana" w:hAnsi="Verdana"/>
          <w:sz w:val="20"/>
          <w:szCs w:val="20"/>
        </w:rPr>
        <w:t xml:space="preserve"> que, pues “al tratarse de una sanción implícita, mediante una decisión inmotivada, las [presuntas] víctimas del caso estuvieron impedidas de criticar el motivo real de la misma o de someterla a un nuevo examen ante un tribunal superior” para analizar la gravedad de la conducta imputada y la </w:t>
      </w:r>
      <w:r w:rsidR="005F5346" w:rsidRPr="006A0A3F">
        <w:rPr>
          <w:rFonts w:ascii="Verdana" w:hAnsi="Verdana"/>
          <w:sz w:val="20"/>
          <w:szCs w:val="20"/>
        </w:rPr>
        <w:t xml:space="preserve">proporcionalidad de la sanción, pues </w:t>
      </w:r>
      <w:r w:rsidR="00555377" w:rsidRPr="006A0A3F">
        <w:rPr>
          <w:rFonts w:ascii="Verdana" w:hAnsi="Verdana"/>
          <w:sz w:val="20"/>
          <w:szCs w:val="20"/>
        </w:rPr>
        <w:t>l</w:t>
      </w:r>
      <w:r w:rsidRPr="006A0A3F">
        <w:rPr>
          <w:rFonts w:ascii="Verdana" w:hAnsi="Verdana"/>
          <w:sz w:val="20"/>
          <w:szCs w:val="20"/>
        </w:rPr>
        <w:t xml:space="preserve">a falta de motivación favorece que actos formalmente no sancionatorios se traduzcan en verdaderas sanciones como forma de represalia. </w:t>
      </w:r>
      <w:r w:rsidR="005F5346" w:rsidRPr="006A0A3F">
        <w:rPr>
          <w:rFonts w:ascii="Verdana" w:hAnsi="Verdana"/>
          <w:sz w:val="20"/>
          <w:szCs w:val="20"/>
        </w:rPr>
        <w:t xml:space="preserve">Así, </w:t>
      </w:r>
      <w:r w:rsidRPr="006A0A3F">
        <w:rPr>
          <w:rFonts w:ascii="Verdana" w:hAnsi="Verdana"/>
          <w:sz w:val="20"/>
          <w:szCs w:val="20"/>
        </w:rPr>
        <w:t xml:space="preserve">la desviación de poder que tuvo lugar, bajo la excusa de aplicación de una facultad discrecional, comportó “una violación general a las garantías del debido proceso consagradas en el artículo 8 de la Convención”, en </w:t>
      </w:r>
      <w:r w:rsidR="005F5346" w:rsidRPr="006A0A3F">
        <w:rPr>
          <w:rFonts w:ascii="Verdana" w:hAnsi="Verdana"/>
          <w:sz w:val="20"/>
          <w:szCs w:val="20"/>
        </w:rPr>
        <w:t xml:space="preserve">su </w:t>
      </w:r>
      <w:r w:rsidRPr="006A0A3F">
        <w:rPr>
          <w:rFonts w:ascii="Verdana" w:hAnsi="Verdana"/>
          <w:sz w:val="20"/>
          <w:szCs w:val="20"/>
        </w:rPr>
        <w:t>perjuicio</w:t>
      </w:r>
      <w:r w:rsidR="005F5346" w:rsidRPr="006A0A3F">
        <w:rPr>
          <w:rFonts w:ascii="Verdana" w:hAnsi="Verdana"/>
          <w:sz w:val="20"/>
          <w:szCs w:val="20"/>
        </w:rPr>
        <w:t>.</w:t>
      </w:r>
      <w:r w:rsidRPr="006A0A3F">
        <w:rPr>
          <w:rFonts w:ascii="Verdana" w:hAnsi="Verdana"/>
          <w:sz w:val="20"/>
          <w:szCs w:val="20"/>
        </w:rPr>
        <w:t xml:space="preserve"> </w:t>
      </w:r>
    </w:p>
    <w:p w14:paraId="20D14737" w14:textId="77777777" w:rsidR="00FC0C6A" w:rsidRPr="006A0A3F" w:rsidRDefault="00FC0C6A" w:rsidP="00FC0C6A">
      <w:pPr>
        <w:pBdr>
          <w:top w:val="nil"/>
        </w:pBdr>
        <w:spacing w:after="0" w:line="240" w:lineRule="auto"/>
        <w:jc w:val="both"/>
        <w:rPr>
          <w:rFonts w:ascii="Verdana" w:hAnsi="Verdana"/>
          <w:sz w:val="20"/>
          <w:szCs w:val="20"/>
        </w:rPr>
      </w:pPr>
    </w:p>
    <w:p w14:paraId="3C51C5F5" w14:textId="1B1EBFE5" w:rsidR="00FC0C6A" w:rsidRPr="006A0A3F" w:rsidRDefault="00FC0C6A" w:rsidP="00555377">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A su vez, la Comisión señaló que los procesos utilizados por las presuntas víctimas, tanto el recurso de amparo constitucional como la investigación penal, no fueron recursos eficaces para examinar tal </w:t>
      </w:r>
      <w:r w:rsidR="00555377" w:rsidRPr="006A0A3F">
        <w:rPr>
          <w:rFonts w:ascii="Verdana" w:hAnsi="Verdana"/>
          <w:sz w:val="20"/>
          <w:szCs w:val="20"/>
        </w:rPr>
        <w:t>desviación de poder</w:t>
      </w:r>
      <w:r w:rsidRPr="006A0A3F">
        <w:rPr>
          <w:rFonts w:ascii="Verdana" w:hAnsi="Verdana"/>
          <w:sz w:val="20"/>
          <w:szCs w:val="20"/>
        </w:rPr>
        <w:t xml:space="preserve">. Señaló que las autoridades judiciales en ambos procesos asumieron como cierta la explicación de </w:t>
      </w:r>
      <w:r w:rsidR="005A1681" w:rsidRPr="006A0A3F">
        <w:rPr>
          <w:rFonts w:ascii="Verdana" w:hAnsi="Verdana"/>
          <w:sz w:val="20"/>
          <w:szCs w:val="20"/>
        </w:rPr>
        <w:t xml:space="preserve">la </w:t>
      </w:r>
      <w:r w:rsidRPr="006A0A3F">
        <w:rPr>
          <w:rFonts w:ascii="Verdana" w:hAnsi="Verdana"/>
          <w:sz w:val="20"/>
          <w:szCs w:val="20"/>
        </w:rPr>
        <w:t xml:space="preserve">facultad discrecional, </w:t>
      </w:r>
      <w:r w:rsidR="005A1681" w:rsidRPr="006A0A3F">
        <w:rPr>
          <w:rFonts w:ascii="Verdana" w:hAnsi="Verdana"/>
          <w:sz w:val="20"/>
          <w:szCs w:val="20"/>
        </w:rPr>
        <w:t xml:space="preserve">por </w:t>
      </w:r>
      <w:r w:rsidRPr="006A0A3F">
        <w:rPr>
          <w:rFonts w:ascii="Verdana" w:hAnsi="Verdana"/>
          <w:sz w:val="20"/>
          <w:szCs w:val="20"/>
        </w:rPr>
        <w:t xml:space="preserve">lo cual se limitaron a determinar si los contratos conferían </w:t>
      </w:r>
      <w:r w:rsidR="005A1681" w:rsidRPr="006A0A3F">
        <w:rPr>
          <w:rFonts w:ascii="Verdana" w:hAnsi="Verdana"/>
          <w:sz w:val="20"/>
          <w:szCs w:val="20"/>
        </w:rPr>
        <w:t xml:space="preserve">tal </w:t>
      </w:r>
      <w:r w:rsidRPr="006A0A3F">
        <w:rPr>
          <w:rFonts w:ascii="Verdana" w:hAnsi="Verdana"/>
          <w:sz w:val="20"/>
          <w:szCs w:val="20"/>
        </w:rPr>
        <w:t>facultad, corroboración que no resulta idónea para determinar si hubo discriminación en un caso en el que se alega precisamente que ésta operó de manera encubierta</w:t>
      </w:r>
      <w:r w:rsidR="00555377" w:rsidRPr="006A0A3F">
        <w:rPr>
          <w:rStyle w:val="FootnoteReference"/>
          <w:rFonts w:ascii="Verdana" w:hAnsi="Verdana"/>
          <w:sz w:val="20"/>
          <w:szCs w:val="20"/>
        </w:rPr>
        <w:footnoteReference w:id="225"/>
      </w:r>
      <w:r w:rsidRPr="006A0A3F">
        <w:rPr>
          <w:rFonts w:ascii="Verdana" w:hAnsi="Verdana"/>
          <w:sz w:val="20"/>
          <w:szCs w:val="20"/>
        </w:rPr>
        <w:t>.</w:t>
      </w:r>
      <w:r w:rsidR="003A0CF7" w:rsidRPr="006A0A3F">
        <w:rPr>
          <w:rFonts w:ascii="Verdana" w:hAnsi="Verdana"/>
          <w:sz w:val="20"/>
          <w:szCs w:val="20"/>
        </w:rPr>
        <w:t xml:space="preserve"> Además, la Comisión concluyó que el recurso de amparo incumplió con la garantía de plazo razonable “contenida en los artículos 8.1 y 25.1 de la Convención”, pues la demora no podría ser atribuib</w:t>
      </w:r>
      <w:r w:rsidR="00840206" w:rsidRPr="006A0A3F">
        <w:rPr>
          <w:rFonts w:ascii="Verdana" w:hAnsi="Verdana"/>
          <w:sz w:val="20"/>
          <w:szCs w:val="20"/>
        </w:rPr>
        <w:t xml:space="preserve">le a la complejidad del asunto </w:t>
      </w:r>
      <w:r w:rsidR="003A0CF7" w:rsidRPr="006A0A3F">
        <w:rPr>
          <w:rFonts w:ascii="Verdana" w:hAnsi="Verdana"/>
          <w:sz w:val="20"/>
          <w:szCs w:val="20"/>
        </w:rPr>
        <w:t xml:space="preserve">y las presuntas víctimas participaron activamente en el proceso. Así, a pesar de que la Constitución Política venezolana prevé el derecho de obtener con prontitud una decisión correspondiente, y teniendo en cuenta la naturaleza “breve, sumaria y eficaz” de la acción de amparo, las autoridades judiciales estuvieron discutiendo sobre cuestiones de competencia durante la </w:t>
      </w:r>
      <w:r w:rsidR="005A1681" w:rsidRPr="006A0A3F">
        <w:rPr>
          <w:rFonts w:ascii="Verdana" w:hAnsi="Verdana"/>
          <w:sz w:val="20"/>
          <w:szCs w:val="20"/>
        </w:rPr>
        <w:t>mayor parte</w:t>
      </w:r>
      <w:r w:rsidR="003A0CF7" w:rsidRPr="006A0A3F">
        <w:rPr>
          <w:rFonts w:ascii="Verdana" w:hAnsi="Verdana"/>
          <w:sz w:val="20"/>
          <w:szCs w:val="20"/>
        </w:rPr>
        <w:t xml:space="preserve"> del tiempo, pues la Sala Constitucional tardó diez meses en resolver la declinatoria de competencia, con lo cual la sentencia de fondo se emitió más de un año después de presentado el amparo, sin que el Estado haya presentado justificación alguna.</w:t>
      </w:r>
      <w:r w:rsidR="003A0CF7" w:rsidRPr="006A0A3F">
        <w:t xml:space="preserve"> </w:t>
      </w:r>
      <w:r w:rsidR="003A0CF7" w:rsidRPr="006A0A3F">
        <w:rPr>
          <w:rFonts w:ascii="Verdana" w:hAnsi="Verdana"/>
          <w:sz w:val="20"/>
          <w:szCs w:val="20"/>
        </w:rPr>
        <w:t>Por último, e</w:t>
      </w:r>
      <w:r w:rsidRPr="006A0A3F">
        <w:rPr>
          <w:rFonts w:ascii="Verdana" w:hAnsi="Verdana"/>
          <w:sz w:val="20"/>
          <w:szCs w:val="20"/>
        </w:rPr>
        <w:t xml:space="preserve">n </w:t>
      </w:r>
      <w:r w:rsidR="00555377" w:rsidRPr="006A0A3F">
        <w:rPr>
          <w:rFonts w:ascii="Verdana" w:hAnsi="Verdana"/>
          <w:sz w:val="20"/>
          <w:szCs w:val="20"/>
        </w:rPr>
        <w:t xml:space="preserve">cuanto a la investigación penal, </w:t>
      </w:r>
      <w:r w:rsidR="003A0CF7" w:rsidRPr="006A0A3F">
        <w:rPr>
          <w:rFonts w:ascii="Verdana" w:hAnsi="Verdana"/>
          <w:sz w:val="20"/>
          <w:szCs w:val="20"/>
        </w:rPr>
        <w:t>la Comisión</w:t>
      </w:r>
      <w:r w:rsidR="005A1681" w:rsidRPr="006A0A3F">
        <w:rPr>
          <w:rFonts w:ascii="Verdana" w:hAnsi="Verdana"/>
          <w:sz w:val="20"/>
          <w:szCs w:val="20"/>
        </w:rPr>
        <w:t xml:space="preserve"> consideró que </w:t>
      </w:r>
      <w:r w:rsidR="00555377" w:rsidRPr="006A0A3F">
        <w:rPr>
          <w:rFonts w:ascii="Verdana" w:hAnsi="Verdana"/>
          <w:sz w:val="20"/>
          <w:szCs w:val="20"/>
        </w:rPr>
        <w:t>la autoridad judicial</w:t>
      </w:r>
      <w:r w:rsidRPr="006A0A3F">
        <w:rPr>
          <w:rFonts w:ascii="Verdana" w:hAnsi="Verdana"/>
          <w:sz w:val="20"/>
          <w:szCs w:val="20"/>
        </w:rPr>
        <w:t xml:space="preserve"> </w:t>
      </w:r>
      <w:r w:rsidR="00555377" w:rsidRPr="006A0A3F">
        <w:rPr>
          <w:rFonts w:ascii="Verdana" w:hAnsi="Verdana"/>
          <w:sz w:val="20"/>
          <w:szCs w:val="20"/>
        </w:rPr>
        <w:t>no dio</w:t>
      </w:r>
      <w:r w:rsidRPr="006A0A3F">
        <w:rPr>
          <w:rFonts w:ascii="Verdana" w:hAnsi="Verdana"/>
          <w:sz w:val="20"/>
          <w:szCs w:val="20"/>
        </w:rPr>
        <w:t xml:space="preserve"> una motivación adecuada </w:t>
      </w:r>
      <w:r w:rsidR="00555377" w:rsidRPr="006A0A3F">
        <w:rPr>
          <w:rFonts w:ascii="Verdana" w:hAnsi="Verdana"/>
          <w:sz w:val="20"/>
          <w:szCs w:val="20"/>
        </w:rPr>
        <w:t xml:space="preserve">acerca de </w:t>
      </w:r>
      <w:r w:rsidRPr="006A0A3F">
        <w:rPr>
          <w:rFonts w:ascii="Verdana" w:hAnsi="Verdana"/>
          <w:sz w:val="20"/>
          <w:szCs w:val="20"/>
        </w:rPr>
        <w:t>los argumentos de las</w:t>
      </w:r>
      <w:r w:rsidR="005A1681" w:rsidRPr="006A0A3F">
        <w:rPr>
          <w:rFonts w:ascii="Verdana" w:hAnsi="Verdana"/>
          <w:sz w:val="20"/>
          <w:szCs w:val="20"/>
        </w:rPr>
        <w:t xml:space="preserve"> presuntas</w:t>
      </w:r>
      <w:r w:rsidRPr="006A0A3F">
        <w:rPr>
          <w:rFonts w:ascii="Verdana" w:hAnsi="Verdana"/>
          <w:sz w:val="20"/>
          <w:szCs w:val="20"/>
        </w:rPr>
        <w:t xml:space="preserve"> víctimas</w:t>
      </w:r>
      <w:r w:rsidR="005A1681" w:rsidRPr="006A0A3F">
        <w:rPr>
          <w:rFonts w:ascii="Verdana" w:hAnsi="Verdana"/>
          <w:sz w:val="20"/>
          <w:szCs w:val="20"/>
        </w:rPr>
        <w:t xml:space="preserve"> sobre la configuración de delitos y que la Fiscalía no desarrolló una investigación adecuada</w:t>
      </w:r>
      <w:r w:rsidRPr="006A0A3F">
        <w:rPr>
          <w:rFonts w:ascii="Verdana" w:hAnsi="Verdana"/>
          <w:sz w:val="20"/>
          <w:szCs w:val="20"/>
        </w:rPr>
        <w:t xml:space="preserve">, </w:t>
      </w:r>
      <w:r w:rsidR="00555377" w:rsidRPr="006A0A3F">
        <w:rPr>
          <w:rFonts w:ascii="Verdana" w:hAnsi="Verdana"/>
          <w:sz w:val="20"/>
          <w:szCs w:val="20"/>
        </w:rPr>
        <w:t xml:space="preserve">por lo que el recurso de apelación </w:t>
      </w:r>
      <w:r w:rsidR="005A1681" w:rsidRPr="006A0A3F">
        <w:rPr>
          <w:rFonts w:ascii="Verdana" w:hAnsi="Verdana"/>
          <w:sz w:val="20"/>
          <w:szCs w:val="20"/>
        </w:rPr>
        <w:t xml:space="preserve">del sobreseimiento </w:t>
      </w:r>
      <w:r w:rsidRPr="006A0A3F">
        <w:rPr>
          <w:rFonts w:ascii="Verdana" w:hAnsi="Verdana"/>
          <w:sz w:val="20"/>
          <w:szCs w:val="20"/>
        </w:rPr>
        <w:t>no constituyó un recurso eficaz.</w:t>
      </w:r>
    </w:p>
    <w:p w14:paraId="5A21B16B" w14:textId="77777777" w:rsidR="002B0A3F" w:rsidRPr="006A0A3F" w:rsidRDefault="002B0A3F" w:rsidP="00F462AB">
      <w:pPr>
        <w:pBdr>
          <w:top w:val="nil"/>
        </w:pBdr>
        <w:spacing w:after="0" w:line="240" w:lineRule="auto"/>
        <w:jc w:val="both"/>
        <w:rPr>
          <w:rFonts w:ascii="Verdana" w:hAnsi="Verdana"/>
          <w:sz w:val="20"/>
          <w:szCs w:val="20"/>
        </w:rPr>
      </w:pPr>
    </w:p>
    <w:p w14:paraId="0FD78E51" w14:textId="42649E78" w:rsidR="0040748C" w:rsidRPr="006A0A3F" w:rsidRDefault="00F462AB" w:rsidP="00EA503F">
      <w:pPr>
        <w:numPr>
          <w:ilvl w:val="0"/>
          <w:numId w:val="4"/>
        </w:numPr>
        <w:pBdr>
          <w:top w:val="nil"/>
        </w:pBdr>
        <w:spacing w:after="0" w:line="240" w:lineRule="auto"/>
        <w:ind w:left="0" w:firstLine="0"/>
        <w:jc w:val="both"/>
        <w:rPr>
          <w:rFonts w:ascii="Verdana" w:hAnsi="Verdana"/>
          <w:sz w:val="20"/>
          <w:szCs w:val="20"/>
        </w:rPr>
      </w:pPr>
      <w:r w:rsidRPr="006A0A3F">
        <w:rPr>
          <w:rFonts w:ascii="Verdana" w:hAnsi="Verdana"/>
          <w:sz w:val="20"/>
          <w:szCs w:val="20"/>
        </w:rPr>
        <w:t xml:space="preserve">El </w:t>
      </w:r>
      <w:r w:rsidRPr="006A0A3F">
        <w:rPr>
          <w:rFonts w:ascii="Verdana" w:hAnsi="Verdana"/>
          <w:b/>
          <w:sz w:val="20"/>
          <w:szCs w:val="20"/>
        </w:rPr>
        <w:t xml:space="preserve">representante </w:t>
      </w:r>
      <w:r w:rsidRPr="006A0A3F">
        <w:rPr>
          <w:rFonts w:ascii="Verdana" w:hAnsi="Verdana"/>
          <w:sz w:val="20"/>
          <w:szCs w:val="20"/>
        </w:rPr>
        <w:t>alegó, en cuanto al debido proceso, que mediante una desviación de poder</w:t>
      </w:r>
      <w:r w:rsidR="00A9376F" w:rsidRPr="006A0A3F">
        <w:rPr>
          <w:rFonts w:ascii="Verdana" w:hAnsi="Verdana"/>
          <w:sz w:val="20"/>
          <w:szCs w:val="20"/>
        </w:rPr>
        <w:t xml:space="preserve"> se impuso</w:t>
      </w:r>
      <w:r w:rsidRPr="006A0A3F">
        <w:rPr>
          <w:rFonts w:ascii="Verdana" w:hAnsi="Verdana"/>
          <w:sz w:val="20"/>
          <w:szCs w:val="20"/>
        </w:rPr>
        <w:t xml:space="preserve"> a las víctimas un castigo in</w:t>
      </w:r>
      <w:r w:rsidR="005A1681" w:rsidRPr="006A0A3F">
        <w:rPr>
          <w:rFonts w:ascii="Verdana" w:hAnsi="Verdana"/>
          <w:sz w:val="20"/>
          <w:szCs w:val="20"/>
        </w:rPr>
        <w:t>debido, no previsto por la ley</w:t>
      </w:r>
      <w:r w:rsidR="00A9376F" w:rsidRPr="006A0A3F">
        <w:rPr>
          <w:rFonts w:ascii="Verdana" w:hAnsi="Verdana"/>
          <w:sz w:val="20"/>
          <w:szCs w:val="20"/>
        </w:rPr>
        <w:t xml:space="preserve">; </w:t>
      </w:r>
      <w:r w:rsidRPr="006A0A3F">
        <w:rPr>
          <w:rFonts w:ascii="Verdana" w:hAnsi="Verdana"/>
          <w:sz w:val="20"/>
          <w:szCs w:val="20"/>
        </w:rPr>
        <w:t>que la decisión sancionatoria se manifestó en la carta de despido, en la que no se i</w:t>
      </w:r>
      <w:r w:rsidR="00A9376F" w:rsidRPr="006A0A3F">
        <w:rPr>
          <w:rFonts w:ascii="Verdana" w:hAnsi="Verdana"/>
          <w:sz w:val="20"/>
          <w:szCs w:val="20"/>
        </w:rPr>
        <w:t xml:space="preserve">ndicaron las razones del </w:t>
      </w:r>
      <w:r w:rsidR="00A9376F" w:rsidRPr="006A0A3F">
        <w:rPr>
          <w:rFonts w:ascii="Verdana" w:hAnsi="Verdana"/>
          <w:sz w:val="20"/>
          <w:szCs w:val="20"/>
        </w:rPr>
        <w:lastRenderedPageBreak/>
        <w:t>mismo; y</w:t>
      </w:r>
      <w:r w:rsidRPr="006A0A3F">
        <w:rPr>
          <w:rFonts w:ascii="Verdana" w:hAnsi="Verdana"/>
          <w:sz w:val="20"/>
          <w:szCs w:val="20"/>
        </w:rPr>
        <w:t xml:space="preserve"> que el Estado violó el derecho a un recurso efectivo por “la absoluta inoperancia de la Defensoría del Pueblo y la falta de independencia del Poder Judicial y de la Fiscalía General de la República”, por lo cual los recursos disponibles, “aunque </w:t>
      </w:r>
      <w:r w:rsidR="007C51D0" w:rsidRPr="006A0A3F">
        <w:rPr>
          <w:rFonts w:ascii="Verdana" w:hAnsi="Verdana"/>
          <w:sz w:val="20"/>
          <w:szCs w:val="20"/>
        </w:rPr>
        <w:t>adecuados, resultaron inútiles”</w:t>
      </w:r>
      <w:r w:rsidRPr="006A0A3F">
        <w:rPr>
          <w:rFonts w:ascii="Verdana" w:hAnsi="Verdana"/>
          <w:sz w:val="20"/>
          <w:szCs w:val="20"/>
        </w:rPr>
        <w:t>.</w:t>
      </w:r>
      <w:r w:rsidR="007E6565" w:rsidRPr="006A0A3F">
        <w:rPr>
          <w:rFonts w:ascii="Verdana" w:hAnsi="Verdana"/>
          <w:sz w:val="20"/>
          <w:szCs w:val="20"/>
        </w:rPr>
        <w:t xml:space="preserve"> En sus alegatos finales, el representante </w:t>
      </w:r>
      <w:r w:rsidR="00A9376F" w:rsidRPr="006A0A3F">
        <w:rPr>
          <w:rFonts w:ascii="Verdana" w:hAnsi="Verdana"/>
          <w:sz w:val="20"/>
          <w:szCs w:val="20"/>
        </w:rPr>
        <w:t xml:space="preserve">señaló que </w:t>
      </w:r>
      <w:r w:rsidR="00427595" w:rsidRPr="006A0A3F">
        <w:rPr>
          <w:rFonts w:ascii="Verdana" w:hAnsi="Verdana"/>
          <w:sz w:val="20"/>
          <w:szCs w:val="20"/>
        </w:rPr>
        <w:t xml:space="preserve">no se </w:t>
      </w:r>
      <w:r w:rsidR="00A9376F" w:rsidRPr="006A0A3F">
        <w:rPr>
          <w:rFonts w:ascii="Verdana" w:hAnsi="Verdana"/>
          <w:sz w:val="20"/>
          <w:szCs w:val="20"/>
        </w:rPr>
        <w:t xml:space="preserve">podía </w:t>
      </w:r>
      <w:r w:rsidR="00427595" w:rsidRPr="006A0A3F">
        <w:rPr>
          <w:rFonts w:ascii="Verdana" w:hAnsi="Verdana"/>
          <w:sz w:val="20"/>
          <w:szCs w:val="20"/>
        </w:rPr>
        <w:t>exigir el agotamiento de</w:t>
      </w:r>
      <w:r w:rsidR="00A9376F" w:rsidRPr="006A0A3F">
        <w:rPr>
          <w:rFonts w:ascii="Verdana" w:hAnsi="Verdana"/>
          <w:sz w:val="20"/>
          <w:szCs w:val="20"/>
        </w:rPr>
        <w:t xml:space="preserve"> </w:t>
      </w:r>
      <w:r w:rsidR="00427595" w:rsidRPr="006A0A3F">
        <w:rPr>
          <w:rFonts w:ascii="Verdana" w:hAnsi="Verdana"/>
          <w:sz w:val="20"/>
          <w:szCs w:val="20"/>
        </w:rPr>
        <w:t>un recurso que sería inútil para lograr el restablecimiento de la</w:t>
      </w:r>
      <w:r w:rsidR="00A9376F" w:rsidRPr="006A0A3F">
        <w:rPr>
          <w:rFonts w:ascii="Verdana" w:hAnsi="Verdana"/>
          <w:sz w:val="20"/>
          <w:szCs w:val="20"/>
        </w:rPr>
        <w:t xml:space="preserve"> situación jurídica infringida,</w:t>
      </w:r>
      <w:r w:rsidR="00EA503F" w:rsidRPr="006A0A3F">
        <w:rPr>
          <w:rFonts w:ascii="Verdana" w:hAnsi="Verdana"/>
          <w:sz w:val="20"/>
          <w:szCs w:val="20"/>
        </w:rPr>
        <w:t xml:space="preserve"> como la jurisdicción laboral ordinaria,</w:t>
      </w:r>
      <w:r w:rsidR="00A9376F" w:rsidRPr="006A0A3F">
        <w:rPr>
          <w:rFonts w:ascii="Verdana" w:hAnsi="Verdana"/>
          <w:sz w:val="20"/>
          <w:szCs w:val="20"/>
        </w:rPr>
        <w:t xml:space="preserve"> pues no se estaba</w:t>
      </w:r>
      <w:r w:rsidR="00427595" w:rsidRPr="006A0A3F">
        <w:rPr>
          <w:rFonts w:ascii="Verdana" w:hAnsi="Verdana"/>
          <w:sz w:val="20"/>
          <w:szCs w:val="20"/>
        </w:rPr>
        <w:t xml:space="preserve"> objetando un despido</w:t>
      </w:r>
      <w:r w:rsidR="00A9376F" w:rsidRPr="006A0A3F">
        <w:rPr>
          <w:rFonts w:ascii="Verdana" w:hAnsi="Verdana"/>
          <w:sz w:val="20"/>
          <w:szCs w:val="20"/>
        </w:rPr>
        <w:t xml:space="preserve"> </w:t>
      </w:r>
      <w:r w:rsidR="00427595" w:rsidRPr="006A0A3F">
        <w:rPr>
          <w:rFonts w:ascii="Verdana" w:hAnsi="Verdana"/>
          <w:sz w:val="20"/>
          <w:szCs w:val="20"/>
        </w:rPr>
        <w:t>injustificado</w:t>
      </w:r>
      <w:r w:rsidR="00A9376F" w:rsidRPr="006A0A3F">
        <w:rPr>
          <w:rFonts w:ascii="Verdana" w:hAnsi="Verdana"/>
          <w:sz w:val="20"/>
          <w:szCs w:val="20"/>
        </w:rPr>
        <w:t xml:space="preserve">, sino </w:t>
      </w:r>
      <w:r w:rsidR="00427595" w:rsidRPr="006A0A3F">
        <w:rPr>
          <w:rFonts w:ascii="Verdana" w:hAnsi="Verdana"/>
          <w:sz w:val="20"/>
          <w:szCs w:val="20"/>
        </w:rPr>
        <w:t>la persecución y discriminación</w:t>
      </w:r>
      <w:r w:rsidR="00A9376F" w:rsidRPr="006A0A3F">
        <w:rPr>
          <w:rFonts w:ascii="Verdana" w:hAnsi="Verdana"/>
          <w:sz w:val="20"/>
          <w:szCs w:val="20"/>
        </w:rPr>
        <w:t xml:space="preserve"> </w:t>
      </w:r>
      <w:r w:rsidR="00427595" w:rsidRPr="006A0A3F">
        <w:rPr>
          <w:rFonts w:ascii="Verdana" w:hAnsi="Verdana"/>
          <w:sz w:val="20"/>
          <w:szCs w:val="20"/>
        </w:rPr>
        <w:t>política</w:t>
      </w:r>
      <w:r w:rsidR="00A9376F" w:rsidRPr="006A0A3F">
        <w:rPr>
          <w:rFonts w:ascii="Verdana" w:hAnsi="Verdana"/>
          <w:sz w:val="20"/>
          <w:szCs w:val="20"/>
        </w:rPr>
        <w:t>, la cual</w:t>
      </w:r>
      <w:r w:rsidR="00427595" w:rsidRPr="006A0A3F">
        <w:rPr>
          <w:rFonts w:ascii="Verdana" w:hAnsi="Verdana"/>
          <w:sz w:val="20"/>
          <w:szCs w:val="20"/>
        </w:rPr>
        <w:t xml:space="preserve"> tuvo consecuencias laborales</w:t>
      </w:r>
      <w:r w:rsidR="00A9376F" w:rsidRPr="006A0A3F">
        <w:rPr>
          <w:rFonts w:ascii="Verdana" w:hAnsi="Verdana"/>
          <w:sz w:val="20"/>
          <w:szCs w:val="20"/>
        </w:rPr>
        <w:t>, entre otras</w:t>
      </w:r>
      <w:r w:rsidR="00427595" w:rsidRPr="006A0A3F">
        <w:rPr>
          <w:rFonts w:ascii="Verdana" w:hAnsi="Verdana"/>
          <w:sz w:val="20"/>
          <w:szCs w:val="20"/>
        </w:rPr>
        <w:t>.</w:t>
      </w:r>
      <w:r w:rsidR="00A9376F" w:rsidRPr="006A0A3F">
        <w:rPr>
          <w:rFonts w:ascii="Verdana" w:hAnsi="Verdana"/>
          <w:sz w:val="20"/>
          <w:szCs w:val="20"/>
        </w:rPr>
        <w:t xml:space="preserve"> Es decir, ante </w:t>
      </w:r>
      <w:r w:rsidR="00427595" w:rsidRPr="006A0A3F">
        <w:rPr>
          <w:rFonts w:ascii="Verdana" w:hAnsi="Verdana"/>
          <w:sz w:val="20"/>
          <w:szCs w:val="20"/>
        </w:rPr>
        <w:t xml:space="preserve">un acto de </w:t>
      </w:r>
      <w:r w:rsidR="00A9376F" w:rsidRPr="006A0A3F">
        <w:rPr>
          <w:rFonts w:ascii="Verdana" w:hAnsi="Verdana"/>
          <w:sz w:val="20"/>
          <w:szCs w:val="20"/>
        </w:rPr>
        <w:t xml:space="preserve">esa índole, </w:t>
      </w:r>
      <w:r w:rsidR="00427595" w:rsidRPr="006A0A3F">
        <w:rPr>
          <w:rFonts w:ascii="Verdana" w:hAnsi="Verdana"/>
          <w:sz w:val="20"/>
          <w:szCs w:val="20"/>
        </w:rPr>
        <w:t xml:space="preserve">el único recurso idóneo era </w:t>
      </w:r>
      <w:r w:rsidR="00A9376F" w:rsidRPr="006A0A3F">
        <w:rPr>
          <w:rFonts w:ascii="Verdana" w:hAnsi="Verdana"/>
          <w:sz w:val="20"/>
          <w:szCs w:val="20"/>
        </w:rPr>
        <w:t xml:space="preserve">el de </w:t>
      </w:r>
      <w:r w:rsidR="00427595" w:rsidRPr="006A0A3F">
        <w:rPr>
          <w:rFonts w:ascii="Verdana" w:hAnsi="Verdana"/>
          <w:sz w:val="20"/>
          <w:szCs w:val="20"/>
        </w:rPr>
        <w:t>amparo constitucional ante la jurisdicción laboral</w:t>
      </w:r>
      <w:r w:rsidR="00EA503F" w:rsidRPr="006A0A3F">
        <w:rPr>
          <w:rFonts w:ascii="Verdana" w:hAnsi="Verdana"/>
          <w:sz w:val="20"/>
          <w:szCs w:val="20"/>
        </w:rPr>
        <w:t>, decidido con excesivo e injustificado retardo</w:t>
      </w:r>
      <w:r w:rsidR="00427595" w:rsidRPr="006A0A3F">
        <w:rPr>
          <w:rFonts w:ascii="Verdana" w:hAnsi="Verdana"/>
          <w:sz w:val="20"/>
          <w:szCs w:val="20"/>
        </w:rPr>
        <w:t>.</w:t>
      </w:r>
      <w:r w:rsidR="00EA503F" w:rsidRPr="006A0A3F">
        <w:rPr>
          <w:rFonts w:ascii="Verdana" w:hAnsi="Verdana"/>
          <w:sz w:val="20"/>
          <w:szCs w:val="20"/>
        </w:rPr>
        <w:t xml:space="preserve"> </w:t>
      </w:r>
      <w:r w:rsidR="00A9376F" w:rsidRPr="006A0A3F">
        <w:rPr>
          <w:rFonts w:ascii="Verdana" w:hAnsi="Verdana"/>
          <w:sz w:val="20"/>
          <w:szCs w:val="20"/>
        </w:rPr>
        <w:t xml:space="preserve">Sin embargo, </w:t>
      </w:r>
      <w:r w:rsidR="00EA503F" w:rsidRPr="006A0A3F">
        <w:rPr>
          <w:rFonts w:ascii="Verdana" w:hAnsi="Verdana"/>
          <w:sz w:val="20"/>
          <w:szCs w:val="20"/>
        </w:rPr>
        <w:t>t</w:t>
      </w:r>
      <w:r w:rsidR="00427595" w:rsidRPr="006A0A3F">
        <w:rPr>
          <w:rFonts w:ascii="Verdana" w:hAnsi="Verdana"/>
          <w:sz w:val="20"/>
          <w:szCs w:val="20"/>
        </w:rPr>
        <w:t>anto el Presidente de la República como la propia</w:t>
      </w:r>
      <w:r w:rsidR="00A9376F" w:rsidRPr="006A0A3F">
        <w:rPr>
          <w:rFonts w:ascii="Verdana" w:hAnsi="Verdana"/>
          <w:sz w:val="20"/>
          <w:szCs w:val="20"/>
        </w:rPr>
        <w:t xml:space="preserve"> </w:t>
      </w:r>
      <w:r w:rsidR="00427595" w:rsidRPr="006A0A3F">
        <w:rPr>
          <w:rFonts w:ascii="Verdana" w:hAnsi="Verdana"/>
          <w:sz w:val="20"/>
          <w:szCs w:val="20"/>
        </w:rPr>
        <w:t>presidente del Tribunal Supremo de Justicia habían sostenido que la</w:t>
      </w:r>
      <w:r w:rsidR="00A9376F" w:rsidRPr="006A0A3F">
        <w:rPr>
          <w:rFonts w:ascii="Verdana" w:hAnsi="Verdana"/>
          <w:sz w:val="20"/>
          <w:szCs w:val="20"/>
        </w:rPr>
        <w:t xml:space="preserve"> </w:t>
      </w:r>
      <w:r w:rsidR="00427595" w:rsidRPr="006A0A3F">
        <w:rPr>
          <w:rFonts w:ascii="Verdana" w:hAnsi="Verdana"/>
          <w:sz w:val="20"/>
          <w:szCs w:val="20"/>
        </w:rPr>
        <w:t>independ</w:t>
      </w:r>
      <w:r w:rsidR="00A9376F" w:rsidRPr="006A0A3F">
        <w:rPr>
          <w:rFonts w:ascii="Verdana" w:hAnsi="Verdana"/>
          <w:sz w:val="20"/>
          <w:szCs w:val="20"/>
        </w:rPr>
        <w:t>encia de los poderes públicos era</w:t>
      </w:r>
      <w:r w:rsidR="00427595" w:rsidRPr="006A0A3F">
        <w:rPr>
          <w:rFonts w:ascii="Verdana" w:hAnsi="Verdana"/>
          <w:sz w:val="20"/>
          <w:szCs w:val="20"/>
        </w:rPr>
        <w:t xml:space="preserve"> un principio obsoleto y que</w:t>
      </w:r>
      <w:r w:rsidR="00A9376F" w:rsidRPr="006A0A3F">
        <w:rPr>
          <w:rFonts w:ascii="Verdana" w:hAnsi="Verdana"/>
          <w:sz w:val="20"/>
          <w:szCs w:val="20"/>
        </w:rPr>
        <w:t xml:space="preserve"> </w:t>
      </w:r>
      <w:r w:rsidR="00427595" w:rsidRPr="006A0A3F">
        <w:rPr>
          <w:rFonts w:ascii="Verdana" w:hAnsi="Verdana"/>
          <w:sz w:val="20"/>
          <w:szCs w:val="20"/>
        </w:rPr>
        <w:t>lo que se requiere es “cooperación” y “coordinación” entre los</w:t>
      </w:r>
      <w:r w:rsidR="00A9376F" w:rsidRPr="006A0A3F">
        <w:rPr>
          <w:rFonts w:ascii="Verdana" w:hAnsi="Verdana"/>
          <w:sz w:val="20"/>
          <w:szCs w:val="20"/>
        </w:rPr>
        <w:t xml:space="preserve"> </w:t>
      </w:r>
      <w:r w:rsidR="00427595" w:rsidRPr="006A0A3F">
        <w:rPr>
          <w:rFonts w:ascii="Verdana" w:hAnsi="Verdana"/>
          <w:sz w:val="20"/>
          <w:szCs w:val="20"/>
        </w:rPr>
        <w:t xml:space="preserve">distintos poderes públicos, </w:t>
      </w:r>
      <w:r w:rsidR="00A9376F" w:rsidRPr="006A0A3F">
        <w:rPr>
          <w:rFonts w:ascii="Verdana" w:hAnsi="Verdana"/>
          <w:sz w:val="20"/>
          <w:szCs w:val="20"/>
        </w:rPr>
        <w:t>por lo que</w:t>
      </w:r>
      <w:r w:rsidR="005A1681" w:rsidRPr="006A0A3F">
        <w:rPr>
          <w:rFonts w:ascii="Verdana" w:hAnsi="Verdana"/>
          <w:sz w:val="20"/>
          <w:szCs w:val="20"/>
        </w:rPr>
        <w:t>,</w:t>
      </w:r>
      <w:r w:rsidR="00A9376F" w:rsidRPr="006A0A3F">
        <w:rPr>
          <w:rFonts w:ascii="Verdana" w:hAnsi="Verdana"/>
          <w:sz w:val="20"/>
          <w:szCs w:val="20"/>
        </w:rPr>
        <w:t xml:space="preserve"> </w:t>
      </w:r>
      <w:r w:rsidR="005A1681" w:rsidRPr="006A0A3F">
        <w:rPr>
          <w:rFonts w:ascii="Verdana" w:hAnsi="Verdana"/>
          <w:sz w:val="20"/>
          <w:szCs w:val="20"/>
        </w:rPr>
        <w:t xml:space="preserve">en ausencia de independencia de los poderes públicos, </w:t>
      </w:r>
      <w:r w:rsidR="00427595" w:rsidRPr="006A0A3F">
        <w:rPr>
          <w:rFonts w:ascii="Verdana" w:hAnsi="Verdana"/>
          <w:sz w:val="20"/>
          <w:szCs w:val="20"/>
        </w:rPr>
        <w:t>no puede</w:t>
      </w:r>
      <w:r w:rsidR="00A9376F" w:rsidRPr="006A0A3F">
        <w:rPr>
          <w:rFonts w:ascii="Verdana" w:hAnsi="Verdana"/>
          <w:sz w:val="20"/>
          <w:szCs w:val="20"/>
        </w:rPr>
        <w:t xml:space="preserve"> </w:t>
      </w:r>
      <w:r w:rsidR="00427595" w:rsidRPr="006A0A3F">
        <w:rPr>
          <w:rFonts w:ascii="Verdana" w:hAnsi="Verdana"/>
          <w:sz w:val="20"/>
          <w:szCs w:val="20"/>
        </w:rPr>
        <w:t>esperarse que ningún recurso que se hubiera intentado en este</w:t>
      </w:r>
      <w:r w:rsidR="00A9376F" w:rsidRPr="006A0A3F">
        <w:rPr>
          <w:rFonts w:ascii="Verdana" w:hAnsi="Verdana"/>
          <w:sz w:val="20"/>
          <w:szCs w:val="20"/>
        </w:rPr>
        <w:t xml:space="preserve"> </w:t>
      </w:r>
      <w:r w:rsidR="005A1681" w:rsidRPr="006A0A3F">
        <w:rPr>
          <w:rFonts w:ascii="Verdana" w:hAnsi="Verdana"/>
          <w:sz w:val="20"/>
          <w:szCs w:val="20"/>
        </w:rPr>
        <w:t>caso hubiese</w:t>
      </w:r>
      <w:r w:rsidR="00427595" w:rsidRPr="006A0A3F">
        <w:rPr>
          <w:rFonts w:ascii="Verdana" w:hAnsi="Verdana"/>
          <w:sz w:val="20"/>
          <w:szCs w:val="20"/>
        </w:rPr>
        <w:t xml:space="preserve"> sido efectivo</w:t>
      </w:r>
      <w:r w:rsidR="005A1681" w:rsidRPr="006A0A3F">
        <w:rPr>
          <w:rFonts w:ascii="Verdana" w:hAnsi="Verdana"/>
          <w:sz w:val="20"/>
          <w:szCs w:val="20"/>
        </w:rPr>
        <w:t xml:space="preserve"> y </w:t>
      </w:r>
      <w:r w:rsidR="00A9376F" w:rsidRPr="006A0A3F">
        <w:rPr>
          <w:rFonts w:ascii="Verdana" w:hAnsi="Verdana"/>
          <w:sz w:val="20"/>
          <w:szCs w:val="20"/>
        </w:rPr>
        <w:t xml:space="preserve">los hechos de </w:t>
      </w:r>
      <w:r w:rsidR="00427595" w:rsidRPr="006A0A3F">
        <w:rPr>
          <w:rFonts w:ascii="Verdana" w:hAnsi="Verdana"/>
          <w:sz w:val="20"/>
          <w:szCs w:val="20"/>
        </w:rPr>
        <w:t>este caso fue</w:t>
      </w:r>
      <w:r w:rsidR="00A9376F" w:rsidRPr="006A0A3F">
        <w:rPr>
          <w:rFonts w:ascii="Verdana" w:hAnsi="Verdana"/>
          <w:sz w:val="20"/>
          <w:szCs w:val="20"/>
        </w:rPr>
        <w:t>ron</w:t>
      </w:r>
      <w:r w:rsidR="00427595" w:rsidRPr="006A0A3F">
        <w:rPr>
          <w:rFonts w:ascii="Verdana" w:hAnsi="Verdana"/>
          <w:sz w:val="20"/>
          <w:szCs w:val="20"/>
        </w:rPr>
        <w:t xml:space="preserve"> parte de una política de Estado,</w:t>
      </w:r>
      <w:r w:rsidR="00A9376F" w:rsidRPr="006A0A3F">
        <w:rPr>
          <w:rFonts w:ascii="Verdana" w:hAnsi="Verdana"/>
          <w:sz w:val="20"/>
          <w:szCs w:val="20"/>
        </w:rPr>
        <w:t xml:space="preserve"> </w:t>
      </w:r>
      <w:r w:rsidR="00427595" w:rsidRPr="006A0A3F">
        <w:rPr>
          <w:rFonts w:ascii="Verdana" w:hAnsi="Verdana"/>
          <w:sz w:val="20"/>
          <w:szCs w:val="20"/>
        </w:rPr>
        <w:t>que hacía imposible que cualquier recurso judicial pudiera</w:t>
      </w:r>
      <w:r w:rsidR="00A9376F" w:rsidRPr="006A0A3F">
        <w:rPr>
          <w:rFonts w:ascii="Verdana" w:hAnsi="Verdana"/>
          <w:sz w:val="20"/>
          <w:szCs w:val="20"/>
        </w:rPr>
        <w:t xml:space="preserve"> </w:t>
      </w:r>
      <w:r w:rsidR="00427595" w:rsidRPr="006A0A3F">
        <w:rPr>
          <w:rFonts w:ascii="Verdana" w:hAnsi="Verdana"/>
          <w:sz w:val="20"/>
          <w:szCs w:val="20"/>
        </w:rPr>
        <w:t>prosperar.</w:t>
      </w:r>
      <w:r w:rsidR="00EA503F" w:rsidRPr="006A0A3F">
        <w:rPr>
          <w:rFonts w:ascii="Verdana" w:hAnsi="Verdana"/>
          <w:sz w:val="20"/>
          <w:szCs w:val="20"/>
        </w:rPr>
        <w:t xml:space="preserve"> En cuanto a la investigación penal, señaló que l</w:t>
      </w:r>
      <w:r w:rsidR="0040748C" w:rsidRPr="006A0A3F">
        <w:rPr>
          <w:rFonts w:ascii="Verdana" w:hAnsi="Verdana"/>
          <w:sz w:val="20"/>
          <w:szCs w:val="20"/>
        </w:rPr>
        <w:t>os delitos denunciados tenían penas</w:t>
      </w:r>
      <w:r w:rsidR="00EA503F" w:rsidRPr="006A0A3F">
        <w:rPr>
          <w:rFonts w:ascii="Verdana" w:hAnsi="Verdana"/>
          <w:sz w:val="20"/>
          <w:szCs w:val="20"/>
        </w:rPr>
        <w:t xml:space="preserve"> </w:t>
      </w:r>
      <w:r w:rsidR="0040748C" w:rsidRPr="006A0A3F">
        <w:rPr>
          <w:rFonts w:ascii="Verdana" w:hAnsi="Verdana"/>
          <w:sz w:val="20"/>
          <w:szCs w:val="20"/>
        </w:rPr>
        <w:t xml:space="preserve">privativas de libertad cuyo límite máximo excedía los </w:t>
      </w:r>
      <w:r w:rsidR="00ED6631">
        <w:rPr>
          <w:rFonts w:ascii="Verdana" w:hAnsi="Verdana"/>
          <w:sz w:val="20"/>
          <w:szCs w:val="20"/>
        </w:rPr>
        <w:t>cuatro</w:t>
      </w:r>
      <w:r w:rsidR="0040748C" w:rsidRPr="006A0A3F">
        <w:rPr>
          <w:rFonts w:ascii="Verdana" w:hAnsi="Verdana"/>
          <w:sz w:val="20"/>
          <w:szCs w:val="20"/>
        </w:rPr>
        <w:t xml:space="preserve"> años, </w:t>
      </w:r>
      <w:r w:rsidR="00EA503F" w:rsidRPr="006A0A3F">
        <w:rPr>
          <w:rFonts w:ascii="Verdana" w:hAnsi="Verdana"/>
          <w:sz w:val="20"/>
          <w:szCs w:val="20"/>
        </w:rPr>
        <w:t xml:space="preserve">por lo que era </w:t>
      </w:r>
      <w:r w:rsidR="0040748C" w:rsidRPr="006A0A3F">
        <w:rPr>
          <w:rFonts w:ascii="Verdana" w:hAnsi="Verdana"/>
          <w:sz w:val="20"/>
          <w:szCs w:val="20"/>
        </w:rPr>
        <w:t>obligatorio</w:t>
      </w:r>
      <w:r w:rsidR="00EA503F" w:rsidRPr="006A0A3F">
        <w:rPr>
          <w:rFonts w:ascii="Verdana" w:hAnsi="Verdana"/>
          <w:sz w:val="20"/>
          <w:szCs w:val="20"/>
        </w:rPr>
        <w:t xml:space="preserve"> admitir el recurso de casación, lo que no sucedió, además de que l</w:t>
      </w:r>
      <w:r w:rsidR="0040748C" w:rsidRPr="006A0A3F">
        <w:rPr>
          <w:rFonts w:ascii="Verdana" w:hAnsi="Verdana"/>
          <w:sz w:val="20"/>
          <w:szCs w:val="20"/>
        </w:rPr>
        <w:t>a declaratoria del</w:t>
      </w:r>
      <w:r w:rsidR="00EA503F" w:rsidRPr="006A0A3F">
        <w:rPr>
          <w:rFonts w:ascii="Verdana" w:hAnsi="Verdana"/>
          <w:sz w:val="20"/>
          <w:szCs w:val="20"/>
        </w:rPr>
        <w:t xml:space="preserve"> </w:t>
      </w:r>
      <w:r w:rsidR="0040748C" w:rsidRPr="006A0A3F">
        <w:rPr>
          <w:rFonts w:ascii="Verdana" w:hAnsi="Verdana"/>
          <w:sz w:val="20"/>
          <w:szCs w:val="20"/>
        </w:rPr>
        <w:t>sobres</w:t>
      </w:r>
      <w:r w:rsidR="00EA503F" w:rsidRPr="006A0A3F">
        <w:rPr>
          <w:rFonts w:ascii="Verdana" w:hAnsi="Verdana"/>
          <w:sz w:val="20"/>
          <w:szCs w:val="20"/>
        </w:rPr>
        <w:t xml:space="preserve">eimiento de la causa otorgaba al ofendido </w:t>
      </w:r>
      <w:r w:rsidR="0040748C" w:rsidRPr="006A0A3F">
        <w:rPr>
          <w:rFonts w:ascii="Verdana" w:hAnsi="Verdana"/>
          <w:sz w:val="20"/>
          <w:szCs w:val="20"/>
        </w:rPr>
        <w:t>el derecho a ser</w:t>
      </w:r>
      <w:r w:rsidR="00EA503F" w:rsidRPr="006A0A3F">
        <w:rPr>
          <w:rFonts w:ascii="Verdana" w:hAnsi="Verdana"/>
          <w:sz w:val="20"/>
          <w:szCs w:val="20"/>
        </w:rPr>
        <w:t xml:space="preserve"> </w:t>
      </w:r>
      <w:r w:rsidR="00BC7B12" w:rsidRPr="006A0A3F">
        <w:rPr>
          <w:rFonts w:ascii="Verdana" w:hAnsi="Verdana"/>
          <w:sz w:val="20"/>
          <w:szCs w:val="20"/>
        </w:rPr>
        <w:t>oído</w:t>
      </w:r>
      <w:r w:rsidR="0040748C" w:rsidRPr="006A0A3F">
        <w:rPr>
          <w:rFonts w:ascii="Verdana" w:hAnsi="Verdana"/>
          <w:sz w:val="20"/>
          <w:szCs w:val="20"/>
        </w:rPr>
        <w:t xml:space="preserve"> por el tribunal de control antes de dict</w:t>
      </w:r>
      <w:r w:rsidR="00EA503F" w:rsidRPr="006A0A3F">
        <w:rPr>
          <w:rFonts w:ascii="Verdana" w:hAnsi="Verdana"/>
          <w:sz w:val="20"/>
          <w:szCs w:val="20"/>
        </w:rPr>
        <w:t>arlo</w:t>
      </w:r>
      <w:r w:rsidR="0040748C" w:rsidRPr="006A0A3F">
        <w:rPr>
          <w:rFonts w:ascii="Verdana" w:hAnsi="Verdana"/>
          <w:sz w:val="20"/>
          <w:szCs w:val="20"/>
        </w:rPr>
        <w:t>,</w:t>
      </w:r>
      <w:r w:rsidR="00EA503F" w:rsidRPr="006A0A3F">
        <w:rPr>
          <w:rFonts w:ascii="Verdana" w:hAnsi="Verdana"/>
          <w:sz w:val="20"/>
          <w:szCs w:val="20"/>
        </w:rPr>
        <w:t xml:space="preserve"> lo cual </w:t>
      </w:r>
      <w:r w:rsidR="001950C4" w:rsidRPr="006A0A3F">
        <w:rPr>
          <w:rFonts w:ascii="Verdana" w:hAnsi="Verdana"/>
          <w:sz w:val="20"/>
          <w:szCs w:val="20"/>
        </w:rPr>
        <w:t xml:space="preserve">tampoco </w:t>
      </w:r>
      <w:r w:rsidR="00EA503F" w:rsidRPr="006A0A3F">
        <w:rPr>
          <w:rFonts w:ascii="Verdana" w:hAnsi="Verdana"/>
          <w:sz w:val="20"/>
          <w:szCs w:val="20"/>
        </w:rPr>
        <w:t>sucedió,</w:t>
      </w:r>
      <w:r w:rsidR="006240AA" w:rsidRPr="006A0A3F">
        <w:rPr>
          <w:rFonts w:ascii="Verdana" w:hAnsi="Verdana"/>
          <w:sz w:val="20"/>
          <w:szCs w:val="20"/>
        </w:rPr>
        <w:t xml:space="preserve"> y</w:t>
      </w:r>
      <w:r w:rsidR="00EA503F" w:rsidRPr="006A0A3F">
        <w:rPr>
          <w:rFonts w:ascii="Verdana" w:hAnsi="Verdana"/>
          <w:sz w:val="20"/>
          <w:szCs w:val="20"/>
        </w:rPr>
        <w:t xml:space="preserve"> por lo cual </w:t>
      </w:r>
      <w:r w:rsidR="0040748C" w:rsidRPr="006A0A3F">
        <w:rPr>
          <w:rFonts w:ascii="Verdana" w:hAnsi="Verdana"/>
          <w:sz w:val="20"/>
          <w:szCs w:val="20"/>
        </w:rPr>
        <w:t>el sobreseimiento pasaba a ser nulo</w:t>
      </w:r>
      <w:r w:rsidR="00EA503F" w:rsidRPr="006A0A3F">
        <w:rPr>
          <w:rFonts w:ascii="Verdana" w:hAnsi="Verdana"/>
          <w:sz w:val="20"/>
          <w:szCs w:val="20"/>
        </w:rPr>
        <w:t xml:space="preserve">. </w:t>
      </w:r>
    </w:p>
    <w:p w14:paraId="0E29C036" w14:textId="77777777" w:rsidR="0040748C" w:rsidRPr="006A0A3F" w:rsidRDefault="0040748C" w:rsidP="00BC512C">
      <w:pPr>
        <w:pStyle w:val="ListParagraph"/>
        <w:rPr>
          <w:rFonts w:ascii="Verdana" w:hAnsi="Verdana"/>
          <w:sz w:val="20"/>
          <w:lang w:val="es-CR"/>
        </w:rPr>
      </w:pPr>
    </w:p>
    <w:p w14:paraId="279896CB" w14:textId="3E5B3705" w:rsidR="00380D77" w:rsidRPr="006A0A3F" w:rsidRDefault="00BC512C" w:rsidP="00380D77">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szCs w:val="20"/>
        </w:rPr>
        <w:t xml:space="preserve">En sus alegatos finales, el </w:t>
      </w:r>
      <w:r w:rsidRPr="006A0A3F">
        <w:rPr>
          <w:rFonts w:ascii="Verdana" w:hAnsi="Verdana"/>
          <w:b/>
          <w:sz w:val="20"/>
          <w:szCs w:val="20"/>
        </w:rPr>
        <w:t>Estado</w:t>
      </w:r>
      <w:r w:rsidRPr="006A0A3F">
        <w:rPr>
          <w:rFonts w:ascii="Verdana" w:hAnsi="Verdana"/>
          <w:sz w:val="20"/>
          <w:szCs w:val="20"/>
        </w:rPr>
        <w:t xml:space="preserve"> </w:t>
      </w:r>
      <w:r w:rsidR="006D7B01" w:rsidRPr="006A0A3F">
        <w:rPr>
          <w:rFonts w:ascii="Verdana" w:hAnsi="Verdana"/>
          <w:sz w:val="20"/>
          <w:szCs w:val="20"/>
        </w:rPr>
        <w:t>señaló que en Venezuela existen regí</w:t>
      </w:r>
      <w:r w:rsidR="004575EF" w:rsidRPr="006A0A3F">
        <w:rPr>
          <w:rFonts w:ascii="Verdana" w:hAnsi="Verdana"/>
          <w:sz w:val="20"/>
          <w:szCs w:val="20"/>
        </w:rPr>
        <w:t>menes separados para la</w:t>
      </w:r>
      <w:r w:rsidR="00AC2F37" w:rsidRPr="006A0A3F">
        <w:rPr>
          <w:rFonts w:ascii="Verdana" w:hAnsi="Verdana"/>
          <w:sz w:val="20"/>
          <w:szCs w:val="20"/>
        </w:rPr>
        <w:t xml:space="preserve">s relaciones de trabajo; </w:t>
      </w:r>
      <w:r w:rsidR="006D7B01" w:rsidRPr="006A0A3F">
        <w:rPr>
          <w:rFonts w:ascii="Verdana" w:hAnsi="Verdana"/>
          <w:sz w:val="20"/>
          <w:szCs w:val="20"/>
        </w:rPr>
        <w:t>que el r</w:t>
      </w:r>
      <w:r w:rsidR="00AC2F37" w:rsidRPr="006A0A3F">
        <w:rPr>
          <w:rFonts w:ascii="Verdana" w:hAnsi="Verdana"/>
          <w:sz w:val="20"/>
          <w:szCs w:val="20"/>
        </w:rPr>
        <w:t>é</w:t>
      </w:r>
      <w:r w:rsidR="006D7B01" w:rsidRPr="006A0A3F">
        <w:rPr>
          <w:rFonts w:ascii="Verdana" w:hAnsi="Verdana"/>
          <w:sz w:val="20"/>
          <w:szCs w:val="20"/>
        </w:rPr>
        <w:t xml:space="preserve">gimen legal que imperaba en la relación jurídica que </w:t>
      </w:r>
      <w:r w:rsidR="006B7AD9" w:rsidRPr="006A0A3F">
        <w:rPr>
          <w:rFonts w:ascii="Verdana" w:hAnsi="Verdana"/>
          <w:sz w:val="20"/>
          <w:szCs w:val="20"/>
        </w:rPr>
        <w:t>tenían</w:t>
      </w:r>
      <w:r w:rsidR="006D7B01" w:rsidRPr="006A0A3F">
        <w:rPr>
          <w:rFonts w:ascii="Verdana" w:hAnsi="Verdana"/>
          <w:sz w:val="20"/>
          <w:szCs w:val="20"/>
        </w:rPr>
        <w:t xml:space="preserve"> las presuntas </w:t>
      </w:r>
      <w:r w:rsidR="006B7AD9" w:rsidRPr="006A0A3F">
        <w:rPr>
          <w:rFonts w:ascii="Verdana" w:hAnsi="Verdana"/>
          <w:sz w:val="20"/>
          <w:szCs w:val="20"/>
        </w:rPr>
        <w:t>víctimas</w:t>
      </w:r>
      <w:r w:rsidR="006D7B01" w:rsidRPr="006A0A3F">
        <w:rPr>
          <w:rFonts w:ascii="Verdana" w:hAnsi="Verdana"/>
          <w:sz w:val="20"/>
          <w:szCs w:val="20"/>
        </w:rPr>
        <w:t xml:space="preserve"> con el </w:t>
      </w:r>
      <w:r w:rsidR="00AC2F37" w:rsidRPr="006A0A3F">
        <w:rPr>
          <w:rFonts w:ascii="Verdana" w:hAnsi="Verdana"/>
          <w:sz w:val="20"/>
          <w:szCs w:val="20"/>
        </w:rPr>
        <w:t>CNF</w:t>
      </w:r>
      <w:r w:rsidR="006D7B01" w:rsidRPr="006A0A3F">
        <w:rPr>
          <w:rFonts w:ascii="Verdana" w:hAnsi="Verdana"/>
          <w:sz w:val="20"/>
          <w:szCs w:val="20"/>
        </w:rPr>
        <w:t xml:space="preserve"> era el previsto en la ley laboral, no tratándose de una relación de índole funcionarial que les otorgara la estabilidad propia que por ley poseen los funcionarios públicos de carrera</w:t>
      </w:r>
      <w:r w:rsidR="00071A70" w:rsidRPr="006A0A3F">
        <w:rPr>
          <w:rFonts w:ascii="Verdana" w:hAnsi="Verdana"/>
          <w:sz w:val="20"/>
          <w:szCs w:val="20"/>
        </w:rPr>
        <w:t xml:space="preserve"> ni le era aplicable su </w:t>
      </w:r>
      <w:r w:rsidR="006B7AD9" w:rsidRPr="006A0A3F">
        <w:rPr>
          <w:rFonts w:ascii="Verdana" w:hAnsi="Verdana"/>
          <w:sz w:val="20"/>
          <w:szCs w:val="20"/>
        </w:rPr>
        <w:t>régimen</w:t>
      </w:r>
      <w:r w:rsidR="00071A70" w:rsidRPr="006A0A3F">
        <w:rPr>
          <w:rFonts w:ascii="Verdana" w:hAnsi="Verdana"/>
          <w:sz w:val="20"/>
          <w:szCs w:val="20"/>
        </w:rPr>
        <w:t xml:space="preserve"> disciplinario de faltas y sanciones administrativas</w:t>
      </w:r>
      <w:r w:rsidR="006D7B01" w:rsidRPr="006A0A3F">
        <w:rPr>
          <w:rFonts w:ascii="Verdana" w:hAnsi="Verdana"/>
          <w:sz w:val="20"/>
          <w:szCs w:val="20"/>
        </w:rPr>
        <w:t xml:space="preserve">. Por </w:t>
      </w:r>
      <w:r w:rsidR="00071A70" w:rsidRPr="006A0A3F">
        <w:rPr>
          <w:rFonts w:ascii="Verdana" w:hAnsi="Verdana"/>
          <w:sz w:val="20"/>
          <w:szCs w:val="20"/>
        </w:rPr>
        <w:t>ello</w:t>
      </w:r>
      <w:r w:rsidR="006D7B01" w:rsidRPr="006A0A3F">
        <w:rPr>
          <w:rFonts w:ascii="Verdana" w:hAnsi="Verdana"/>
          <w:sz w:val="20"/>
          <w:szCs w:val="20"/>
        </w:rPr>
        <w:t>, no resultaba necesario instaurar un procedimiento administrativo</w:t>
      </w:r>
      <w:r w:rsidR="00071A70" w:rsidRPr="006A0A3F">
        <w:rPr>
          <w:rFonts w:ascii="Verdana" w:hAnsi="Verdana"/>
          <w:sz w:val="20"/>
          <w:szCs w:val="20"/>
        </w:rPr>
        <w:t xml:space="preserve"> para dar por terminado el ví</w:t>
      </w:r>
      <w:r w:rsidR="006D7B01" w:rsidRPr="006A0A3F">
        <w:rPr>
          <w:rFonts w:ascii="Verdana" w:hAnsi="Verdana"/>
          <w:sz w:val="20"/>
          <w:szCs w:val="20"/>
        </w:rPr>
        <w:t>nculo contractual</w:t>
      </w:r>
      <w:r w:rsidR="00071A70" w:rsidRPr="006A0A3F">
        <w:rPr>
          <w:rFonts w:ascii="Verdana" w:hAnsi="Verdana"/>
          <w:sz w:val="20"/>
          <w:szCs w:val="20"/>
        </w:rPr>
        <w:t xml:space="preserve"> existente y no se trató de una sanción administrativa. </w:t>
      </w:r>
      <w:r w:rsidR="00AC2F37" w:rsidRPr="006A0A3F">
        <w:rPr>
          <w:rFonts w:ascii="Verdana" w:hAnsi="Verdana"/>
          <w:sz w:val="20"/>
          <w:szCs w:val="20"/>
        </w:rPr>
        <w:t xml:space="preserve">Además, </w:t>
      </w:r>
      <w:r w:rsidR="003663C9" w:rsidRPr="006A0A3F">
        <w:rPr>
          <w:rFonts w:ascii="Verdana" w:hAnsi="Verdana"/>
          <w:sz w:val="20"/>
          <w:szCs w:val="20"/>
        </w:rPr>
        <w:t xml:space="preserve">consideró que </w:t>
      </w:r>
      <w:r w:rsidR="00AC2F37" w:rsidRPr="006A0A3F">
        <w:rPr>
          <w:rFonts w:ascii="Verdana" w:hAnsi="Verdana"/>
          <w:sz w:val="20"/>
          <w:szCs w:val="20"/>
        </w:rPr>
        <w:t>la acción</w:t>
      </w:r>
      <w:r w:rsidR="00071A70" w:rsidRPr="006A0A3F">
        <w:rPr>
          <w:rFonts w:ascii="Verdana" w:hAnsi="Verdana"/>
          <w:sz w:val="20"/>
          <w:szCs w:val="20"/>
        </w:rPr>
        <w:t xml:space="preserve"> de amparo constitucional</w:t>
      </w:r>
      <w:r w:rsidR="00673284" w:rsidRPr="006A0A3F">
        <w:rPr>
          <w:rFonts w:ascii="Verdana" w:hAnsi="Verdana"/>
          <w:sz w:val="20"/>
          <w:szCs w:val="20"/>
        </w:rPr>
        <w:t xml:space="preserve">, </w:t>
      </w:r>
      <w:r w:rsidR="00AC2F37" w:rsidRPr="006A0A3F">
        <w:rPr>
          <w:rFonts w:ascii="Verdana" w:hAnsi="Verdana"/>
          <w:sz w:val="20"/>
          <w:szCs w:val="20"/>
        </w:rPr>
        <w:t>l</w:t>
      </w:r>
      <w:r w:rsidR="00071A70" w:rsidRPr="006A0A3F">
        <w:rPr>
          <w:rFonts w:ascii="Verdana" w:hAnsi="Verdana"/>
          <w:sz w:val="20"/>
          <w:szCs w:val="20"/>
        </w:rPr>
        <w:t>a denuncia</w:t>
      </w:r>
      <w:r w:rsidR="00AC2F37" w:rsidRPr="006A0A3F">
        <w:rPr>
          <w:rFonts w:ascii="Verdana" w:hAnsi="Verdana"/>
          <w:sz w:val="20"/>
          <w:szCs w:val="20"/>
        </w:rPr>
        <w:t xml:space="preserve"> </w:t>
      </w:r>
      <w:r w:rsidR="00071A70" w:rsidRPr="006A0A3F">
        <w:rPr>
          <w:rFonts w:ascii="Verdana" w:hAnsi="Verdana"/>
          <w:sz w:val="20"/>
          <w:szCs w:val="20"/>
        </w:rPr>
        <w:t xml:space="preserve">penal </w:t>
      </w:r>
      <w:r w:rsidR="00673284" w:rsidRPr="006A0A3F">
        <w:rPr>
          <w:rFonts w:ascii="Verdana" w:hAnsi="Verdana"/>
          <w:sz w:val="20"/>
          <w:szCs w:val="20"/>
        </w:rPr>
        <w:t xml:space="preserve">y </w:t>
      </w:r>
      <w:r w:rsidR="00AC2F37" w:rsidRPr="006A0A3F">
        <w:rPr>
          <w:rFonts w:ascii="Verdana" w:hAnsi="Verdana"/>
          <w:sz w:val="20"/>
          <w:szCs w:val="20"/>
        </w:rPr>
        <w:t>la petición</w:t>
      </w:r>
      <w:r w:rsidR="00071A70" w:rsidRPr="006A0A3F">
        <w:rPr>
          <w:rFonts w:ascii="Verdana" w:hAnsi="Verdana"/>
          <w:sz w:val="20"/>
          <w:szCs w:val="20"/>
        </w:rPr>
        <w:t xml:space="preserve"> ante </w:t>
      </w:r>
      <w:r w:rsidR="00AC2F37" w:rsidRPr="006A0A3F">
        <w:rPr>
          <w:rFonts w:ascii="Verdana" w:hAnsi="Verdana"/>
          <w:sz w:val="20"/>
          <w:szCs w:val="20"/>
        </w:rPr>
        <w:t>l</w:t>
      </w:r>
      <w:r w:rsidR="00071A70" w:rsidRPr="006A0A3F">
        <w:rPr>
          <w:rFonts w:ascii="Verdana" w:hAnsi="Verdana"/>
          <w:sz w:val="20"/>
          <w:szCs w:val="20"/>
        </w:rPr>
        <w:t xml:space="preserve">a </w:t>
      </w:r>
      <w:r w:rsidR="006B7AD9" w:rsidRPr="006A0A3F">
        <w:rPr>
          <w:rFonts w:ascii="Verdana" w:hAnsi="Verdana"/>
          <w:sz w:val="20"/>
          <w:szCs w:val="20"/>
        </w:rPr>
        <w:t>Defensoría</w:t>
      </w:r>
      <w:r w:rsidR="00071A70" w:rsidRPr="006A0A3F">
        <w:rPr>
          <w:rFonts w:ascii="Verdana" w:hAnsi="Verdana"/>
          <w:sz w:val="20"/>
          <w:szCs w:val="20"/>
        </w:rPr>
        <w:t xml:space="preserve"> </w:t>
      </w:r>
      <w:r w:rsidR="003663C9" w:rsidRPr="006A0A3F">
        <w:rPr>
          <w:rFonts w:ascii="Verdana" w:hAnsi="Verdana"/>
          <w:sz w:val="20"/>
          <w:szCs w:val="20"/>
        </w:rPr>
        <w:t xml:space="preserve">no </w:t>
      </w:r>
      <w:r w:rsidR="00673284" w:rsidRPr="006A0A3F">
        <w:rPr>
          <w:rFonts w:ascii="Verdana" w:hAnsi="Verdana"/>
          <w:sz w:val="20"/>
          <w:szCs w:val="20"/>
        </w:rPr>
        <w:t>constituían</w:t>
      </w:r>
      <w:r w:rsidR="00071A70" w:rsidRPr="006A0A3F">
        <w:rPr>
          <w:rFonts w:ascii="Verdana" w:hAnsi="Verdana"/>
          <w:sz w:val="20"/>
          <w:szCs w:val="20"/>
        </w:rPr>
        <w:t xml:space="preserve"> el recurso que </w:t>
      </w:r>
      <w:r w:rsidR="00AC2F37" w:rsidRPr="006A0A3F">
        <w:rPr>
          <w:rFonts w:ascii="Verdana" w:hAnsi="Verdana"/>
          <w:sz w:val="20"/>
          <w:szCs w:val="20"/>
        </w:rPr>
        <w:t xml:space="preserve">debía </w:t>
      </w:r>
      <w:r w:rsidR="00071A70" w:rsidRPr="006A0A3F">
        <w:rPr>
          <w:rFonts w:ascii="Verdana" w:hAnsi="Verdana"/>
          <w:sz w:val="20"/>
          <w:szCs w:val="20"/>
        </w:rPr>
        <w:t>ser interpuesto para procurar el</w:t>
      </w:r>
      <w:r w:rsidR="00AC2F37" w:rsidRPr="006A0A3F">
        <w:rPr>
          <w:rFonts w:ascii="Verdana" w:hAnsi="Verdana"/>
          <w:sz w:val="20"/>
          <w:szCs w:val="20"/>
        </w:rPr>
        <w:t xml:space="preserve"> </w:t>
      </w:r>
      <w:r w:rsidR="00071A70" w:rsidRPr="006A0A3F">
        <w:rPr>
          <w:rFonts w:ascii="Verdana" w:hAnsi="Verdana"/>
          <w:sz w:val="20"/>
          <w:szCs w:val="20"/>
        </w:rPr>
        <w:t>resguar</w:t>
      </w:r>
      <w:r w:rsidR="00AC2F37" w:rsidRPr="006A0A3F">
        <w:rPr>
          <w:rFonts w:ascii="Verdana" w:hAnsi="Verdana"/>
          <w:sz w:val="20"/>
          <w:szCs w:val="20"/>
        </w:rPr>
        <w:t>do de los derechos que alegaban</w:t>
      </w:r>
      <w:r w:rsidR="00673284" w:rsidRPr="006A0A3F">
        <w:rPr>
          <w:rFonts w:ascii="Verdana" w:hAnsi="Verdana"/>
          <w:sz w:val="20"/>
          <w:szCs w:val="20"/>
        </w:rPr>
        <w:t xml:space="preserve">, como sí </w:t>
      </w:r>
      <w:r w:rsidR="003663C9" w:rsidRPr="006A0A3F">
        <w:rPr>
          <w:rFonts w:ascii="Verdana" w:hAnsi="Verdana"/>
          <w:sz w:val="20"/>
          <w:szCs w:val="20"/>
        </w:rPr>
        <w:t xml:space="preserve">lo </w:t>
      </w:r>
      <w:r w:rsidR="00673284" w:rsidRPr="006A0A3F">
        <w:rPr>
          <w:rFonts w:ascii="Verdana" w:hAnsi="Verdana"/>
          <w:sz w:val="20"/>
          <w:szCs w:val="20"/>
        </w:rPr>
        <w:t>era la jurisdicción laboral ordinaria una vía adecuada para la reivindicación de los derechos de alguien que se considerara víctima de un despido ilegal</w:t>
      </w:r>
      <w:r w:rsidR="00071A70" w:rsidRPr="006A0A3F">
        <w:rPr>
          <w:rFonts w:ascii="Verdana" w:hAnsi="Verdana"/>
          <w:sz w:val="20"/>
          <w:szCs w:val="20"/>
        </w:rPr>
        <w:t>, a</w:t>
      </w:r>
      <w:r w:rsidR="00AC2F37" w:rsidRPr="006A0A3F">
        <w:rPr>
          <w:rFonts w:ascii="Verdana" w:hAnsi="Verdana"/>
          <w:sz w:val="20"/>
          <w:szCs w:val="20"/>
        </w:rPr>
        <w:t xml:space="preserve"> </w:t>
      </w:r>
      <w:r w:rsidR="00071A70" w:rsidRPr="006A0A3F">
        <w:rPr>
          <w:rFonts w:ascii="Verdana" w:hAnsi="Verdana"/>
          <w:sz w:val="20"/>
          <w:szCs w:val="20"/>
        </w:rPr>
        <w:t xml:space="preserve">fin de solicitar </w:t>
      </w:r>
      <w:r w:rsidR="00AC2F37" w:rsidRPr="006A0A3F">
        <w:rPr>
          <w:rFonts w:ascii="Verdana" w:hAnsi="Verdana"/>
          <w:sz w:val="20"/>
          <w:szCs w:val="20"/>
        </w:rPr>
        <w:t>el reenganche y pago de salario</w:t>
      </w:r>
      <w:r w:rsidR="00673284" w:rsidRPr="006A0A3F">
        <w:rPr>
          <w:rFonts w:ascii="Verdana" w:hAnsi="Verdana"/>
          <w:sz w:val="20"/>
          <w:szCs w:val="20"/>
        </w:rPr>
        <w:t xml:space="preserve"> caí</w:t>
      </w:r>
      <w:r w:rsidR="00071A70" w:rsidRPr="006A0A3F">
        <w:rPr>
          <w:rFonts w:ascii="Verdana" w:hAnsi="Verdana"/>
          <w:sz w:val="20"/>
          <w:szCs w:val="20"/>
        </w:rPr>
        <w:t>dos.</w:t>
      </w:r>
      <w:r w:rsidR="00673284" w:rsidRPr="006A0A3F">
        <w:rPr>
          <w:rFonts w:ascii="Verdana" w:hAnsi="Verdana"/>
          <w:sz w:val="20"/>
          <w:szCs w:val="20"/>
        </w:rPr>
        <w:t xml:space="preserve"> Puesto que</w:t>
      </w:r>
      <w:r w:rsidR="00AC2F37" w:rsidRPr="006A0A3F">
        <w:rPr>
          <w:rFonts w:ascii="Verdana" w:hAnsi="Verdana"/>
          <w:sz w:val="20"/>
          <w:szCs w:val="20"/>
        </w:rPr>
        <w:t xml:space="preserve"> </w:t>
      </w:r>
      <w:r w:rsidR="00071A70" w:rsidRPr="006A0A3F">
        <w:rPr>
          <w:rFonts w:ascii="Verdana" w:hAnsi="Verdana"/>
          <w:sz w:val="20"/>
          <w:szCs w:val="20"/>
        </w:rPr>
        <w:t xml:space="preserve">no ejercieron </w:t>
      </w:r>
      <w:r w:rsidR="00673284" w:rsidRPr="006A0A3F">
        <w:rPr>
          <w:rFonts w:ascii="Verdana" w:hAnsi="Verdana"/>
          <w:sz w:val="20"/>
          <w:szCs w:val="20"/>
        </w:rPr>
        <w:t xml:space="preserve">tal vía </w:t>
      </w:r>
      <w:r w:rsidR="00071A70" w:rsidRPr="006A0A3F">
        <w:rPr>
          <w:rFonts w:ascii="Verdana" w:hAnsi="Verdana"/>
          <w:sz w:val="20"/>
          <w:szCs w:val="20"/>
        </w:rPr>
        <w:t>en el</w:t>
      </w:r>
      <w:r w:rsidR="00AC2F37" w:rsidRPr="006A0A3F">
        <w:rPr>
          <w:rFonts w:ascii="Verdana" w:hAnsi="Verdana"/>
          <w:sz w:val="20"/>
          <w:szCs w:val="20"/>
        </w:rPr>
        <w:t xml:space="preserve"> plazo legalmente previsto, </w:t>
      </w:r>
      <w:r w:rsidR="00A8438B" w:rsidRPr="006A0A3F">
        <w:rPr>
          <w:rFonts w:ascii="Verdana" w:hAnsi="Verdana"/>
          <w:sz w:val="20"/>
          <w:szCs w:val="20"/>
        </w:rPr>
        <w:t>l</w:t>
      </w:r>
      <w:r w:rsidR="00AC2F37" w:rsidRPr="006A0A3F">
        <w:rPr>
          <w:rFonts w:ascii="Verdana" w:hAnsi="Verdana"/>
          <w:sz w:val="20"/>
          <w:szCs w:val="20"/>
        </w:rPr>
        <w:t>a acción</w:t>
      </w:r>
      <w:r w:rsidR="00071A70" w:rsidRPr="006A0A3F">
        <w:rPr>
          <w:rFonts w:ascii="Verdana" w:hAnsi="Verdana"/>
          <w:sz w:val="20"/>
          <w:szCs w:val="20"/>
        </w:rPr>
        <w:t xml:space="preserve"> de</w:t>
      </w:r>
      <w:r w:rsidR="00AC2F37" w:rsidRPr="006A0A3F">
        <w:rPr>
          <w:rFonts w:ascii="Verdana" w:hAnsi="Verdana"/>
          <w:sz w:val="20"/>
          <w:szCs w:val="20"/>
        </w:rPr>
        <w:t xml:space="preserve"> </w:t>
      </w:r>
      <w:r w:rsidR="00071A70" w:rsidRPr="006A0A3F">
        <w:rPr>
          <w:rFonts w:ascii="Verdana" w:hAnsi="Verdana"/>
          <w:sz w:val="20"/>
          <w:szCs w:val="20"/>
        </w:rPr>
        <w:t xml:space="preserve">amparo </w:t>
      </w:r>
      <w:r w:rsidR="00673284" w:rsidRPr="006A0A3F">
        <w:rPr>
          <w:rFonts w:ascii="Verdana" w:hAnsi="Verdana"/>
          <w:sz w:val="20"/>
          <w:szCs w:val="20"/>
        </w:rPr>
        <w:t xml:space="preserve">en realidad </w:t>
      </w:r>
      <w:r w:rsidR="00071A70" w:rsidRPr="006A0A3F">
        <w:rPr>
          <w:rFonts w:ascii="Verdana" w:hAnsi="Verdana"/>
          <w:sz w:val="20"/>
          <w:szCs w:val="20"/>
        </w:rPr>
        <w:t xml:space="preserve">fue un recurso para intentar </w:t>
      </w:r>
      <w:r w:rsidR="00AC2F37" w:rsidRPr="006A0A3F">
        <w:rPr>
          <w:rFonts w:ascii="Verdana" w:hAnsi="Verdana"/>
          <w:sz w:val="20"/>
          <w:szCs w:val="20"/>
        </w:rPr>
        <w:t xml:space="preserve">superar el vencimiento del plazo. Además, alegó que la acción de amparo como </w:t>
      </w:r>
      <w:r w:rsidR="006B7AD9" w:rsidRPr="006A0A3F">
        <w:rPr>
          <w:rFonts w:ascii="Verdana" w:hAnsi="Verdana"/>
          <w:sz w:val="20"/>
          <w:szCs w:val="20"/>
        </w:rPr>
        <w:t>vía</w:t>
      </w:r>
      <w:r w:rsidR="00AC2F37" w:rsidRPr="006A0A3F">
        <w:rPr>
          <w:rFonts w:ascii="Verdana" w:hAnsi="Verdana"/>
          <w:sz w:val="20"/>
          <w:szCs w:val="20"/>
        </w:rPr>
        <w:t xml:space="preserve"> procesal para hacer frente a casos de discriminación, solo era aplicable c</w:t>
      </w:r>
      <w:r w:rsidR="00593F2C" w:rsidRPr="006A0A3F">
        <w:rPr>
          <w:rFonts w:ascii="Verdana" w:hAnsi="Verdana"/>
          <w:sz w:val="20"/>
          <w:szCs w:val="20"/>
        </w:rPr>
        <w:t>uando l</w:t>
      </w:r>
      <w:r w:rsidR="00AC2F37" w:rsidRPr="006A0A3F">
        <w:rPr>
          <w:rFonts w:ascii="Verdana" w:hAnsi="Verdana"/>
          <w:sz w:val="20"/>
          <w:szCs w:val="20"/>
        </w:rPr>
        <w:t>a presunta discriminación se produce en una relación laboral que se encuentre vigente</w:t>
      </w:r>
      <w:r w:rsidR="00071A70" w:rsidRPr="006A0A3F">
        <w:rPr>
          <w:rFonts w:ascii="Verdana" w:hAnsi="Verdana"/>
          <w:sz w:val="20"/>
          <w:szCs w:val="20"/>
        </w:rPr>
        <w:t>.</w:t>
      </w:r>
      <w:r w:rsidR="00AC2F37" w:rsidRPr="006A0A3F">
        <w:rPr>
          <w:rFonts w:ascii="Verdana" w:hAnsi="Verdana"/>
          <w:sz w:val="20"/>
          <w:szCs w:val="20"/>
        </w:rPr>
        <w:t xml:space="preserve"> En virtud de ello</w:t>
      </w:r>
      <w:r w:rsidR="00071A70" w:rsidRPr="006A0A3F">
        <w:rPr>
          <w:rFonts w:ascii="Verdana" w:hAnsi="Verdana"/>
          <w:sz w:val="20"/>
          <w:szCs w:val="20"/>
        </w:rPr>
        <w:t>,</w:t>
      </w:r>
      <w:r w:rsidR="00AC2F37" w:rsidRPr="006A0A3F">
        <w:rPr>
          <w:rFonts w:ascii="Verdana" w:hAnsi="Verdana"/>
          <w:sz w:val="20"/>
          <w:szCs w:val="20"/>
        </w:rPr>
        <w:t xml:space="preserve"> </w:t>
      </w:r>
      <w:r w:rsidR="00071A70" w:rsidRPr="006A0A3F">
        <w:rPr>
          <w:rFonts w:ascii="Verdana" w:hAnsi="Verdana"/>
          <w:sz w:val="20"/>
          <w:szCs w:val="20"/>
        </w:rPr>
        <w:t>no existe vulneraci</w:t>
      </w:r>
      <w:r w:rsidR="00A8438B" w:rsidRPr="006A0A3F">
        <w:rPr>
          <w:rFonts w:ascii="Verdana" w:hAnsi="Verdana"/>
          <w:sz w:val="20"/>
          <w:szCs w:val="20"/>
        </w:rPr>
        <w:t>ón del derecho a l</w:t>
      </w:r>
      <w:r w:rsidR="00AC2F37" w:rsidRPr="006A0A3F">
        <w:rPr>
          <w:rFonts w:ascii="Verdana" w:hAnsi="Verdana"/>
          <w:sz w:val="20"/>
          <w:szCs w:val="20"/>
        </w:rPr>
        <w:t>a protecció</w:t>
      </w:r>
      <w:r w:rsidR="00071A70" w:rsidRPr="006A0A3F">
        <w:rPr>
          <w:rFonts w:ascii="Verdana" w:hAnsi="Verdana"/>
          <w:sz w:val="20"/>
          <w:szCs w:val="20"/>
        </w:rPr>
        <w:t>n judicial</w:t>
      </w:r>
      <w:r w:rsidR="00673284" w:rsidRPr="006A0A3F">
        <w:rPr>
          <w:rFonts w:ascii="Verdana" w:hAnsi="Verdana"/>
          <w:sz w:val="20"/>
          <w:szCs w:val="20"/>
        </w:rPr>
        <w:t>. Por último, alegó que, d</w:t>
      </w:r>
      <w:r w:rsidR="00A8438B" w:rsidRPr="006A0A3F">
        <w:rPr>
          <w:rFonts w:ascii="Verdana" w:hAnsi="Verdana"/>
          <w:sz w:val="20"/>
          <w:szCs w:val="20"/>
        </w:rPr>
        <w:t xml:space="preserve">urante el </w:t>
      </w:r>
      <w:r w:rsidR="003663C9" w:rsidRPr="006A0A3F">
        <w:rPr>
          <w:rFonts w:ascii="Verdana" w:hAnsi="Verdana"/>
          <w:sz w:val="20"/>
          <w:szCs w:val="20"/>
        </w:rPr>
        <w:t xml:space="preserve">año </w:t>
      </w:r>
      <w:r w:rsidR="00A8438B" w:rsidRPr="006A0A3F">
        <w:rPr>
          <w:rFonts w:ascii="Verdana" w:hAnsi="Verdana"/>
          <w:sz w:val="20"/>
          <w:szCs w:val="20"/>
        </w:rPr>
        <w:t>2004</w:t>
      </w:r>
      <w:r w:rsidR="00673284" w:rsidRPr="006A0A3F">
        <w:rPr>
          <w:rFonts w:ascii="Verdana" w:hAnsi="Verdana"/>
          <w:sz w:val="20"/>
          <w:szCs w:val="20"/>
        </w:rPr>
        <w:t>,</w:t>
      </w:r>
      <w:r w:rsidR="00A8438B" w:rsidRPr="006A0A3F">
        <w:rPr>
          <w:rFonts w:ascii="Verdana" w:hAnsi="Verdana"/>
          <w:sz w:val="20"/>
          <w:szCs w:val="20"/>
        </w:rPr>
        <w:t xml:space="preserve"> l</w:t>
      </w:r>
      <w:r w:rsidR="00AC2F37" w:rsidRPr="006A0A3F">
        <w:rPr>
          <w:rFonts w:ascii="Verdana" w:hAnsi="Verdana"/>
          <w:sz w:val="20"/>
          <w:szCs w:val="20"/>
        </w:rPr>
        <w:t>a Sala Constitucional dictó 3.257 sentencias,</w:t>
      </w:r>
      <w:r w:rsidR="00A8438B" w:rsidRPr="006A0A3F">
        <w:rPr>
          <w:rFonts w:ascii="Verdana" w:hAnsi="Verdana"/>
          <w:sz w:val="20"/>
          <w:szCs w:val="20"/>
        </w:rPr>
        <w:t xml:space="preserve"> </w:t>
      </w:r>
      <w:r w:rsidR="00AC2F37" w:rsidRPr="006A0A3F">
        <w:rPr>
          <w:rFonts w:ascii="Verdana" w:hAnsi="Verdana"/>
          <w:sz w:val="20"/>
          <w:szCs w:val="20"/>
        </w:rPr>
        <w:t>por lo cual resulta razonable el pl</w:t>
      </w:r>
      <w:r w:rsidR="00A8438B" w:rsidRPr="006A0A3F">
        <w:rPr>
          <w:rFonts w:ascii="Verdana" w:hAnsi="Verdana"/>
          <w:sz w:val="20"/>
          <w:szCs w:val="20"/>
        </w:rPr>
        <w:t>azo transcurrido para resolver l</w:t>
      </w:r>
      <w:r w:rsidR="00AC2F37" w:rsidRPr="006A0A3F">
        <w:rPr>
          <w:rFonts w:ascii="Verdana" w:hAnsi="Verdana"/>
          <w:sz w:val="20"/>
          <w:szCs w:val="20"/>
        </w:rPr>
        <w:t>a incidencia procesal de competencia y</w:t>
      </w:r>
      <w:r w:rsidR="00673284" w:rsidRPr="006A0A3F">
        <w:rPr>
          <w:rFonts w:ascii="Verdana" w:hAnsi="Verdana"/>
          <w:sz w:val="20"/>
          <w:szCs w:val="20"/>
        </w:rPr>
        <w:t>, además,</w:t>
      </w:r>
      <w:r w:rsidR="00AC2F37" w:rsidRPr="006A0A3F">
        <w:rPr>
          <w:rFonts w:ascii="Verdana" w:hAnsi="Verdana"/>
          <w:sz w:val="20"/>
          <w:szCs w:val="20"/>
        </w:rPr>
        <w:t xml:space="preserve"> en ambas instancias los tribunales resolvieron el </w:t>
      </w:r>
      <w:r w:rsidR="00F91040" w:rsidRPr="006A0A3F">
        <w:rPr>
          <w:rFonts w:ascii="Verdana" w:hAnsi="Verdana"/>
          <w:sz w:val="20"/>
          <w:szCs w:val="20"/>
        </w:rPr>
        <w:t xml:space="preserve">fondo del </w:t>
      </w:r>
      <w:r w:rsidR="00AC2F37" w:rsidRPr="006A0A3F">
        <w:rPr>
          <w:rFonts w:ascii="Verdana" w:hAnsi="Verdana"/>
          <w:sz w:val="20"/>
          <w:szCs w:val="20"/>
        </w:rPr>
        <w:t xml:space="preserve">asunto en dos meses en cada instancia, </w:t>
      </w:r>
      <w:r w:rsidR="00A8438B" w:rsidRPr="006A0A3F">
        <w:rPr>
          <w:rFonts w:ascii="Verdana" w:hAnsi="Verdana"/>
          <w:sz w:val="20"/>
          <w:szCs w:val="20"/>
        </w:rPr>
        <w:t>una vez determinada l</w:t>
      </w:r>
      <w:r w:rsidR="00380D77" w:rsidRPr="006A0A3F">
        <w:rPr>
          <w:rFonts w:ascii="Verdana" w:hAnsi="Verdana"/>
          <w:sz w:val="20"/>
          <w:szCs w:val="20"/>
        </w:rPr>
        <w:t xml:space="preserve">a competencia, </w:t>
      </w:r>
      <w:r w:rsidR="00A8438B" w:rsidRPr="006A0A3F">
        <w:rPr>
          <w:rFonts w:ascii="Verdana" w:hAnsi="Verdana"/>
          <w:sz w:val="20"/>
          <w:szCs w:val="20"/>
        </w:rPr>
        <w:t>l</w:t>
      </w:r>
      <w:r w:rsidR="00AC2F37" w:rsidRPr="006A0A3F">
        <w:rPr>
          <w:rFonts w:ascii="Verdana" w:hAnsi="Verdana"/>
          <w:sz w:val="20"/>
          <w:szCs w:val="20"/>
        </w:rPr>
        <w:t>o cual constituye un plazo</w:t>
      </w:r>
      <w:r w:rsidR="00380D77" w:rsidRPr="006A0A3F">
        <w:rPr>
          <w:rFonts w:ascii="Verdana" w:hAnsi="Verdana"/>
          <w:sz w:val="20"/>
          <w:szCs w:val="20"/>
        </w:rPr>
        <w:t xml:space="preserve"> razonable. Por último, alegó que los </w:t>
      </w:r>
      <w:r w:rsidR="00071A70" w:rsidRPr="006A0A3F">
        <w:rPr>
          <w:rFonts w:ascii="Verdana" w:hAnsi="Verdana"/>
          <w:sz w:val="20"/>
          <w:szCs w:val="20"/>
        </w:rPr>
        <w:t xml:space="preserve">hechos denunciados por las presuntas </w:t>
      </w:r>
      <w:r w:rsidR="00F91040" w:rsidRPr="006A0A3F">
        <w:rPr>
          <w:rFonts w:ascii="Verdana" w:hAnsi="Verdana"/>
          <w:sz w:val="20"/>
          <w:szCs w:val="20"/>
        </w:rPr>
        <w:t xml:space="preserve">víctimas </w:t>
      </w:r>
      <w:r w:rsidR="00071A70" w:rsidRPr="006A0A3F">
        <w:rPr>
          <w:rFonts w:ascii="Verdana" w:hAnsi="Verdana"/>
          <w:sz w:val="20"/>
          <w:szCs w:val="20"/>
        </w:rPr>
        <w:t>ante el Ministerio Publico no</w:t>
      </w:r>
      <w:r w:rsidR="00380D77" w:rsidRPr="006A0A3F">
        <w:rPr>
          <w:rFonts w:ascii="Verdana" w:hAnsi="Verdana"/>
          <w:sz w:val="20"/>
          <w:szCs w:val="20"/>
        </w:rPr>
        <w:t xml:space="preserve"> revestían</w:t>
      </w:r>
      <w:r w:rsidR="00071A70" w:rsidRPr="006A0A3F">
        <w:rPr>
          <w:rFonts w:ascii="Verdana" w:hAnsi="Verdana"/>
          <w:sz w:val="20"/>
          <w:szCs w:val="20"/>
        </w:rPr>
        <w:t xml:space="preserve"> car</w:t>
      </w:r>
      <w:r w:rsidR="00380D77" w:rsidRPr="006A0A3F">
        <w:rPr>
          <w:rFonts w:ascii="Verdana" w:hAnsi="Verdana"/>
          <w:sz w:val="20"/>
          <w:szCs w:val="20"/>
        </w:rPr>
        <w:t>á</w:t>
      </w:r>
      <w:r w:rsidR="00071A70" w:rsidRPr="006A0A3F">
        <w:rPr>
          <w:rFonts w:ascii="Verdana" w:hAnsi="Verdana"/>
          <w:sz w:val="20"/>
          <w:szCs w:val="20"/>
        </w:rPr>
        <w:t>cter penal.</w:t>
      </w:r>
      <w:r w:rsidR="00071A70" w:rsidRPr="006A0A3F">
        <w:rPr>
          <w:rFonts w:ascii="Arial" w:hAnsi="Arial" w:cs="Arial"/>
          <w:sz w:val="23"/>
          <w:szCs w:val="23"/>
        </w:rPr>
        <w:t xml:space="preserve"> </w:t>
      </w:r>
    </w:p>
    <w:p w14:paraId="4C8A431D" w14:textId="77777777" w:rsidR="00071A70" w:rsidRDefault="00071A70" w:rsidP="001F09C8">
      <w:pPr>
        <w:pStyle w:val="ListParagraph"/>
        <w:ind w:left="0"/>
        <w:jc w:val="both"/>
        <w:rPr>
          <w:rFonts w:ascii="Verdana" w:hAnsi="Verdana"/>
          <w:sz w:val="20"/>
          <w:lang w:val="es-CR"/>
        </w:rPr>
      </w:pPr>
    </w:p>
    <w:p w14:paraId="7493525A" w14:textId="77777777" w:rsidR="00BB2A15" w:rsidRPr="006A0A3F" w:rsidRDefault="00BB2A15" w:rsidP="001F09C8">
      <w:pPr>
        <w:pStyle w:val="ListParagraph"/>
        <w:ind w:left="0"/>
        <w:jc w:val="both"/>
        <w:rPr>
          <w:rFonts w:ascii="Verdana" w:hAnsi="Verdana"/>
          <w:sz w:val="20"/>
          <w:lang w:val="es-CR"/>
        </w:rPr>
      </w:pPr>
    </w:p>
    <w:p w14:paraId="6A89A6A2" w14:textId="5DEE9E61" w:rsidR="002B0A3F" w:rsidRPr="006A0A3F" w:rsidRDefault="002B0A3F" w:rsidP="00D011A4">
      <w:pPr>
        <w:pStyle w:val="ListParagraph"/>
        <w:ind w:left="0" w:firstLine="708"/>
        <w:jc w:val="both"/>
        <w:rPr>
          <w:rFonts w:ascii="Verdana" w:hAnsi="Verdana"/>
          <w:b/>
          <w:i/>
          <w:sz w:val="20"/>
          <w:lang w:val="es-CR"/>
        </w:rPr>
      </w:pPr>
      <w:r w:rsidRPr="006A0A3F">
        <w:rPr>
          <w:rFonts w:ascii="Verdana" w:hAnsi="Verdana"/>
          <w:b/>
          <w:i/>
          <w:sz w:val="20"/>
          <w:lang w:val="es-CR"/>
        </w:rPr>
        <w:t>Consideraciones de la Corte</w:t>
      </w:r>
    </w:p>
    <w:p w14:paraId="59A04AD5" w14:textId="77777777" w:rsidR="002B0A3F" w:rsidRPr="006A0A3F" w:rsidRDefault="002B0A3F" w:rsidP="001F09C8">
      <w:pPr>
        <w:pStyle w:val="ListParagraph"/>
        <w:ind w:left="0"/>
        <w:jc w:val="both"/>
        <w:rPr>
          <w:rFonts w:ascii="Verdana" w:hAnsi="Verdana"/>
          <w:sz w:val="20"/>
          <w:lang w:val="es-CR"/>
        </w:rPr>
      </w:pPr>
    </w:p>
    <w:p w14:paraId="09D2B7C4" w14:textId="5D2F007F" w:rsidR="003A0CF7" w:rsidRPr="006A0A3F" w:rsidRDefault="002B0A3F" w:rsidP="00144029">
      <w:pPr>
        <w:numPr>
          <w:ilvl w:val="0"/>
          <w:numId w:val="4"/>
        </w:numPr>
        <w:pBdr>
          <w:top w:val="nil"/>
        </w:pBdr>
        <w:autoSpaceDE w:val="0"/>
        <w:autoSpaceDN w:val="0"/>
        <w:adjustRightInd w:val="0"/>
        <w:spacing w:after="0" w:line="240" w:lineRule="auto"/>
        <w:ind w:left="0" w:firstLine="0"/>
        <w:jc w:val="both"/>
        <w:rPr>
          <w:rFonts w:ascii="Verdana" w:hAnsi="Verdana"/>
          <w:b/>
          <w:sz w:val="20"/>
        </w:rPr>
      </w:pPr>
      <w:r w:rsidRPr="006A0A3F">
        <w:rPr>
          <w:rFonts w:ascii="Verdana" w:hAnsi="Verdana" w:cs="Cambria"/>
          <w:sz w:val="20"/>
        </w:rPr>
        <w:t>De conformidad con la Convención Americana, los Estados Parte están</w:t>
      </w:r>
      <w:r w:rsidRPr="006A0A3F">
        <w:rPr>
          <w:rFonts w:ascii="Verdana" w:hAnsi="Verdana"/>
          <w:sz w:val="20"/>
        </w:rPr>
        <w:t xml:space="preserve"> obligados a suministrar recursos judiciales efectivos a las víctimas de violaciones de los derechos humanos (artículo 25), recursos que deben ser sustanciados de conformidad con las reglas del debido proceso legal (artículo 8.1). Asimismo, el derecho de acceso a la justicia debe asegurar, en tiempo razonable, el derecho de las presuntas víctimas o sus familiares a que se haga todo lo </w:t>
      </w:r>
      <w:r w:rsidRPr="006A0A3F">
        <w:rPr>
          <w:rFonts w:ascii="Verdana" w:hAnsi="Verdana"/>
          <w:sz w:val="20"/>
        </w:rPr>
        <w:lastRenderedPageBreak/>
        <w:t xml:space="preserve">necesario para conocer la verdad de lo sucedido </w:t>
      </w:r>
      <w:r w:rsidR="000375B5" w:rsidRPr="006A0A3F">
        <w:rPr>
          <w:rFonts w:ascii="Verdana" w:hAnsi="Verdana"/>
          <w:sz w:val="20"/>
        </w:rPr>
        <w:t xml:space="preserve">y, según corresponda al caso, </w:t>
      </w:r>
      <w:r w:rsidRPr="006A0A3F">
        <w:rPr>
          <w:rFonts w:ascii="Verdana" w:hAnsi="Verdana"/>
          <w:sz w:val="20"/>
        </w:rPr>
        <w:t>investigar, juzgar y, en su caso, sancionar a los eventuales responsables</w:t>
      </w:r>
      <w:r w:rsidRPr="006A0A3F">
        <w:rPr>
          <w:rFonts w:ascii="Verdana" w:hAnsi="Verdana"/>
          <w:sz w:val="20"/>
          <w:vertAlign w:val="superscript"/>
        </w:rPr>
        <w:footnoteReference w:id="226"/>
      </w:r>
      <w:r w:rsidRPr="006A0A3F">
        <w:rPr>
          <w:rFonts w:ascii="Verdana" w:hAnsi="Verdana"/>
          <w:sz w:val="20"/>
        </w:rPr>
        <w:t>.</w:t>
      </w:r>
    </w:p>
    <w:p w14:paraId="094BF684" w14:textId="77777777" w:rsidR="003A0CF7" w:rsidRPr="006A0A3F" w:rsidRDefault="003A0CF7" w:rsidP="003A0CF7">
      <w:pPr>
        <w:pBdr>
          <w:top w:val="nil"/>
        </w:pBdr>
        <w:autoSpaceDE w:val="0"/>
        <w:autoSpaceDN w:val="0"/>
        <w:adjustRightInd w:val="0"/>
        <w:spacing w:after="0" w:line="240" w:lineRule="auto"/>
        <w:jc w:val="both"/>
        <w:rPr>
          <w:rFonts w:ascii="Verdana" w:hAnsi="Verdana"/>
          <w:b/>
          <w:sz w:val="20"/>
        </w:rPr>
      </w:pPr>
    </w:p>
    <w:p w14:paraId="41FCF8BB" w14:textId="51B3EBBB" w:rsidR="00144029" w:rsidRPr="006A0A3F" w:rsidRDefault="00840206" w:rsidP="00A8438B">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w:t>
      </w:r>
      <w:r w:rsidR="00144029" w:rsidRPr="006A0A3F">
        <w:rPr>
          <w:rFonts w:ascii="Verdana" w:hAnsi="Verdana"/>
          <w:sz w:val="20"/>
        </w:rPr>
        <w:t xml:space="preserve">a Corte analizará lo alegado en el siguiente orden: a) </w:t>
      </w:r>
      <w:r w:rsidRPr="006A0A3F">
        <w:rPr>
          <w:rFonts w:ascii="Verdana" w:hAnsi="Verdana"/>
          <w:sz w:val="20"/>
        </w:rPr>
        <w:t>acción</w:t>
      </w:r>
      <w:r w:rsidR="00144029" w:rsidRPr="006A0A3F">
        <w:rPr>
          <w:rFonts w:ascii="Verdana" w:hAnsi="Verdana"/>
          <w:sz w:val="20"/>
        </w:rPr>
        <w:t xml:space="preserve"> de amparo constitucional; </w:t>
      </w:r>
      <w:r w:rsidR="0021502A" w:rsidRPr="006A0A3F">
        <w:rPr>
          <w:rFonts w:ascii="Verdana" w:hAnsi="Verdana"/>
          <w:sz w:val="20"/>
        </w:rPr>
        <w:t xml:space="preserve">y </w:t>
      </w:r>
      <w:r w:rsidR="00144029" w:rsidRPr="006A0A3F">
        <w:rPr>
          <w:rFonts w:ascii="Verdana" w:hAnsi="Verdana"/>
          <w:sz w:val="20"/>
        </w:rPr>
        <w:t>b) denun</w:t>
      </w:r>
      <w:r w:rsidR="0021502A" w:rsidRPr="006A0A3F">
        <w:rPr>
          <w:rFonts w:ascii="Verdana" w:hAnsi="Verdana"/>
          <w:sz w:val="20"/>
        </w:rPr>
        <w:t>cia ante el Ministerio Público</w:t>
      </w:r>
      <w:r w:rsidR="00864736" w:rsidRPr="006A0A3F">
        <w:rPr>
          <w:rFonts w:ascii="Verdana" w:hAnsi="Verdana"/>
          <w:sz w:val="20"/>
        </w:rPr>
        <w:t>.</w:t>
      </w:r>
    </w:p>
    <w:p w14:paraId="52CB34FD" w14:textId="77777777" w:rsidR="00BB2A15" w:rsidRPr="006A0A3F" w:rsidRDefault="00BB2A15" w:rsidP="00925197">
      <w:pPr>
        <w:pBdr>
          <w:top w:val="nil"/>
        </w:pBdr>
        <w:autoSpaceDE w:val="0"/>
        <w:autoSpaceDN w:val="0"/>
        <w:adjustRightInd w:val="0"/>
        <w:spacing w:after="0" w:line="240" w:lineRule="auto"/>
        <w:jc w:val="both"/>
        <w:rPr>
          <w:rFonts w:ascii="Verdana" w:hAnsi="Verdana"/>
          <w:b/>
          <w:sz w:val="20"/>
        </w:rPr>
      </w:pPr>
    </w:p>
    <w:p w14:paraId="4E98AA68" w14:textId="64A894DC" w:rsidR="002B0A3F" w:rsidRPr="006A0A3F" w:rsidRDefault="00864736" w:rsidP="00AB56AF">
      <w:pPr>
        <w:pStyle w:val="Heading3"/>
        <w:numPr>
          <w:ilvl w:val="0"/>
          <w:numId w:val="17"/>
        </w:numPr>
        <w:jc w:val="both"/>
        <w:rPr>
          <w:rFonts w:ascii="Verdana" w:hAnsi="Verdana"/>
          <w:i/>
          <w:sz w:val="20"/>
          <w:szCs w:val="20"/>
          <w:lang w:val="es-CR"/>
        </w:rPr>
      </w:pPr>
      <w:r w:rsidRPr="006A0A3F">
        <w:rPr>
          <w:rFonts w:ascii="Verdana" w:hAnsi="Verdana"/>
          <w:i/>
          <w:sz w:val="20"/>
          <w:szCs w:val="20"/>
          <w:lang w:val="es-CR"/>
        </w:rPr>
        <w:t xml:space="preserve"> </w:t>
      </w:r>
      <w:bookmarkStart w:id="40" w:name="_Toc505877000"/>
      <w:r w:rsidR="00840206" w:rsidRPr="006A0A3F">
        <w:rPr>
          <w:rFonts w:ascii="Verdana" w:hAnsi="Verdana"/>
          <w:i/>
          <w:sz w:val="20"/>
          <w:szCs w:val="20"/>
          <w:lang w:val="es-CR"/>
        </w:rPr>
        <w:t>Acción</w:t>
      </w:r>
      <w:r w:rsidRPr="006A0A3F">
        <w:rPr>
          <w:rFonts w:ascii="Verdana" w:hAnsi="Verdana"/>
          <w:i/>
          <w:sz w:val="20"/>
          <w:szCs w:val="20"/>
          <w:lang w:val="es-CR"/>
        </w:rPr>
        <w:t xml:space="preserve"> de amparo constitucional</w:t>
      </w:r>
      <w:bookmarkEnd w:id="40"/>
      <w:r w:rsidRPr="006A0A3F">
        <w:rPr>
          <w:rFonts w:ascii="Verdana" w:hAnsi="Verdana"/>
          <w:i/>
          <w:sz w:val="20"/>
          <w:szCs w:val="20"/>
          <w:lang w:val="es-CR"/>
        </w:rPr>
        <w:t xml:space="preserve"> </w:t>
      </w:r>
    </w:p>
    <w:p w14:paraId="250E4EDE" w14:textId="77777777" w:rsidR="004575EF" w:rsidRPr="006A0A3F" w:rsidRDefault="004575EF" w:rsidP="00F96E4B">
      <w:pPr>
        <w:pBdr>
          <w:top w:val="nil"/>
        </w:pBdr>
        <w:autoSpaceDE w:val="0"/>
        <w:autoSpaceDN w:val="0"/>
        <w:adjustRightInd w:val="0"/>
        <w:spacing w:after="0" w:line="240" w:lineRule="auto"/>
        <w:jc w:val="both"/>
        <w:rPr>
          <w:rFonts w:ascii="Verdana" w:hAnsi="Verdana"/>
          <w:sz w:val="20"/>
        </w:rPr>
      </w:pPr>
    </w:p>
    <w:p w14:paraId="74A775E0" w14:textId="7875E80F" w:rsidR="00CB70A4" w:rsidRPr="006A0A3F" w:rsidRDefault="003A0CF7" w:rsidP="00CB70A4">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rPr>
        <w:t>En primer lugar, l</w:t>
      </w:r>
      <w:r w:rsidR="00F96E4B" w:rsidRPr="006A0A3F">
        <w:rPr>
          <w:rFonts w:ascii="Verdana" w:hAnsi="Verdana"/>
          <w:sz w:val="20"/>
        </w:rPr>
        <w:t xml:space="preserve">as partes han discutido si el recurso de amparo </w:t>
      </w:r>
      <w:r w:rsidR="00BC3879" w:rsidRPr="006A0A3F">
        <w:rPr>
          <w:rFonts w:ascii="Verdana" w:hAnsi="Verdana"/>
          <w:sz w:val="20"/>
          <w:szCs w:val="20"/>
        </w:rPr>
        <w:t xml:space="preserve">constitucional </w:t>
      </w:r>
      <w:r w:rsidR="00F96E4B" w:rsidRPr="006A0A3F">
        <w:rPr>
          <w:rFonts w:ascii="Verdana" w:hAnsi="Verdana"/>
          <w:sz w:val="20"/>
        </w:rPr>
        <w:t xml:space="preserve">era relevante o idóneo para </w:t>
      </w:r>
      <w:r w:rsidR="00CB70A4" w:rsidRPr="006A0A3F">
        <w:rPr>
          <w:rFonts w:ascii="Verdana" w:hAnsi="Verdana"/>
          <w:sz w:val="20"/>
        </w:rPr>
        <w:t xml:space="preserve">que las presuntas víctimas cuestionaran su situación o solicitaran la declaración </w:t>
      </w:r>
      <w:r w:rsidR="008567E7" w:rsidRPr="006A0A3F">
        <w:rPr>
          <w:rFonts w:ascii="Verdana" w:hAnsi="Verdana"/>
          <w:sz w:val="20"/>
        </w:rPr>
        <w:t xml:space="preserve">de violación de sus </w:t>
      </w:r>
      <w:r w:rsidR="00CB70A4" w:rsidRPr="006A0A3F">
        <w:rPr>
          <w:rFonts w:ascii="Verdana" w:hAnsi="Verdana"/>
          <w:sz w:val="20"/>
        </w:rPr>
        <w:t>derechos</w:t>
      </w:r>
      <w:r w:rsidR="00F9628A" w:rsidRPr="006A0A3F">
        <w:rPr>
          <w:rFonts w:ascii="Verdana" w:hAnsi="Verdana"/>
          <w:sz w:val="20"/>
        </w:rPr>
        <w:t>.</w:t>
      </w:r>
      <w:r w:rsidR="00BC3879" w:rsidRPr="006A0A3F">
        <w:rPr>
          <w:rFonts w:ascii="Verdana" w:hAnsi="Verdana"/>
          <w:sz w:val="20"/>
        </w:rPr>
        <w:t xml:space="preserve"> </w:t>
      </w:r>
      <w:r w:rsidR="00F9628A" w:rsidRPr="006A0A3F">
        <w:rPr>
          <w:rFonts w:ascii="Verdana" w:hAnsi="Verdana"/>
          <w:sz w:val="20"/>
        </w:rPr>
        <w:t>E</w:t>
      </w:r>
      <w:r w:rsidR="00BC3879" w:rsidRPr="006A0A3F">
        <w:rPr>
          <w:rFonts w:ascii="Verdana" w:hAnsi="Verdana"/>
          <w:sz w:val="20"/>
        </w:rPr>
        <w:t>l Estado sostuvo,</w:t>
      </w:r>
      <w:r w:rsidR="00F96E4B" w:rsidRPr="006A0A3F">
        <w:rPr>
          <w:rFonts w:ascii="Verdana" w:hAnsi="Verdana"/>
          <w:sz w:val="20"/>
        </w:rPr>
        <w:t xml:space="preserve"> </w:t>
      </w:r>
      <w:r w:rsidR="00BC3879" w:rsidRPr="006A0A3F">
        <w:rPr>
          <w:rFonts w:ascii="Verdana" w:hAnsi="Verdana"/>
          <w:sz w:val="20"/>
        </w:rPr>
        <w:t>p</w:t>
      </w:r>
      <w:r w:rsidR="00F96E4B" w:rsidRPr="006A0A3F">
        <w:rPr>
          <w:rFonts w:ascii="Verdana" w:hAnsi="Verdana"/>
          <w:sz w:val="20"/>
        </w:rPr>
        <w:t xml:space="preserve">or un </w:t>
      </w:r>
      <w:r w:rsidR="00CB70A4" w:rsidRPr="006A0A3F">
        <w:rPr>
          <w:rFonts w:ascii="Verdana" w:hAnsi="Verdana"/>
          <w:sz w:val="20"/>
        </w:rPr>
        <w:t xml:space="preserve">lado, </w:t>
      </w:r>
      <w:r w:rsidR="006E085D" w:rsidRPr="006A0A3F">
        <w:rPr>
          <w:rFonts w:ascii="Verdana" w:hAnsi="Verdana"/>
          <w:sz w:val="20"/>
        </w:rPr>
        <w:t xml:space="preserve">que la vía idónea era la </w:t>
      </w:r>
      <w:r w:rsidR="00CB70A4" w:rsidRPr="006A0A3F">
        <w:rPr>
          <w:rFonts w:ascii="Verdana" w:hAnsi="Verdana"/>
          <w:sz w:val="20"/>
        </w:rPr>
        <w:t xml:space="preserve">jurisdicción </w:t>
      </w:r>
      <w:r w:rsidR="00BC3879" w:rsidRPr="006A0A3F">
        <w:rPr>
          <w:rFonts w:ascii="Verdana" w:hAnsi="Verdana"/>
          <w:sz w:val="20"/>
        </w:rPr>
        <w:t>laboral ordinaria</w:t>
      </w:r>
      <w:r w:rsidR="00F9628A" w:rsidRPr="006A0A3F">
        <w:rPr>
          <w:rFonts w:ascii="Verdana" w:hAnsi="Verdana"/>
          <w:sz w:val="20"/>
        </w:rPr>
        <w:t>,</w:t>
      </w:r>
      <w:r w:rsidR="00BC3879" w:rsidRPr="006A0A3F">
        <w:rPr>
          <w:rFonts w:ascii="Verdana" w:hAnsi="Verdana"/>
          <w:sz w:val="20"/>
        </w:rPr>
        <w:t xml:space="preserve"> </w:t>
      </w:r>
      <w:r w:rsidR="00F9628A" w:rsidRPr="006A0A3F">
        <w:rPr>
          <w:rFonts w:ascii="Verdana" w:hAnsi="Verdana"/>
          <w:sz w:val="20"/>
        </w:rPr>
        <w:t>pues las presuntas víctimas eran contratadas por servicios con la administración y se regían por la Ley Orgánica del Trabajo. E</w:t>
      </w:r>
      <w:r w:rsidR="00CB70A4" w:rsidRPr="006A0A3F">
        <w:rPr>
          <w:rFonts w:ascii="Verdana" w:hAnsi="Verdana"/>
          <w:sz w:val="20"/>
          <w:szCs w:val="20"/>
        </w:rPr>
        <w:t>l representante</w:t>
      </w:r>
      <w:r w:rsidR="00BC3879" w:rsidRPr="006A0A3F">
        <w:rPr>
          <w:rFonts w:ascii="Verdana" w:hAnsi="Verdana"/>
          <w:sz w:val="20"/>
          <w:szCs w:val="20"/>
        </w:rPr>
        <w:t>, por su parte,</w:t>
      </w:r>
      <w:r w:rsidR="00CB70A4" w:rsidRPr="006A0A3F">
        <w:rPr>
          <w:rFonts w:ascii="Verdana" w:hAnsi="Verdana"/>
          <w:sz w:val="20"/>
          <w:szCs w:val="20"/>
        </w:rPr>
        <w:t xml:space="preserve"> </w:t>
      </w:r>
      <w:r w:rsidR="00BC3879" w:rsidRPr="006A0A3F">
        <w:rPr>
          <w:rFonts w:ascii="Verdana" w:hAnsi="Verdana"/>
          <w:sz w:val="20"/>
          <w:szCs w:val="20"/>
        </w:rPr>
        <w:t xml:space="preserve">alegó </w:t>
      </w:r>
      <w:r w:rsidR="00CB70A4" w:rsidRPr="006A0A3F">
        <w:rPr>
          <w:rFonts w:ascii="Verdana" w:hAnsi="Verdana"/>
          <w:sz w:val="20"/>
          <w:szCs w:val="20"/>
        </w:rPr>
        <w:t xml:space="preserve">que </w:t>
      </w:r>
      <w:r w:rsidRPr="006A0A3F">
        <w:rPr>
          <w:rFonts w:ascii="Verdana" w:hAnsi="Verdana"/>
          <w:sz w:val="20"/>
          <w:szCs w:val="20"/>
        </w:rPr>
        <w:t xml:space="preserve">este </w:t>
      </w:r>
      <w:r w:rsidR="00CB70A4" w:rsidRPr="006A0A3F">
        <w:rPr>
          <w:rFonts w:ascii="Verdana" w:hAnsi="Verdana"/>
          <w:sz w:val="20"/>
          <w:szCs w:val="20"/>
        </w:rPr>
        <w:t xml:space="preserve">recurso </w:t>
      </w:r>
      <w:r w:rsidRPr="006A0A3F">
        <w:rPr>
          <w:rFonts w:ascii="Verdana" w:hAnsi="Verdana"/>
          <w:sz w:val="20"/>
          <w:szCs w:val="20"/>
        </w:rPr>
        <w:t xml:space="preserve">era </w:t>
      </w:r>
      <w:r w:rsidR="00CB70A4" w:rsidRPr="006A0A3F">
        <w:rPr>
          <w:rFonts w:ascii="Verdana" w:hAnsi="Verdana"/>
          <w:sz w:val="20"/>
          <w:szCs w:val="20"/>
        </w:rPr>
        <w:t>inútil para lograr el restablecimiento de la situación jurídica infringida, pues no se estaba objetando un despido injustificado, sino la</w:t>
      </w:r>
      <w:r w:rsidRPr="006A0A3F">
        <w:rPr>
          <w:rFonts w:ascii="Verdana" w:hAnsi="Verdana"/>
          <w:sz w:val="20"/>
          <w:szCs w:val="20"/>
        </w:rPr>
        <w:t xml:space="preserve"> alegada</w:t>
      </w:r>
      <w:r w:rsidR="00CB70A4" w:rsidRPr="006A0A3F">
        <w:rPr>
          <w:rFonts w:ascii="Verdana" w:hAnsi="Verdana"/>
          <w:sz w:val="20"/>
          <w:szCs w:val="20"/>
        </w:rPr>
        <w:t xml:space="preserve"> persecución y discriminación política de </w:t>
      </w:r>
      <w:r w:rsidR="00E90F0F" w:rsidRPr="006A0A3F">
        <w:rPr>
          <w:rFonts w:ascii="Verdana" w:hAnsi="Verdana"/>
          <w:sz w:val="20"/>
          <w:szCs w:val="20"/>
        </w:rPr>
        <w:t>la</w:t>
      </w:r>
      <w:r w:rsidR="007C51D0" w:rsidRPr="006A0A3F">
        <w:rPr>
          <w:rFonts w:ascii="Verdana" w:hAnsi="Verdana"/>
          <w:sz w:val="20"/>
          <w:szCs w:val="20"/>
        </w:rPr>
        <w:t>s</w:t>
      </w:r>
      <w:r w:rsidR="00E90F0F" w:rsidRPr="006A0A3F">
        <w:rPr>
          <w:rFonts w:ascii="Verdana" w:hAnsi="Verdana"/>
          <w:sz w:val="20"/>
          <w:szCs w:val="20"/>
        </w:rPr>
        <w:t xml:space="preserve"> cual</w:t>
      </w:r>
      <w:r w:rsidR="007C51D0" w:rsidRPr="006A0A3F">
        <w:rPr>
          <w:rFonts w:ascii="Verdana" w:hAnsi="Verdana"/>
          <w:sz w:val="20"/>
          <w:szCs w:val="20"/>
        </w:rPr>
        <w:t>es</w:t>
      </w:r>
      <w:r w:rsidR="00E90F0F" w:rsidRPr="006A0A3F">
        <w:rPr>
          <w:rFonts w:ascii="Verdana" w:hAnsi="Verdana"/>
          <w:sz w:val="20"/>
          <w:szCs w:val="20"/>
        </w:rPr>
        <w:t xml:space="preserve"> </w:t>
      </w:r>
      <w:r w:rsidR="00066DFA" w:rsidRPr="006A0A3F">
        <w:rPr>
          <w:rFonts w:ascii="Verdana" w:hAnsi="Verdana"/>
          <w:sz w:val="20"/>
          <w:szCs w:val="20"/>
        </w:rPr>
        <w:t xml:space="preserve">ellas </w:t>
      </w:r>
      <w:r w:rsidR="00CB70A4" w:rsidRPr="006A0A3F">
        <w:rPr>
          <w:rFonts w:ascii="Verdana" w:hAnsi="Verdana"/>
          <w:sz w:val="20"/>
          <w:szCs w:val="20"/>
        </w:rPr>
        <w:t xml:space="preserve">fueron objeto, </w:t>
      </w:r>
      <w:r w:rsidR="00BC3879" w:rsidRPr="006A0A3F">
        <w:rPr>
          <w:rFonts w:ascii="Verdana" w:hAnsi="Verdana"/>
          <w:sz w:val="20"/>
          <w:szCs w:val="20"/>
        </w:rPr>
        <w:t>que en efecto</w:t>
      </w:r>
      <w:r w:rsidR="00CB70A4" w:rsidRPr="006A0A3F">
        <w:rPr>
          <w:rFonts w:ascii="Verdana" w:hAnsi="Verdana"/>
          <w:sz w:val="20"/>
          <w:szCs w:val="20"/>
        </w:rPr>
        <w:t xml:space="preserve"> tuvo consecuencias laborales, </w:t>
      </w:r>
      <w:r w:rsidR="00F9628A" w:rsidRPr="006A0A3F">
        <w:rPr>
          <w:rFonts w:ascii="Verdana" w:hAnsi="Verdana"/>
          <w:sz w:val="20"/>
          <w:szCs w:val="20"/>
        </w:rPr>
        <w:t>por lo cual la única vía idónea era el amparo</w:t>
      </w:r>
      <w:r w:rsidRPr="006A0A3F">
        <w:rPr>
          <w:rFonts w:ascii="Verdana" w:hAnsi="Verdana"/>
          <w:sz w:val="20"/>
          <w:szCs w:val="20"/>
        </w:rPr>
        <w:t>. En segundo lugar</w:t>
      </w:r>
      <w:r w:rsidR="00CB70A4" w:rsidRPr="006A0A3F">
        <w:rPr>
          <w:rFonts w:ascii="Verdana" w:hAnsi="Verdana"/>
          <w:sz w:val="20"/>
          <w:szCs w:val="20"/>
        </w:rPr>
        <w:t>,</w:t>
      </w:r>
      <w:r w:rsidRPr="006A0A3F">
        <w:rPr>
          <w:rFonts w:ascii="Verdana" w:hAnsi="Verdana"/>
          <w:sz w:val="20"/>
          <w:szCs w:val="20"/>
        </w:rPr>
        <w:t xml:space="preserve"> </w:t>
      </w:r>
      <w:r w:rsidR="00BC3879" w:rsidRPr="006A0A3F">
        <w:rPr>
          <w:rFonts w:ascii="Verdana" w:hAnsi="Verdana"/>
          <w:sz w:val="20"/>
          <w:szCs w:val="20"/>
        </w:rPr>
        <w:t xml:space="preserve">se alegó que el amparo </w:t>
      </w:r>
      <w:r w:rsidR="00F72570">
        <w:rPr>
          <w:rFonts w:ascii="Verdana" w:hAnsi="Verdana"/>
          <w:sz w:val="20"/>
          <w:szCs w:val="20"/>
        </w:rPr>
        <w:t xml:space="preserve">no fue efectivo y </w:t>
      </w:r>
      <w:r w:rsidR="00BC3879" w:rsidRPr="006A0A3F">
        <w:rPr>
          <w:rFonts w:ascii="Verdana" w:hAnsi="Verdana"/>
          <w:sz w:val="20"/>
          <w:szCs w:val="20"/>
        </w:rPr>
        <w:t>fue</w:t>
      </w:r>
      <w:r w:rsidR="00CB70A4" w:rsidRPr="006A0A3F">
        <w:rPr>
          <w:rFonts w:ascii="Verdana" w:hAnsi="Verdana"/>
          <w:sz w:val="20"/>
          <w:szCs w:val="20"/>
        </w:rPr>
        <w:t xml:space="preserve"> decidido con excesivo </w:t>
      </w:r>
      <w:r w:rsidR="00BC3879" w:rsidRPr="006A0A3F">
        <w:rPr>
          <w:rFonts w:ascii="Verdana" w:hAnsi="Verdana"/>
          <w:sz w:val="20"/>
          <w:szCs w:val="20"/>
        </w:rPr>
        <w:t>o injustificado retardo, en violación de la garantía del plazo razonable.</w:t>
      </w:r>
    </w:p>
    <w:p w14:paraId="58387E6D" w14:textId="77777777" w:rsidR="00CB70A4" w:rsidRPr="006A0A3F" w:rsidRDefault="00CB70A4" w:rsidP="00CB70A4">
      <w:pPr>
        <w:pBdr>
          <w:top w:val="nil"/>
        </w:pBdr>
        <w:autoSpaceDE w:val="0"/>
        <w:autoSpaceDN w:val="0"/>
        <w:adjustRightInd w:val="0"/>
        <w:spacing w:after="0" w:line="240" w:lineRule="auto"/>
        <w:jc w:val="both"/>
        <w:rPr>
          <w:rFonts w:ascii="Verdana" w:hAnsi="Verdana"/>
          <w:sz w:val="20"/>
        </w:rPr>
      </w:pPr>
    </w:p>
    <w:p w14:paraId="1329D1D8" w14:textId="4F0F19CD" w:rsidR="00237DC3" w:rsidRPr="006A0A3F" w:rsidRDefault="00237DC3" w:rsidP="00237DC3">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El artículo 25.1 de la Convención establece, en términos amplios, la obligación a cargo de los Estados de ofrecer, a todas </w:t>
      </w:r>
      <w:r w:rsidRPr="006A0A3F">
        <w:rPr>
          <w:rFonts w:ascii="Verdana" w:hAnsi="Verdana" w:cs="Calibri"/>
          <w:sz w:val="20"/>
          <w:szCs w:val="20"/>
        </w:rPr>
        <w:t>las</w:t>
      </w:r>
      <w:r w:rsidRPr="006A0A3F">
        <w:rPr>
          <w:rFonts w:ascii="Verdana" w:hAnsi="Verdana"/>
          <w:sz w:val="20"/>
          <w:szCs w:val="20"/>
        </w:rPr>
        <w:t xml:space="preserve"> personas sometidas a su jurisdicción, un recurso judicial efectivo contra actos violatorios de sus derechos fundamentales</w:t>
      </w:r>
      <w:r w:rsidRPr="006A0A3F">
        <w:rPr>
          <w:rStyle w:val="FootnoteReference"/>
          <w:rFonts w:ascii="Verdana" w:hAnsi="Verdana"/>
          <w:sz w:val="20"/>
          <w:szCs w:val="20"/>
        </w:rPr>
        <w:footnoteReference w:id="227"/>
      </w:r>
      <w:r w:rsidRPr="006A0A3F">
        <w:rPr>
          <w:rFonts w:ascii="Verdana" w:hAnsi="Verdana"/>
          <w:sz w:val="20"/>
          <w:szCs w:val="20"/>
        </w:rPr>
        <w:t xml:space="preserve">. Además, los Estados tienen la responsabilidad de establecer </w:t>
      </w:r>
      <w:r w:rsidRPr="006A0A3F">
        <w:rPr>
          <w:rFonts w:ascii="Verdana" w:hAnsi="Verdana" w:cs="Verdana"/>
          <w:sz w:val="20"/>
          <w:szCs w:val="20"/>
        </w:rPr>
        <w:t>normativamente</w:t>
      </w:r>
      <w:r w:rsidRPr="006A0A3F">
        <w:rPr>
          <w:rFonts w:ascii="Verdana" w:hAnsi="Verdana"/>
          <w:sz w:val="20"/>
          <w:szCs w:val="20"/>
        </w:rPr>
        <w:t xml:space="preserve"> y asegurar la debida aplicación de los recursos efectivos y de las garantías del debido proceso legal por parte de las autoridades competentes, que amparen a las personas bajo su jurisdicción contra actos que violen sus derechos fundamentales o que conlleven a la determinación de los derechos y obligaciones de éstas</w:t>
      </w:r>
      <w:r w:rsidRPr="006A0A3F">
        <w:rPr>
          <w:rStyle w:val="FootnoteReference"/>
          <w:rFonts w:ascii="Verdana" w:hAnsi="Verdana"/>
          <w:iCs/>
          <w:sz w:val="20"/>
          <w:szCs w:val="20"/>
        </w:rPr>
        <w:footnoteReference w:id="228"/>
      </w:r>
      <w:r w:rsidRPr="006A0A3F">
        <w:rPr>
          <w:rFonts w:ascii="Verdana" w:hAnsi="Verdana"/>
          <w:sz w:val="20"/>
          <w:szCs w:val="20"/>
        </w:rPr>
        <w:t xml:space="preserve">. </w:t>
      </w:r>
      <w:r w:rsidR="001F189B" w:rsidRPr="006A0A3F">
        <w:rPr>
          <w:rFonts w:ascii="Verdana" w:hAnsi="Verdana"/>
          <w:sz w:val="20"/>
          <w:szCs w:val="20"/>
        </w:rPr>
        <w:t>La Corte considera pertinente analizar la acción de amparo intentada en este caso bajo el artículo 25 de la Convención</w:t>
      </w:r>
      <w:r w:rsidR="001F189B" w:rsidRPr="006A0A3F">
        <w:rPr>
          <w:rStyle w:val="FootnoteReference"/>
          <w:rFonts w:ascii="Verdana" w:hAnsi="Verdana"/>
          <w:sz w:val="20"/>
          <w:szCs w:val="20"/>
        </w:rPr>
        <w:footnoteReference w:id="229"/>
      </w:r>
      <w:r w:rsidR="001F189B" w:rsidRPr="006A0A3F">
        <w:rPr>
          <w:rFonts w:ascii="Verdana" w:hAnsi="Verdana"/>
          <w:sz w:val="20"/>
          <w:szCs w:val="20"/>
        </w:rPr>
        <w:t>.</w:t>
      </w:r>
    </w:p>
    <w:p w14:paraId="1C792D04" w14:textId="77777777" w:rsidR="00237DC3" w:rsidRPr="006A0A3F" w:rsidRDefault="00237DC3" w:rsidP="00CB70A4">
      <w:pPr>
        <w:pBdr>
          <w:top w:val="nil"/>
        </w:pBdr>
        <w:autoSpaceDE w:val="0"/>
        <w:autoSpaceDN w:val="0"/>
        <w:adjustRightInd w:val="0"/>
        <w:spacing w:after="0" w:line="240" w:lineRule="auto"/>
        <w:jc w:val="both"/>
        <w:rPr>
          <w:rFonts w:ascii="Verdana" w:hAnsi="Verdana"/>
          <w:sz w:val="20"/>
        </w:rPr>
      </w:pPr>
    </w:p>
    <w:p w14:paraId="5E70E7CF" w14:textId="31328149" w:rsidR="000442E2" w:rsidRPr="006A0A3F" w:rsidRDefault="00CB70A4" w:rsidP="00593F2C">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Al reiterar que en este </w:t>
      </w:r>
      <w:r w:rsidR="00862F2B" w:rsidRPr="006A0A3F">
        <w:rPr>
          <w:rFonts w:ascii="Verdana" w:hAnsi="Verdana"/>
          <w:sz w:val="20"/>
        </w:rPr>
        <w:t>caso</w:t>
      </w:r>
      <w:r w:rsidRPr="006A0A3F">
        <w:rPr>
          <w:rFonts w:ascii="Verdana" w:hAnsi="Verdana"/>
          <w:sz w:val="20"/>
        </w:rPr>
        <w:t xml:space="preserve"> no se está discutiendo tema </w:t>
      </w:r>
      <w:r w:rsidR="00F9628A" w:rsidRPr="006A0A3F">
        <w:rPr>
          <w:rFonts w:ascii="Verdana" w:hAnsi="Verdana"/>
          <w:sz w:val="20"/>
        </w:rPr>
        <w:t xml:space="preserve">alguno sobre </w:t>
      </w:r>
      <w:r w:rsidRPr="006A0A3F">
        <w:rPr>
          <w:rFonts w:ascii="Verdana" w:hAnsi="Verdana"/>
          <w:sz w:val="20"/>
        </w:rPr>
        <w:t>agotamiento de recursos internos (</w:t>
      </w:r>
      <w:r w:rsidRPr="006A0A3F">
        <w:rPr>
          <w:rFonts w:ascii="Verdana" w:hAnsi="Verdana"/>
          <w:i/>
          <w:sz w:val="20"/>
        </w:rPr>
        <w:t xml:space="preserve">supra </w:t>
      </w:r>
      <w:r w:rsidR="00862F2B" w:rsidRPr="006A0A3F">
        <w:rPr>
          <w:rFonts w:ascii="Verdana" w:hAnsi="Verdana"/>
          <w:sz w:val="20"/>
        </w:rPr>
        <w:t>párr. 17</w:t>
      </w:r>
      <w:r w:rsidRPr="006A0A3F">
        <w:rPr>
          <w:rFonts w:ascii="Verdana" w:hAnsi="Verdana"/>
          <w:sz w:val="20"/>
        </w:rPr>
        <w:t xml:space="preserve">), </w:t>
      </w:r>
      <w:r w:rsidR="00DC4D18" w:rsidRPr="006A0A3F">
        <w:rPr>
          <w:rFonts w:ascii="Verdana" w:hAnsi="Verdana"/>
          <w:sz w:val="20"/>
        </w:rPr>
        <w:t xml:space="preserve">el Tribunal ha considerado reiteradamente que la obligación del artículo 25 de la Convención supone que el recurso sea “adecuado”, lo cual significa que la función de éste dentro del sistema del derecho interno debe ser “idónea” para proteger la situación jurídica </w:t>
      </w:r>
      <w:r w:rsidR="00DC4D18" w:rsidRPr="006A0A3F">
        <w:rPr>
          <w:rFonts w:ascii="Verdana" w:hAnsi="Verdana"/>
          <w:sz w:val="20"/>
          <w:szCs w:val="20"/>
        </w:rPr>
        <w:t>infringida</w:t>
      </w:r>
      <w:r w:rsidR="00DC4D18" w:rsidRPr="006A0A3F">
        <w:rPr>
          <w:rStyle w:val="FootnoteReference"/>
          <w:rFonts w:ascii="Verdana" w:hAnsi="Verdana"/>
          <w:sz w:val="20"/>
          <w:szCs w:val="20"/>
        </w:rPr>
        <w:footnoteReference w:id="230"/>
      </w:r>
      <w:r w:rsidR="00B20031" w:rsidRPr="006A0A3F">
        <w:rPr>
          <w:rFonts w:ascii="Verdana" w:hAnsi="Verdana"/>
          <w:sz w:val="20"/>
          <w:szCs w:val="20"/>
        </w:rPr>
        <w:t>,</w:t>
      </w:r>
      <w:r w:rsidR="00DC4D18" w:rsidRPr="006A0A3F">
        <w:rPr>
          <w:rFonts w:ascii="Verdana" w:hAnsi="Verdana"/>
          <w:sz w:val="20"/>
          <w:szCs w:val="20"/>
        </w:rPr>
        <w:t xml:space="preserve"> que sea efectiva su aplicación por la autoridad competente</w:t>
      </w:r>
      <w:r w:rsidR="00DC4D18" w:rsidRPr="006A0A3F">
        <w:rPr>
          <w:rStyle w:val="FootnoteReference"/>
          <w:rFonts w:ascii="Verdana" w:hAnsi="Verdana"/>
          <w:sz w:val="20"/>
          <w:szCs w:val="20"/>
        </w:rPr>
        <w:footnoteReference w:id="231"/>
      </w:r>
      <w:r w:rsidR="00B20031" w:rsidRPr="006A0A3F">
        <w:rPr>
          <w:rFonts w:ascii="Verdana" w:hAnsi="Verdana"/>
          <w:sz w:val="20"/>
          <w:szCs w:val="20"/>
        </w:rPr>
        <w:t xml:space="preserve"> y </w:t>
      </w:r>
      <w:r w:rsidR="00B20031" w:rsidRPr="006A0A3F">
        <w:rPr>
          <w:rFonts w:ascii="Verdana" w:hAnsi="Verdana"/>
          <w:sz w:val="20"/>
          <w:szCs w:val="20"/>
        </w:rPr>
        <w:lastRenderedPageBreak/>
        <w:t>proveer lo necesario para remediarla</w:t>
      </w:r>
      <w:r w:rsidR="00B20031" w:rsidRPr="006A0A3F">
        <w:rPr>
          <w:rStyle w:val="FootnoteReference"/>
          <w:rFonts w:ascii="Verdana" w:hAnsi="Verdana"/>
          <w:sz w:val="20"/>
          <w:szCs w:val="20"/>
        </w:rPr>
        <w:footnoteReference w:id="232"/>
      </w:r>
      <w:r w:rsidR="00DC4D18" w:rsidRPr="006A0A3F">
        <w:rPr>
          <w:rFonts w:ascii="Verdana" w:hAnsi="Verdana"/>
          <w:sz w:val="20"/>
          <w:szCs w:val="20"/>
        </w:rPr>
        <w:t xml:space="preserve">. </w:t>
      </w:r>
      <w:r w:rsidR="000B2314" w:rsidRPr="006A0A3F">
        <w:rPr>
          <w:rFonts w:ascii="Verdana" w:hAnsi="Verdana"/>
          <w:sz w:val="20"/>
          <w:szCs w:val="20"/>
        </w:rPr>
        <w:t>La</w:t>
      </w:r>
      <w:r w:rsidR="000B2314" w:rsidRPr="006A0A3F">
        <w:rPr>
          <w:rFonts w:ascii="Verdana" w:hAnsi="Verdana"/>
          <w:sz w:val="20"/>
        </w:rPr>
        <w:t xml:space="preserve"> cuestión sustantiva </w:t>
      </w:r>
      <w:r w:rsidR="008C1229" w:rsidRPr="006A0A3F">
        <w:rPr>
          <w:rFonts w:ascii="Verdana" w:hAnsi="Verdana"/>
          <w:sz w:val="20"/>
        </w:rPr>
        <w:t xml:space="preserve">relevante </w:t>
      </w:r>
      <w:r w:rsidR="00F72570">
        <w:rPr>
          <w:rFonts w:ascii="Verdana" w:hAnsi="Verdana"/>
          <w:sz w:val="20"/>
        </w:rPr>
        <w:t xml:space="preserve">en este caso </w:t>
      </w:r>
      <w:r w:rsidR="008C1229" w:rsidRPr="006A0A3F">
        <w:rPr>
          <w:rFonts w:ascii="Verdana" w:hAnsi="Verdana"/>
          <w:sz w:val="20"/>
        </w:rPr>
        <w:t xml:space="preserve">es si </w:t>
      </w:r>
      <w:r w:rsidR="00DC4D18" w:rsidRPr="006A0A3F">
        <w:rPr>
          <w:rFonts w:ascii="Verdana" w:hAnsi="Verdana"/>
          <w:sz w:val="20"/>
        </w:rPr>
        <w:t xml:space="preserve">la </w:t>
      </w:r>
      <w:r w:rsidR="008C1229" w:rsidRPr="006A0A3F">
        <w:rPr>
          <w:rFonts w:ascii="Verdana" w:hAnsi="Verdana"/>
          <w:sz w:val="20"/>
        </w:rPr>
        <w:t>vía</w:t>
      </w:r>
      <w:r w:rsidR="00593F2C" w:rsidRPr="006A0A3F">
        <w:rPr>
          <w:rFonts w:ascii="Verdana" w:hAnsi="Verdana"/>
          <w:sz w:val="20"/>
        </w:rPr>
        <w:t xml:space="preserve"> </w:t>
      </w:r>
      <w:r w:rsidR="00DC4D18" w:rsidRPr="006A0A3F">
        <w:rPr>
          <w:rFonts w:ascii="Verdana" w:hAnsi="Verdana"/>
          <w:sz w:val="20"/>
        </w:rPr>
        <w:t xml:space="preserve">del amparo </w:t>
      </w:r>
      <w:r w:rsidR="008C1229" w:rsidRPr="006A0A3F">
        <w:rPr>
          <w:rFonts w:ascii="Verdana" w:hAnsi="Verdana"/>
          <w:sz w:val="20"/>
        </w:rPr>
        <w:t xml:space="preserve">podía y debía </w:t>
      </w:r>
      <w:r w:rsidR="000B2314" w:rsidRPr="006A0A3F">
        <w:rPr>
          <w:rFonts w:ascii="Verdana" w:hAnsi="Verdana"/>
          <w:sz w:val="20"/>
        </w:rPr>
        <w:t>responder efectivamente a alegada</w:t>
      </w:r>
      <w:r w:rsidR="00E84C14">
        <w:rPr>
          <w:rFonts w:ascii="Verdana" w:hAnsi="Verdana"/>
          <w:sz w:val="20"/>
        </w:rPr>
        <w:t>s formas de</w:t>
      </w:r>
      <w:r w:rsidR="000B2314" w:rsidRPr="006A0A3F">
        <w:rPr>
          <w:rFonts w:ascii="Verdana" w:hAnsi="Verdana"/>
          <w:sz w:val="20"/>
        </w:rPr>
        <w:t xml:space="preserve"> discriminación encubierta</w:t>
      </w:r>
      <w:r w:rsidR="00C01DE5" w:rsidRPr="006A0A3F">
        <w:rPr>
          <w:rFonts w:ascii="Verdana" w:hAnsi="Verdana"/>
          <w:sz w:val="20"/>
        </w:rPr>
        <w:t>, persecución polí</w:t>
      </w:r>
      <w:r w:rsidR="008567E7" w:rsidRPr="006A0A3F">
        <w:rPr>
          <w:rFonts w:ascii="Verdana" w:hAnsi="Verdana"/>
          <w:sz w:val="20"/>
        </w:rPr>
        <w:t>t</w:t>
      </w:r>
      <w:r w:rsidR="00C01DE5" w:rsidRPr="006A0A3F">
        <w:rPr>
          <w:rFonts w:ascii="Verdana" w:hAnsi="Verdana"/>
          <w:sz w:val="20"/>
        </w:rPr>
        <w:t>ica</w:t>
      </w:r>
      <w:r w:rsidR="000B2314" w:rsidRPr="006A0A3F">
        <w:rPr>
          <w:rFonts w:ascii="Verdana" w:hAnsi="Verdana"/>
          <w:sz w:val="20"/>
        </w:rPr>
        <w:t xml:space="preserve"> o desviación de poder en el ejercicio del poder público.</w:t>
      </w:r>
      <w:r w:rsidR="008C1229" w:rsidRPr="006A0A3F">
        <w:rPr>
          <w:rFonts w:ascii="Verdana" w:hAnsi="Verdana"/>
          <w:sz w:val="20"/>
        </w:rPr>
        <w:t xml:space="preserve"> </w:t>
      </w:r>
    </w:p>
    <w:p w14:paraId="5AA14CC4" w14:textId="77777777" w:rsidR="000442E2" w:rsidRPr="006A0A3F" w:rsidRDefault="000442E2" w:rsidP="000442E2">
      <w:pPr>
        <w:pStyle w:val="ListParagraph"/>
        <w:rPr>
          <w:rFonts w:ascii="Verdana" w:hAnsi="Verdana"/>
          <w:sz w:val="20"/>
          <w:lang w:val="es-CR"/>
        </w:rPr>
      </w:pPr>
    </w:p>
    <w:p w14:paraId="451CE1F1" w14:textId="50A180B9" w:rsidR="00C8356D" w:rsidRPr="006A0A3F" w:rsidRDefault="008C1229" w:rsidP="00593F2C">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En efecto, al interponer la demanda de amparo en </w:t>
      </w:r>
      <w:r w:rsidRPr="006A0A3F">
        <w:rPr>
          <w:rFonts w:ascii="Verdana" w:hAnsi="Verdana"/>
          <w:sz w:val="20"/>
          <w:szCs w:val="20"/>
        </w:rPr>
        <w:t xml:space="preserve">julio de 2004, las presuntas víctimas alegaron </w:t>
      </w:r>
      <w:r w:rsidR="00B20FB0" w:rsidRPr="006A0A3F">
        <w:rPr>
          <w:rFonts w:ascii="Verdana" w:hAnsi="Verdana"/>
          <w:sz w:val="20"/>
          <w:szCs w:val="20"/>
        </w:rPr>
        <w:t xml:space="preserve">“hechos </w:t>
      </w:r>
      <w:r w:rsidRPr="006A0A3F">
        <w:rPr>
          <w:rFonts w:ascii="Verdana" w:hAnsi="Verdana"/>
          <w:sz w:val="20"/>
          <w:szCs w:val="20"/>
        </w:rPr>
        <w:t>de discriminación</w:t>
      </w:r>
      <w:r w:rsidR="00B20FB0" w:rsidRPr="006A0A3F">
        <w:rPr>
          <w:rFonts w:ascii="Verdana" w:hAnsi="Verdana"/>
          <w:sz w:val="20"/>
          <w:szCs w:val="20"/>
        </w:rPr>
        <w:t xml:space="preserve"> en el trabajo expr</w:t>
      </w:r>
      <w:r w:rsidR="006E3384" w:rsidRPr="006A0A3F">
        <w:rPr>
          <w:rFonts w:ascii="Verdana" w:hAnsi="Verdana"/>
          <w:sz w:val="20"/>
          <w:szCs w:val="20"/>
        </w:rPr>
        <w:t>esamente prohibidos”;</w:t>
      </w:r>
      <w:r w:rsidR="00B20FB0" w:rsidRPr="006A0A3F">
        <w:rPr>
          <w:rFonts w:ascii="Verdana" w:hAnsi="Verdana"/>
          <w:sz w:val="20"/>
          <w:szCs w:val="20"/>
        </w:rPr>
        <w:t xml:space="preserve"> que la terminación de los contratos “se produce por la razón política de haber firmado contra el Presidente de la República”</w:t>
      </w:r>
      <w:r w:rsidR="000442E2" w:rsidRPr="006A0A3F">
        <w:rPr>
          <w:rFonts w:ascii="Verdana" w:hAnsi="Verdana"/>
          <w:sz w:val="20"/>
          <w:szCs w:val="20"/>
        </w:rPr>
        <w:t xml:space="preserve">; que los “hechos constituyeron en su conjunto actos de discriminación política [en su] contra”; y que lo que se denunciaba “no es un despido injustificado sino una actuación inconstitucional de un órgano de la administración pública […] que culminó violando </w:t>
      </w:r>
      <w:r w:rsidR="006E3384" w:rsidRPr="006A0A3F">
        <w:rPr>
          <w:rFonts w:ascii="Verdana" w:hAnsi="Verdana"/>
          <w:sz w:val="20"/>
          <w:szCs w:val="20"/>
        </w:rPr>
        <w:t xml:space="preserve">[sus] </w:t>
      </w:r>
      <w:r w:rsidR="000442E2" w:rsidRPr="006A0A3F">
        <w:rPr>
          <w:rFonts w:ascii="Verdana" w:hAnsi="Verdana"/>
          <w:sz w:val="20"/>
          <w:szCs w:val="20"/>
        </w:rPr>
        <w:t xml:space="preserve">derechos constitucionales”. Solicitaron entonces la restitución de los derechos que consideraban vulnerados por el </w:t>
      </w:r>
      <w:r w:rsidR="00FB69D0">
        <w:rPr>
          <w:rFonts w:ascii="Verdana" w:hAnsi="Verdana"/>
          <w:sz w:val="20"/>
          <w:szCs w:val="20"/>
        </w:rPr>
        <w:t>Consejo Nacional de Fronteras</w:t>
      </w:r>
      <w:r w:rsidR="000442E2" w:rsidRPr="006A0A3F">
        <w:rPr>
          <w:rFonts w:ascii="Verdana" w:hAnsi="Verdana"/>
          <w:sz w:val="20"/>
          <w:szCs w:val="20"/>
        </w:rPr>
        <w:t xml:space="preserve"> y, en consecuencia, que se les permitiera</w:t>
      </w:r>
      <w:r w:rsidR="00C8356D" w:rsidRPr="006A0A3F">
        <w:rPr>
          <w:rFonts w:ascii="Verdana" w:hAnsi="Verdana"/>
          <w:sz w:val="20"/>
          <w:szCs w:val="20"/>
        </w:rPr>
        <w:t xml:space="preserve"> “retornar a sus puestos de trabajo en las mismas condiciones”, así como que se ordenara a dicho órgano que se “</w:t>
      </w:r>
      <w:proofErr w:type="spellStart"/>
      <w:proofErr w:type="gramStart"/>
      <w:r w:rsidR="00C8356D" w:rsidRPr="006A0A3F">
        <w:rPr>
          <w:rFonts w:ascii="Verdana" w:hAnsi="Verdana"/>
          <w:sz w:val="20"/>
          <w:szCs w:val="20"/>
        </w:rPr>
        <w:t>abst</w:t>
      </w:r>
      <w:proofErr w:type="spellEnd"/>
      <w:r w:rsidR="00C8356D" w:rsidRPr="006A0A3F">
        <w:rPr>
          <w:rFonts w:ascii="Verdana" w:hAnsi="Verdana"/>
          <w:sz w:val="20"/>
          <w:szCs w:val="20"/>
        </w:rPr>
        <w:t>[</w:t>
      </w:r>
      <w:proofErr w:type="spellStart"/>
      <w:proofErr w:type="gramEnd"/>
      <w:r w:rsidR="00C8356D" w:rsidRPr="006A0A3F">
        <w:rPr>
          <w:rFonts w:ascii="Verdana" w:hAnsi="Verdana"/>
          <w:sz w:val="20"/>
          <w:szCs w:val="20"/>
        </w:rPr>
        <w:t>uviera</w:t>
      </w:r>
      <w:proofErr w:type="spellEnd"/>
      <w:r w:rsidR="00C8356D" w:rsidRPr="006A0A3F">
        <w:rPr>
          <w:rFonts w:ascii="Verdana" w:hAnsi="Verdana"/>
          <w:sz w:val="20"/>
          <w:szCs w:val="20"/>
        </w:rPr>
        <w:t xml:space="preserve">] de adoptar alguna medida que implique discriminar a las agraviadas […] por el hecho de acudir ante los órganos de administración de justicia”. </w:t>
      </w:r>
    </w:p>
    <w:p w14:paraId="32AA30E9" w14:textId="77777777" w:rsidR="00C8356D" w:rsidRPr="006A0A3F" w:rsidRDefault="00C8356D" w:rsidP="00C8356D">
      <w:pPr>
        <w:pBdr>
          <w:top w:val="nil"/>
        </w:pBdr>
        <w:autoSpaceDE w:val="0"/>
        <w:autoSpaceDN w:val="0"/>
        <w:adjustRightInd w:val="0"/>
        <w:spacing w:after="0" w:line="240" w:lineRule="auto"/>
        <w:jc w:val="both"/>
        <w:rPr>
          <w:rFonts w:ascii="Verdana" w:hAnsi="Verdana"/>
          <w:sz w:val="20"/>
        </w:rPr>
      </w:pPr>
    </w:p>
    <w:p w14:paraId="056260A4" w14:textId="6AC7D8B1" w:rsidR="00593F2C" w:rsidRPr="006A0A3F" w:rsidRDefault="000442E2" w:rsidP="00593F2C">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szCs w:val="20"/>
        </w:rPr>
        <w:t>En este sentido</w:t>
      </w:r>
      <w:r w:rsidR="00593F2C" w:rsidRPr="006A0A3F">
        <w:rPr>
          <w:rFonts w:ascii="Verdana" w:hAnsi="Verdana"/>
          <w:sz w:val="20"/>
          <w:szCs w:val="20"/>
        </w:rPr>
        <w:t xml:space="preserve">, </w:t>
      </w:r>
      <w:r w:rsidR="00B20FB0" w:rsidRPr="006A0A3F">
        <w:rPr>
          <w:rFonts w:ascii="Verdana" w:hAnsi="Verdana"/>
          <w:sz w:val="20"/>
          <w:szCs w:val="20"/>
        </w:rPr>
        <w:t xml:space="preserve">el Estado </w:t>
      </w:r>
      <w:r w:rsidRPr="006A0A3F">
        <w:rPr>
          <w:rFonts w:ascii="Verdana" w:hAnsi="Verdana"/>
          <w:sz w:val="20"/>
          <w:szCs w:val="20"/>
        </w:rPr>
        <w:t xml:space="preserve">alegó que, de la lectura del artículo 14 del Reglamento de la Ley Orgánica del Trabajo, </w:t>
      </w:r>
      <w:r w:rsidR="00C8356D" w:rsidRPr="006A0A3F">
        <w:rPr>
          <w:rFonts w:ascii="Verdana" w:hAnsi="Verdana"/>
          <w:sz w:val="20"/>
          <w:szCs w:val="20"/>
        </w:rPr>
        <w:t xml:space="preserve">se desprende que </w:t>
      </w:r>
      <w:r w:rsidR="00593F2C" w:rsidRPr="006A0A3F">
        <w:rPr>
          <w:rFonts w:ascii="Verdana" w:hAnsi="Verdana"/>
          <w:sz w:val="20"/>
          <w:szCs w:val="20"/>
        </w:rPr>
        <w:t xml:space="preserve">la acción de amparo </w:t>
      </w:r>
      <w:r w:rsidR="00C8356D" w:rsidRPr="006A0A3F">
        <w:rPr>
          <w:rFonts w:ascii="Verdana" w:hAnsi="Verdana"/>
          <w:sz w:val="20"/>
          <w:szCs w:val="20"/>
        </w:rPr>
        <w:t>–</w:t>
      </w:r>
      <w:r w:rsidR="00593F2C" w:rsidRPr="006A0A3F">
        <w:rPr>
          <w:rFonts w:ascii="Verdana" w:hAnsi="Verdana"/>
          <w:sz w:val="20"/>
          <w:szCs w:val="20"/>
        </w:rPr>
        <w:t xml:space="preserve">como </w:t>
      </w:r>
      <w:r w:rsidR="006B7AD9" w:rsidRPr="006A0A3F">
        <w:rPr>
          <w:rFonts w:ascii="Verdana" w:hAnsi="Verdana"/>
          <w:sz w:val="20"/>
          <w:szCs w:val="20"/>
        </w:rPr>
        <w:t>vía</w:t>
      </w:r>
      <w:r w:rsidR="00593F2C" w:rsidRPr="006A0A3F">
        <w:rPr>
          <w:rFonts w:ascii="Verdana" w:hAnsi="Verdana"/>
          <w:sz w:val="20"/>
          <w:szCs w:val="20"/>
        </w:rPr>
        <w:t xml:space="preserve"> procesal para hacer f</w:t>
      </w:r>
      <w:r w:rsidR="00C8356D" w:rsidRPr="006A0A3F">
        <w:rPr>
          <w:rFonts w:ascii="Verdana" w:hAnsi="Verdana"/>
          <w:sz w:val="20"/>
          <w:szCs w:val="20"/>
        </w:rPr>
        <w:t>rente a casos de discriminación–</w:t>
      </w:r>
      <w:r w:rsidR="00593F2C" w:rsidRPr="006A0A3F">
        <w:rPr>
          <w:rFonts w:ascii="Verdana" w:hAnsi="Verdana"/>
          <w:sz w:val="20"/>
          <w:szCs w:val="20"/>
        </w:rPr>
        <w:t xml:space="preserve"> solo era aplicable cuando la presunta discriminación se produce en una relación laboral que se encuentre vigente.</w:t>
      </w:r>
      <w:r w:rsidRPr="006A0A3F">
        <w:rPr>
          <w:rFonts w:ascii="Verdana" w:hAnsi="Verdana"/>
          <w:sz w:val="20"/>
          <w:szCs w:val="20"/>
        </w:rPr>
        <w:t xml:space="preserve"> Tal interpretación que hace el Estado </w:t>
      </w:r>
      <w:r w:rsidR="00C8356D" w:rsidRPr="006A0A3F">
        <w:rPr>
          <w:rFonts w:ascii="Verdana" w:hAnsi="Verdana"/>
          <w:sz w:val="20"/>
          <w:szCs w:val="20"/>
        </w:rPr>
        <w:t>de dicha norma no fue, en sentido alguno, relevante durante el trámite y decisión del amparo y, en cualquier caso, implicaría una interpretación totalmente restrictiva acerc</w:t>
      </w:r>
      <w:r w:rsidR="006E3384" w:rsidRPr="006A0A3F">
        <w:rPr>
          <w:rFonts w:ascii="Verdana" w:hAnsi="Verdana"/>
          <w:sz w:val="20"/>
          <w:szCs w:val="20"/>
        </w:rPr>
        <w:t xml:space="preserve">a de los alcances procesales del </w:t>
      </w:r>
      <w:r w:rsidR="00C8356D" w:rsidRPr="006A0A3F">
        <w:rPr>
          <w:rFonts w:ascii="Verdana" w:hAnsi="Verdana"/>
          <w:sz w:val="20"/>
          <w:szCs w:val="20"/>
        </w:rPr>
        <w:t xml:space="preserve">recurso </w:t>
      </w:r>
      <w:r w:rsidR="006E3384" w:rsidRPr="006A0A3F">
        <w:rPr>
          <w:rFonts w:ascii="Verdana" w:hAnsi="Verdana"/>
          <w:sz w:val="20"/>
          <w:szCs w:val="20"/>
        </w:rPr>
        <w:t>para los efectos remediales que se invocaban</w:t>
      </w:r>
      <w:r w:rsidR="00C8356D" w:rsidRPr="006A0A3F">
        <w:rPr>
          <w:rFonts w:ascii="Verdana" w:hAnsi="Verdana"/>
          <w:sz w:val="20"/>
          <w:szCs w:val="20"/>
        </w:rPr>
        <w:t>.</w:t>
      </w:r>
    </w:p>
    <w:p w14:paraId="09009E65" w14:textId="77777777" w:rsidR="00C8356D" w:rsidRPr="006A0A3F" w:rsidRDefault="00C8356D" w:rsidP="00C8356D">
      <w:pPr>
        <w:pStyle w:val="ListParagraph"/>
        <w:rPr>
          <w:rFonts w:ascii="Verdana" w:hAnsi="Verdana"/>
          <w:sz w:val="20"/>
          <w:lang w:val="es-CR"/>
        </w:rPr>
      </w:pPr>
    </w:p>
    <w:p w14:paraId="245718E2" w14:textId="41D8EE26" w:rsidR="00F05F37" w:rsidRPr="006A0A3F" w:rsidRDefault="00C8356D" w:rsidP="00593F2C">
      <w:pPr>
        <w:numPr>
          <w:ilvl w:val="0"/>
          <w:numId w:val="4"/>
        </w:numPr>
        <w:pBdr>
          <w:top w:val="nil"/>
        </w:pBdr>
        <w:autoSpaceDE w:val="0"/>
        <w:autoSpaceDN w:val="0"/>
        <w:adjustRightInd w:val="0"/>
        <w:spacing w:after="0" w:line="240" w:lineRule="auto"/>
        <w:ind w:left="0" w:firstLine="0"/>
        <w:jc w:val="both"/>
        <w:rPr>
          <w:rFonts w:ascii="Verdana" w:hAnsi="Verdana"/>
          <w:b/>
          <w:sz w:val="20"/>
        </w:rPr>
      </w:pPr>
      <w:r w:rsidRPr="006A0A3F">
        <w:rPr>
          <w:rFonts w:ascii="Verdana" w:hAnsi="Verdana"/>
          <w:sz w:val="20"/>
        </w:rPr>
        <w:t xml:space="preserve">De hecho, lo relevante es que el </w:t>
      </w:r>
      <w:r w:rsidR="00DC4D18" w:rsidRPr="006A0A3F">
        <w:rPr>
          <w:rFonts w:ascii="Verdana" w:hAnsi="Verdana"/>
          <w:sz w:val="20"/>
        </w:rPr>
        <w:t>J</w:t>
      </w:r>
      <w:r w:rsidRPr="006A0A3F">
        <w:rPr>
          <w:rFonts w:ascii="Verdana" w:hAnsi="Verdana"/>
          <w:sz w:val="20"/>
        </w:rPr>
        <w:t>uzgado que conoció del amparo</w:t>
      </w:r>
      <w:r w:rsidR="003D71EC" w:rsidRPr="006A0A3F">
        <w:rPr>
          <w:rFonts w:ascii="Verdana" w:hAnsi="Verdana"/>
          <w:sz w:val="20"/>
        </w:rPr>
        <w:t xml:space="preserve">, antes de expresar sus dudas sobre </w:t>
      </w:r>
      <w:r w:rsidR="00C80E81" w:rsidRPr="006A0A3F">
        <w:rPr>
          <w:rFonts w:ascii="Verdana" w:hAnsi="Verdana"/>
          <w:sz w:val="20"/>
        </w:rPr>
        <w:t xml:space="preserve">la competencia para resolverlo </w:t>
      </w:r>
      <w:r w:rsidR="003D71EC" w:rsidRPr="006A0A3F">
        <w:rPr>
          <w:rFonts w:ascii="Verdana" w:hAnsi="Verdana"/>
          <w:sz w:val="20"/>
        </w:rPr>
        <w:t>en razón del cargo del funcionario contra quien se presentaba, señaló que “como el derecho infringido o amenazado de infracción es un derecho constitucional, cualquier juez, en su condición de garante de la supremacía constitucional […], podría en principio conocer las violaciones de dichos derechos o garantías constitucionales”</w:t>
      </w:r>
      <w:r w:rsidR="007E238D" w:rsidRPr="006A0A3F">
        <w:rPr>
          <w:rFonts w:ascii="Verdana" w:hAnsi="Verdana"/>
          <w:sz w:val="20"/>
        </w:rPr>
        <w:t>.</w:t>
      </w:r>
      <w:r w:rsidR="003D71EC" w:rsidRPr="006A0A3F">
        <w:rPr>
          <w:rFonts w:ascii="Verdana" w:hAnsi="Verdana"/>
          <w:sz w:val="20"/>
        </w:rPr>
        <w:t xml:space="preserve"> </w:t>
      </w:r>
      <w:r w:rsidR="00DC4D18" w:rsidRPr="006A0A3F">
        <w:rPr>
          <w:rFonts w:ascii="Verdana" w:hAnsi="Verdana"/>
          <w:sz w:val="20"/>
        </w:rPr>
        <w:t>Luego, a</w:t>
      </w:r>
      <w:r w:rsidR="003D71EC" w:rsidRPr="006A0A3F">
        <w:rPr>
          <w:rFonts w:ascii="Verdana" w:hAnsi="Verdana"/>
          <w:sz w:val="20"/>
        </w:rPr>
        <w:t>l resolver la cuestión de la competencia, la Sala Constitucional de la Corte Suprema de Justicia señaló que “para dilucidar la afinidad de la naturaleza del derecho violado o amenazado de violación, […] el juzgador ha de revisar la particular esfera en la cual se generó o pudiera producirse la violación o amenaza; revisar, pues</w:t>
      </w:r>
      <w:r w:rsidR="00655FC1" w:rsidRPr="006A0A3F">
        <w:rPr>
          <w:rFonts w:ascii="Verdana" w:hAnsi="Verdana"/>
          <w:sz w:val="20"/>
        </w:rPr>
        <w:t>, la situación jurídica que oste</w:t>
      </w:r>
      <w:r w:rsidR="003D71EC" w:rsidRPr="006A0A3F">
        <w:rPr>
          <w:rFonts w:ascii="Verdana" w:hAnsi="Verdana"/>
          <w:sz w:val="20"/>
        </w:rPr>
        <w:t xml:space="preserve">nta el presunto agraviado frente al </w:t>
      </w:r>
      <w:r w:rsidR="00780AEA" w:rsidRPr="006A0A3F">
        <w:rPr>
          <w:rFonts w:ascii="Verdana" w:hAnsi="Verdana"/>
          <w:sz w:val="20"/>
        </w:rPr>
        <w:t>agente lesivo”. Así, al observar que las accionantes propusieron la acción de amparo “en razón de supuestas violaciones constitucionales”</w:t>
      </w:r>
      <w:r w:rsidR="00F05F37" w:rsidRPr="006A0A3F">
        <w:rPr>
          <w:rFonts w:ascii="Verdana" w:hAnsi="Verdana"/>
          <w:sz w:val="20"/>
        </w:rPr>
        <w:t>, entre otras razones</w:t>
      </w:r>
      <w:r w:rsidR="00780AEA" w:rsidRPr="006A0A3F">
        <w:rPr>
          <w:rFonts w:ascii="Verdana" w:hAnsi="Verdana"/>
          <w:sz w:val="20"/>
        </w:rPr>
        <w:t>, dicha Sala declaró que</w:t>
      </w:r>
      <w:r w:rsidR="00DC4D18" w:rsidRPr="006A0A3F">
        <w:rPr>
          <w:rFonts w:ascii="Verdana" w:hAnsi="Verdana"/>
          <w:sz w:val="20"/>
        </w:rPr>
        <w:t xml:space="preserve"> el J</w:t>
      </w:r>
      <w:r w:rsidR="00780AEA" w:rsidRPr="006A0A3F">
        <w:rPr>
          <w:rFonts w:ascii="Verdana" w:hAnsi="Verdana"/>
          <w:sz w:val="20"/>
        </w:rPr>
        <w:t xml:space="preserve">uzgado era </w:t>
      </w:r>
      <w:r w:rsidR="006B7AD9" w:rsidRPr="006A0A3F">
        <w:rPr>
          <w:rFonts w:ascii="Verdana" w:hAnsi="Verdana"/>
          <w:sz w:val="20"/>
        </w:rPr>
        <w:t>competente</w:t>
      </w:r>
      <w:r w:rsidR="00780AEA" w:rsidRPr="006A0A3F">
        <w:rPr>
          <w:rFonts w:ascii="Verdana" w:hAnsi="Verdana"/>
          <w:sz w:val="20"/>
        </w:rPr>
        <w:t xml:space="preserve"> para resolver la acción, </w:t>
      </w:r>
      <w:r w:rsidR="007E238D" w:rsidRPr="006A0A3F">
        <w:rPr>
          <w:rFonts w:ascii="Verdana" w:hAnsi="Verdana"/>
          <w:sz w:val="20"/>
        </w:rPr>
        <w:t>la</w:t>
      </w:r>
      <w:r w:rsidR="00780AEA" w:rsidRPr="006A0A3F">
        <w:rPr>
          <w:rFonts w:ascii="Verdana" w:hAnsi="Verdana"/>
          <w:sz w:val="20"/>
        </w:rPr>
        <w:t xml:space="preserve"> cual, en efecto, </w:t>
      </w:r>
      <w:r w:rsidR="00C80E81" w:rsidRPr="006A0A3F">
        <w:rPr>
          <w:rFonts w:ascii="Verdana" w:hAnsi="Verdana"/>
          <w:sz w:val="20"/>
        </w:rPr>
        <w:t>fue admitida</w:t>
      </w:r>
      <w:r w:rsidR="00780AEA" w:rsidRPr="006A0A3F">
        <w:rPr>
          <w:rFonts w:ascii="Verdana" w:hAnsi="Verdana"/>
          <w:sz w:val="20"/>
        </w:rPr>
        <w:t xml:space="preserve"> a trámite.</w:t>
      </w:r>
      <w:r w:rsidR="00072FD1" w:rsidRPr="006A0A3F">
        <w:rPr>
          <w:rFonts w:ascii="Verdana" w:hAnsi="Verdana"/>
          <w:sz w:val="20"/>
        </w:rPr>
        <w:t xml:space="preserve"> </w:t>
      </w:r>
      <w:r w:rsidR="00DC4D18" w:rsidRPr="006A0A3F">
        <w:rPr>
          <w:rFonts w:ascii="Verdana" w:hAnsi="Verdana"/>
          <w:sz w:val="20"/>
        </w:rPr>
        <w:t>Posteriormente</w:t>
      </w:r>
      <w:r w:rsidR="00072FD1" w:rsidRPr="006A0A3F">
        <w:rPr>
          <w:rFonts w:ascii="Verdana" w:hAnsi="Verdana"/>
          <w:sz w:val="20"/>
        </w:rPr>
        <w:t xml:space="preserve">, el referido Juzgado </w:t>
      </w:r>
      <w:r w:rsidR="007D0B70" w:rsidRPr="006A0A3F">
        <w:rPr>
          <w:rFonts w:ascii="Verdana" w:hAnsi="Verdana"/>
          <w:sz w:val="20"/>
        </w:rPr>
        <w:t xml:space="preserve">observó </w:t>
      </w:r>
      <w:r w:rsidR="00072FD1" w:rsidRPr="006A0A3F">
        <w:rPr>
          <w:rFonts w:ascii="Verdana" w:hAnsi="Verdana"/>
          <w:sz w:val="20"/>
        </w:rPr>
        <w:t>que “</w:t>
      </w:r>
      <w:r w:rsidR="007D0B70" w:rsidRPr="006A0A3F">
        <w:rPr>
          <w:rFonts w:ascii="Verdana" w:hAnsi="Verdana"/>
          <w:sz w:val="20"/>
        </w:rPr>
        <w:t>la pretensión principal no es que se califique el despido, para luego obtener el reenganche y el pago de los salarios caídos, [que] en todo</w:t>
      </w:r>
      <w:r w:rsidR="00780AEA" w:rsidRPr="006A0A3F">
        <w:rPr>
          <w:rFonts w:ascii="Verdana" w:hAnsi="Verdana"/>
          <w:sz w:val="20"/>
        </w:rPr>
        <w:t xml:space="preserve"> </w:t>
      </w:r>
      <w:r w:rsidR="007D0B70" w:rsidRPr="006A0A3F">
        <w:rPr>
          <w:rFonts w:ascii="Verdana" w:hAnsi="Verdana"/>
          <w:sz w:val="20"/>
        </w:rPr>
        <w:t xml:space="preserve">caso, es la pretensión accesoria, [sino] que se determine que en efecto, las accionantes sufrieron o fueron víctimas de un trato discriminatorio por parte del Estado”. Es decir, hizo notar que la acción se había “instaurado para determinar la relación o nexo causal entre una conducta no solo antijurídica o inconstitucional, sino vejatoria de derechos humanos fundamentales como lo es la igualdad ante la ley y la prohibición de discriminación fundadas en razones políticas, como hecho generador de la ruptura de las relaciones de trabajo que mantenían las accionantes con el organismo accionado en amparo. Si esto es así, no puede hablarse en ningún momento de la inadmisibilidad de la presente acción […] sino que se hace necesario entrar al fondo de la controversia para resolver sobre la procedencia o improcedencia de la acción”. </w:t>
      </w:r>
    </w:p>
    <w:p w14:paraId="39A2CE99" w14:textId="77777777" w:rsidR="00F05F37" w:rsidRPr="006A0A3F" w:rsidRDefault="00F05F37" w:rsidP="00F05F37">
      <w:pPr>
        <w:pBdr>
          <w:top w:val="nil"/>
        </w:pBdr>
        <w:autoSpaceDE w:val="0"/>
        <w:autoSpaceDN w:val="0"/>
        <w:adjustRightInd w:val="0"/>
        <w:spacing w:after="0" w:line="240" w:lineRule="auto"/>
        <w:jc w:val="both"/>
        <w:rPr>
          <w:rFonts w:ascii="Verdana" w:hAnsi="Verdana"/>
          <w:b/>
          <w:sz w:val="20"/>
        </w:rPr>
      </w:pPr>
    </w:p>
    <w:p w14:paraId="508D6205" w14:textId="201A0423" w:rsidR="00072FD1" w:rsidRPr="006A0A3F" w:rsidRDefault="007D0B70" w:rsidP="00593F2C">
      <w:pPr>
        <w:numPr>
          <w:ilvl w:val="0"/>
          <w:numId w:val="4"/>
        </w:numPr>
        <w:pBdr>
          <w:top w:val="nil"/>
        </w:pBdr>
        <w:autoSpaceDE w:val="0"/>
        <w:autoSpaceDN w:val="0"/>
        <w:adjustRightInd w:val="0"/>
        <w:spacing w:after="0" w:line="240" w:lineRule="auto"/>
        <w:ind w:left="0" w:firstLine="0"/>
        <w:jc w:val="both"/>
        <w:rPr>
          <w:rFonts w:ascii="Verdana" w:hAnsi="Verdana"/>
          <w:b/>
          <w:sz w:val="20"/>
        </w:rPr>
      </w:pPr>
      <w:r w:rsidRPr="006A0A3F">
        <w:rPr>
          <w:rFonts w:ascii="Verdana" w:hAnsi="Verdana"/>
          <w:sz w:val="20"/>
        </w:rPr>
        <w:t>E</w:t>
      </w:r>
      <w:r w:rsidR="0068297B" w:rsidRPr="006A0A3F">
        <w:rPr>
          <w:rFonts w:ascii="Verdana" w:hAnsi="Verdana"/>
          <w:sz w:val="20"/>
        </w:rPr>
        <w:t xml:space="preserve">s decir, </w:t>
      </w:r>
      <w:r w:rsidR="00655FC1" w:rsidRPr="006A0A3F">
        <w:rPr>
          <w:rFonts w:ascii="Verdana" w:hAnsi="Verdana"/>
          <w:sz w:val="20"/>
        </w:rPr>
        <w:t xml:space="preserve">el Juzgado </w:t>
      </w:r>
      <w:r w:rsidR="0068297B" w:rsidRPr="006A0A3F">
        <w:rPr>
          <w:rFonts w:ascii="Verdana" w:hAnsi="Verdana"/>
          <w:sz w:val="20"/>
        </w:rPr>
        <w:t>consideró</w:t>
      </w:r>
      <w:r w:rsidRPr="006A0A3F">
        <w:rPr>
          <w:rFonts w:ascii="Verdana" w:hAnsi="Verdana"/>
          <w:sz w:val="20"/>
        </w:rPr>
        <w:t xml:space="preserve"> que </w:t>
      </w:r>
      <w:r w:rsidR="00FB69D0" w:rsidRPr="006A0A3F">
        <w:rPr>
          <w:rFonts w:ascii="Verdana" w:hAnsi="Verdana"/>
          <w:sz w:val="20"/>
        </w:rPr>
        <w:t xml:space="preserve">en efecto </w:t>
      </w:r>
      <w:r w:rsidR="00655FC1" w:rsidRPr="006A0A3F">
        <w:rPr>
          <w:rFonts w:ascii="Verdana" w:hAnsi="Verdana"/>
          <w:sz w:val="20"/>
        </w:rPr>
        <w:t>no existía</w:t>
      </w:r>
      <w:r w:rsidRPr="006A0A3F">
        <w:rPr>
          <w:rFonts w:ascii="Verdana" w:hAnsi="Verdana"/>
          <w:sz w:val="20"/>
        </w:rPr>
        <w:t xml:space="preserve"> </w:t>
      </w:r>
      <w:r w:rsidR="00655FC1" w:rsidRPr="006A0A3F">
        <w:rPr>
          <w:rFonts w:ascii="Verdana" w:hAnsi="Verdana"/>
          <w:sz w:val="20"/>
        </w:rPr>
        <w:t>“</w:t>
      </w:r>
      <w:r w:rsidRPr="006A0A3F">
        <w:rPr>
          <w:rFonts w:ascii="Verdana" w:hAnsi="Verdana"/>
          <w:sz w:val="20"/>
        </w:rPr>
        <w:t xml:space="preserve">ninguna causal que impida conocer del fondo, pues no es suficiente que se haya intentado una acción penal […], sin prejuzgar, si es o no la vía procesal idónea para establecer las violación de los derechos </w:t>
      </w:r>
      <w:r w:rsidRPr="006A0A3F">
        <w:rPr>
          <w:rFonts w:ascii="Verdana" w:hAnsi="Verdana"/>
          <w:sz w:val="20"/>
        </w:rPr>
        <w:lastRenderedPageBreak/>
        <w:t xml:space="preserve">constitucionales denunciados, para estar ante la causal de existencia de otro medio judicial preexistente e </w:t>
      </w:r>
      <w:r w:rsidR="007E238D" w:rsidRPr="006A0A3F">
        <w:rPr>
          <w:rFonts w:ascii="Verdana" w:hAnsi="Verdana"/>
          <w:sz w:val="20"/>
        </w:rPr>
        <w:t>idóneo para obtener el restablecimiento de la situación jurídica infringida”.</w:t>
      </w:r>
      <w:r w:rsidR="00746CFF" w:rsidRPr="006A0A3F">
        <w:rPr>
          <w:rFonts w:ascii="Verdana" w:hAnsi="Verdana"/>
          <w:b/>
          <w:sz w:val="18"/>
        </w:rPr>
        <w:t xml:space="preserve"> </w:t>
      </w:r>
      <w:r w:rsidR="00746CFF" w:rsidRPr="006A0A3F">
        <w:rPr>
          <w:rFonts w:ascii="Verdana" w:hAnsi="Verdana"/>
          <w:sz w:val="20"/>
        </w:rPr>
        <w:t xml:space="preserve">Más aún, al declarar improcedente la acción, el Juzgado dejó abierta la posibilidad para que, en el lapso de un año y “en caso de inconformidad, las quejosas </w:t>
      </w:r>
      <w:proofErr w:type="spellStart"/>
      <w:r w:rsidR="00746CFF" w:rsidRPr="006A0A3F">
        <w:rPr>
          <w:rFonts w:ascii="Verdana" w:hAnsi="Verdana"/>
          <w:sz w:val="20"/>
        </w:rPr>
        <w:t>reclam</w:t>
      </w:r>
      <w:proofErr w:type="spellEnd"/>
      <w:r w:rsidR="00F05F37" w:rsidRPr="006A0A3F">
        <w:rPr>
          <w:rFonts w:ascii="Verdana" w:hAnsi="Verdana"/>
          <w:sz w:val="20"/>
        </w:rPr>
        <w:t>[</w:t>
      </w:r>
      <w:proofErr w:type="spellStart"/>
      <w:r w:rsidR="00F05F37" w:rsidRPr="006A0A3F">
        <w:rPr>
          <w:rFonts w:ascii="Verdana" w:hAnsi="Verdana"/>
          <w:sz w:val="20"/>
        </w:rPr>
        <w:t>ar</w:t>
      </w:r>
      <w:proofErr w:type="spellEnd"/>
      <w:r w:rsidR="00F05F37" w:rsidRPr="006A0A3F">
        <w:rPr>
          <w:rFonts w:ascii="Verdana" w:hAnsi="Verdana"/>
          <w:sz w:val="20"/>
        </w:rPr>
        <w:t>]</w:t>
      </w:r>
      <w:r w:rsidR="00746CFF" w:rsidRPr="006A0A3F">
        <w:rPr>
          <w:rFonts w:ascii="Verdana" w:hAnsi="Verdana"/>
          <w:sz w:val="20"/>
        </w:rPr>
        <w:t>en ante los tribunales de trabajo por las vías procesales ordinarias los derechos que les corresponden con motivo de la terminación de sus relaciones de trabajo, así como que se determine lo justificado o no de la resolución de los contratos de trabajo, a los fines de establecer la procedencia o no de las indemnizaciones previstas en la ley”.</w:t>
      </w:r>
    </w:p>
    <w:p w14:paraId="637D13D1" w14:textId="77777777" w:rsidR="007E238D" w:rsidRPr="006A0A3F" w:rsidRDefault="007E238D" w:rsidP="007E238D">
      <w:pPr>
        <w:pBdr>
          <w:top w:val="nil"/>
        </w:pBdr>
        <w:autoSpaceDE w:val="0"/>
        <w:autoSpaceDN w:val="0"/>
        <w:adjustRightInd w:val="0"/>
        <w:spacing w:after="0" w:line="240" w:lineRule="auto"/>
        <w:jc w:val="both"/>
        <w:rPr>
          <w:rFonts w:ascii="Verdana" w:hAnsi="Verdana"/>
          <w:sz w:val="20"/>
        </w:rPr>
      </w:pPr>
    </w:p>
    <w:p w14:paraId="0C803E80" w14:textId="39DEF401" w:rsidR="001416EC" w:rsidRPr="006A0A3F" w:rsidRDefault="00E331AE" w:rsidP="00591810">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De ese modo</w:t>
      </w:r>
      <w:r w:rsidR="00072FD1" w:rsidRPr="006A0A3F">
        <w:rPr>
          <w:rFonts w:ascii="Verdana" w:hAnsi="Verdana"/>
          <w:sz w:val="20"/>
        </w:rPr>
        <w:t xml:space="preserve">, </w:t>
      </w:r>
      <w:r w:rsidR="007E238D" w:rsidRPr="006A0A3F">
        <w:rPr>
          <w:rFonts w:ascii="Verdana" w:hAnsi="Verdana"/>
          <w:sz w:val="20"/>
        </w:rPr>
        <w:t>la acción de amparo interpuesta por las presuntas v</w:t>
      </w:r>
      <w:r w:rsidR="00655FC1" w:rsidRPr="006A0A3F">
        <w:rPr>
          <w:rFonts w:ascii="Verdana" w:hAnsi="Verdana"/>
          <w:sz w:val="20"/>
        </w:rPr>
        <w:t>íctimas fue admitida a trámite y, aún s</w:t>
      </w:r>
      <w:r w:rsidR="007E238D" w:rsidRPr="006A0A3F">
        <w:rPr>
          <w:rFonts w:ascii="Verdana" w:hAnsi="Verdana"/>
          <w:sz w:val="20"/>
        </w:rPr>
        <w:t>i fue declarada improcedente</w:t>
      </w:r>
      <w:r w:rsidR="00FB69D0">
        <w:rPr>
          <w:rFonts w:ascii="Verdana" w:hAnsi="Verdana"/>
          <w:sz w:val="20"/>
        </w:rPr>
        <w:t xml:space="preserve"> por el fondo</w:t>
      </w:r>
      <w:r w:rsidR="007E238D" w:rsidRPr="006A0A3F">
        <w:rPr>
          <w:rFonts w:ascii="Verdana" w:hAnsi="Verdana"/>
          <w:sz w:val="20"/>
        </w:rPr>
        <w:t xml:space="preserve">, no lo fue por falta de idoneidad. </w:t>
      </w:r>
      <w:r w:rsidR="00DC4D18" w:rsidRPr="006A0A3F">
        <w:rPr>
          <w:rFonts w:ascii="Verdana" w:hAnsi="Verdana"/>
          <w:sz w:val="20"/>
        </w:rPr>
        <w:t xml:space="preserve">De tal manera, el Estado no </w:t>
      </w:r>
      <w:r w:rsidR="0014030C" w:rsidRPr="006A0A3F">
        <w:rPr>
          <w:rFonts w:ascii="Verdana" w:hAnsi="Verdana"/>
          <w:sz w:val="20"/>
        </w:rPr>
        <w:t xml:space="preserve">sólo no </w:t>
      </w:r>
      <w:r w:rsidR="00DC4D18" w:rsidRPr="006A0A3F">
        <w:rPr>
          <w:rFonts w:ascii="Verdana" w:hAnsi="Verdana"/>
          <w:sz w:val="20"/>
        </w:rPr>
        <w:t>ha demostrado la falta de idoneidad de la acción de amparo para los efectos para los que fue intentado por las presuntas víctimas</w:t>
      </w:r>
      <w:r w:rsidR="0014030C" w:rsidRPr="006A0A3F">
        <w:rPr>
          <w:rFonts w:ascii="Verdana" w:hAnsi="Verdana"/>
          <w:sz w:val="20"/>
        </w:rPr>
        <w:t xml:space="preserve">, sino que, además, </w:t>
      </w:r>
      <w:r w:rsidR="00DC4D18" w:rsidRPr="006A0A3F">
        <w:rPr>
          <w:rFonts w:ascii="Verdana" w:hAnsi="Verdana"/>
          <w:sz w:val="20"/>
        </w:rPr>
        <w:t xml:space="preserve">sus alegatos contradicen lo resuelto por sus </w:t>
      </w:r>
      <w:r w:rsidR="00F05F37" w:rsidRPr="006A0A3F">
        <w:rPr>
          <w:rFonts w:ascii="Verdana" w:hAnsi="Verdana"/>
          <w:sz w:val="20"/>
        </w:rPr>
        <w:t xml:space="preserve">propias </w:t>
      </w:r>
      <w:r w:rsidR="00DC4D18" w:rsidRPr="006A0A3F">
        <w:rPr>
          <w:rFonts w:ascii="Verdana" w:hAnsi="Verdana"/>
          <w:sz w:val="20"/>
        </w:rPr>
        <w:t xml:space="preserve">autoridades judiciales. </w:t>
      </w:r>
      <w:r w:rsidR="007E238D" w:rsidRPr="006A0A3F">
        <w:rPr>
          <w:rFonts w:ascii="Verdana" w:hAnsi="Verdana"/>
          <w:sz w:val="20"/>
        </w:rPr>
        <w:t xml:space="preserve">Es claro que, en el marco de tal acción, </w:t>
      </w:r>
      <w:r w:rsidR="00DC4D18" w:rsidRPr="006A0A3F">
        <w:rPr>
          <w:rFonts w:ascii="Verdana" w:hAnsi="Verdana"/>
          <w:sz w:val="20"/>
        </w:rPr>
        <w:t>esas</w:t>
      </w:r>
      <w:r w:rsidR="007E238D" w:rsidRPr="006A0A3F">
        <w:rPr>
          <w:rFonts w:ascii="Verdana" w:hAnsi="Verdana"/>
          <w:sz w:val="20"/>
        </w:rPr>
        <w:t xml:space="preserve"> autoridades </w:t>
      </w:r>
      <w:r w:rsidR="00DC4D18" w:rsidRPr="006A0A3F">
        <w:rPr>
          <w:rFonts w:ascii="Verdana" w:hAnsi="Verdana"/>
          <w:sz w:val="20"/>
        </w:rPr>
        <w:t xml:space="preserve">estaban facultadas y en posibilidad de </w:t>
      </w:r>
      <w:r w:rsidR="007E238D" w:rsidRPr="006A0A3F">
        <w:rPr>
          <w:rFonts w:ascii="Verdana" w:hAnsi="Verdana"/>
          <w:sz w:val="20"/>
        </w:rPr>
        <w:t>resolver la situación jur</w:t>
      </w:r>
      <w:r w:rsidR="00655FC1" w:rsidRPr="006A0A3F">
        <w:rPr>
          <w:rFonts w:ascii="Verdana" w:hAnsi="Verdana"/>
          <w:sz w:val="20"/>
        </w:rPr>
        <w:t xml:space="preserve">ídica que se alegaba infringida, por lo cual </w:t>
      </w:r>
      <w:r w:rsidR="006E7E4B" w:rsidRPr="006A0A3F">
        <w:rPr>
          <w:rFonts w:ascii="Verdana" w:hAnsi="Verdana"/>
          <w:sz w:val="20"/>
        </w:rPr>
        <w:t xml:space="preserve">la acción de amparo era </w:t>
      </w:r>
      <w:r w:rsidR="00655FC1" w:rsidRPr="006A0A3F">
        <w:rPr>
          <w:rFonts w:ascii="Verdana" w:hAnsi="Verdana"/>
          <w:sz w:val="20"/>
        </w:rPr>
        <w:t xml:space="preserve">un recurso </w:t>
      </w:r>
      <w:r w:rsidR="006E7E4B" w:rsidRPr="006A0A3F">
        <w:rPr>
          <w:rFonts w:ascii="Verdana" w:hAnsi="Verdana"/>
          <w:sz w:val="20"/>
        </w:rPr>
        <w:t xml:space="preserve">idóneo para considerar su caso. </w:t>
      </w:r>
    </w:p>
    <w:p w14:paraId="73815545" w14:textId="77777777" w:rsidR="001416EC" w:rsidRPr="006A0A3F" w:rsidRDefault="001416EC" w:rsidP="001416EC">
      <w:pPr>
        <w:pStyle w:val="ListParagraph"/>
        <w:rPr>
          <w:rFonts w:ascii="Verdana" w:hAnsi="Verdana"/>
          <w:sz w:val="20"/>
          <w:lang w:val="es-CR"/>
        </w:rPr>
      </w:pPr>
    </w:p>
    <w:p w14:paraId="22D89D5F" w14:textId="27C90652" w:rsidR="00591810" w:rsidRPr="006A0A3F" w:rsidRDefault="005E6126" w:rsidP="00591810">
      <w:pPr>
        <w:numPr>
          <w:ilvl w:val="0"/>
          <w:numId w:val="4"/>
        </w:numPr>
        <w:pBdr>
          <w:top w:val="nil"/>
        </w:pBdr>
        <w:autoSpaceDE w:val="0"/>
        <w:autoSpaceDN w:val="0"/>
        <w:adjustRightInd w:val="0"/>
        <w:spacing w:after="0" w:line="240" w:lineRule="auto"/>
        <w:ind w:left="0" w:firstLine="0"/>
        <w:jc w:val="both"/>
        <w:rPr>
          <w:rFonts w:ascii="Verdana" w:hAnsi="Verdana"/>
          <w:strike/>
          <w:sz w:val="20"/>
        </w:rPr>
      </w:pPr>
      <w:r w:rsidRPr="006A0A3F">
        <w:rPr>
          <w:rFonts w:ascii="Verdana" w:hAnsi="Verdana"/>
          <w:sz w:val="20"/>
        </w:rPr>
        <w:t>Por consiguiente, la Corte pasa a</w:t>
      </w:r>
      <w:r w:rsidR="0081017F" w:rsidRPr="006A0A3F">
        <w:rPr>
          <w:rFonts w:ascii="Verdana" w:hAnsi="Verdana"/>
          <w:sz w:val="20"/>
        </w:rPr>
        <w:t xml:space="preserve"> </w:t>
      </w:r>
      <w:r w:rsidRPr="006A0A3F">
        <w:rPr>
          <w:rFonts w:ascii="Verdana" w:hAnsi="Verdana"/>
          <w:sz w:val="20"/>
        </w:rPr>
        <w:t xml:space="preserve">analizar </w:t>
      </w:r>
      <w:r w:rsidR="0081017F" w:rsidRPr="006A0A3F">
        <w:rPr>
          <w:rFonts w:ascii="Verdana" w:hAnsi="Verdana"/>
          <w:sz w:val="20"/>
        </w:rPr>
        <w:t>si</w:t>
      </w:r>
      <w:r w:rsidR="00F962EB" w:rsidRPr="006A0A3F">
        <w:rPr>
          <w:rFonts w:ascii="Verdana" w:hAnsi="Verdana"/>
          <w:sz w:val="20"/>
        </w:rPr>
        <w:t xml:space="preserve"> el Estado</w:t>
      </w:r>
      <w:r w:rsidR="0081017F" w:rsidRPr="006A0A3F">
        <w:rPr>
          <w:rFonts w:ascii="Verdana" w:hAnsi="Verdana"/>
          <w:sz w:val="20"/>
        </w:rPr>
        <w:t xml:space="preserve"> </w:t>
      </w:r>
      <w:r w:rsidR="00805094" w:rsidRPr="006A0A3F">
        <w:rPr>
          <w:rFonts w:ascii="Verdana" w:hAnsi="Verdana"/>
          <w:sz w:val="20"/>
        </w:rPr>
        <w:t xml:space="preserve">garantizó a las presuntas víctimas un adecuado acceso a la justicia y un </w:t>
      </w:r>
      <w:r w:rsidR="0081017F" w:rsidRPr="006A0A3F">
        <w:rPr>
          <w:rFonts w:ascii="Verdana" w:hAnsi="Verdana"/>
          <w:sz w:val="20"/>
        </w:rPr>
        <w:t>recurso rápido y efectivo</w:t>
      </w:r>
      <w:r w:rsidR="00805094" w:rsidRPr="006A0A3F">
        <w:rPr>
          <w:rFonts w:ascii="Verdana" w:hAnsi="Verdana"/>
          <w:sz w:val="20"/>
        </w:rPr>
        <w:t>, en los términos de los</w:t>
      </w:r>
      <w:r w:rsidR="0081017F" w:rsidRPr="006A0A3F">
        <w:rPr>
          <w:rFonts w:ascii="Verdana" w:hAnsi="Verdana"/>
          <w:sz w:val="20"/>
        </w:rPr>
        <w:t xml:space="preserve"> artículo</w:t>
      </w:r>
      <w:r w:rsidR="00805094" w:rsidRPr="006A0A3F">
        <w:rPr>
          <w:rFonts w:ascii="Verdana" w:hAnsi="Verdana"/>
          <w:sz w:val="20"/>
        </w:rPr>
        <w:t>s</w:t>
      </w:r>
      <w:r w:rsidR="0081017F" w:rsidRPr="006A0A3F">
        <w:rPr>
          <w:rFonts w:ascii="Verdana" w:hAnsi="Verdana"/>
          <w:sz w:val="20"/>
        </w:rPr>
        <w:t xml:space="preserve"> </w:t>
      </w:r>
      <w:r w:rsidR="00805094" w:rsidRPr="006A0A3F">
        <w:rPr>
          <w:rFonts w:ascii="Verdana" w:hAnsi="Verdana"/>
          <w:sz w:val="20"/>
        </w:rPr>
        <w:t xml:space="preserve">8.1 y </w:t>
      </w:r>
      <w:r w:rsidR="0081017F" w:rsidRPr="006A0A3F">
        <w:rPr>
          <w:rFonts w:ascii="Verdana" w:hAnsi="Verdana"/>
          <w:sz w:val="20"/>
        </w:rPr>
        <w:t>25</w:t>
      </w:r>
      <w:r w:rsidR="00805094" w:rsidRPr="006A0A3F">
        <w:rPr>
          <w:rFonts w:ascii="Verdana" w:hAnsi="Verdana"/>
          <w:sz w:val="20"/>
        </w:rPr>
        <w:t>.1</w:t>
      </w:r>
      <w:r w:rsidR="0081017F" w:rsidRPr="006A0A3F">
        <w:rPr>
          <w:rFonts w:ascii="Verdana" w:hAnsi="Verdana"/>
          <w:sz w:val="20"/>
        </w:rPr>
        <w:t xml:space="preserve"> de la Convención.</w:t>
      </w:r>
    </w:p>
    <w:p w14:paraId="5E88D28C" w14:textId="77777777" w:rsidR="00591810" w:rsidRPr="006A0A3F" w:rsidRDefault="00591810" w:rsidP="00591810">
      <w:pPr>
        <w:pStyle w:val="ListParagraph"/>
        <w:rPr>
          <w:rFonts w:ascii="Verdana" w:hAnsi="Verdana" w:cs="Helvetica"/>
          <w:sz w:val="20"/>
          <w:lang w:val="es-CR"/>
        </w:rPr>
      </w:pPr>
    </w:p>
    <w:p w14:paraId="739BBC97" w14:textId="1CD55F59" w:rsidR="007E238D" w:rsidRPr="006A0A3F" w:rsidRDefault="00591810" w:rsidP="0081017F">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cs="Helvetica"/>
          <w:sz w:val="20"/>
          <w:szCs w:val="20"/>
        </w:rPr>
        <w:t>El principio de tutela judicial efectiva requiere que los procedimientos judiciales sean accesibles para las partes, sin obstáculos o demoras indebidas, a fin de que alcancen su objetivo de manera rápida, sencilla e integral</w:t>
      </w:r>
      <w:r w:rsidRPr="006A0A3F">
        <w:rPr>
          <w:rFonts w:ascii="Verdana" w:hAnsi="Verdana"/>
          <w:sz w:val="20"/>
          <w:szCs w:val="20"/>
          <w:vertAlign w:val="superscript"/>
        </w:rPr>
        <w:footnoteReference w:id="233"/>
      </w:r>
      <w:r w:rsidRPr="006A0A3F">
        <w:rPr>
          <w:rFonts w:ascii="Verdana" w:hAnsi="Verdana" w:cs="Helvetica"/>
          <w:sz w:val="20"/>
          <w:szCs w:val="20"/>
        </w:rPr>
        <w:t xml:space="preserve">. </w:t>
      </w:r>
      <w:r w:rsidR="005C4ECE" w:rsidRPr="006A0A3F">
        <w:rPr>
          <w:rFonts w:ascii="Verdana" w:hAnsi="Verdana"/>
          <w:sz w:val="20"/>
          <w:szCs w:val="20"/>
        </w:rPr>
        <w:t>Para que un Estado cumpla con lo dispuesto en el artículo 25 de la Convención, no basta con que los recursos existan formalmente, sino que es preciso que tengan efectividad en los términos del mismo</w:t>
      </w:r>
      <w:r w:rsidR="005C4ECE" w:rsidRPr="006A0A3F">
        <w:rPr>
          <w:rStyle w:val="FootnoteReference"/>
          <w:rFonts w:ascii="Verdana" w:hAnsi="Verdana"/>
          <w:sz w:val="20"/>
          <w:szCs w:val="20"/>
        </w:rPr>
        <w:footnoteReference w:id="234"/>
      </w:r>
      <w:r w:rsidR="005C4ECE" w:rsidRPr="006A0A3F">
        <w:rPr>
          <w:rFonts w:ascii="Verdana" w:hAnsi="Verdana"/>
          <w:sz w:val="20"/>
          <w:szCs w:val="20"/>
        </w:rPr>
        <w:t>, es decir, que den resultados o respuestas a las violaciones de derechos reconocidos, ya sea en la Convención, en la Constitución o en la ley</w:t>
      </w:r>
      <w:r w:rsidR="005C4ECE" w:rsidRPr="006A0A3F">
        <w:rPr>
          <w:rStyle w:val="FootnoteReference"/>
          <w:rFonts w:ascii="Verdana" w:hAnsi="Verdana"/>
          <w:sz w:val="20"/>
          <w:szCs w:val="20"/>
        </w:rPr>
        <w:footnoteReference w:id="235"/>
      </w:r>
      <w:r w:rsidR="005C4ECE" w:rsidRPr="006A0A3F">
        <w:rPr>
          <w:rFonts w:ascii="Verdana" w:hAnsi="Verdana"/>
          <w:sz w:val="20"/>
          <w:szCs w:val="20"/>
        </w:rPr>
        <w:t xml:space="preserve"> y que el análisis por la autoridad competente no se reduzca a una mera formalidad, sino que examine las razones invocadas por el demandante y se manifieste expresamente sobre ellas</w:t>
      </w:r>
      <w:r w:rsidR="005C4ECE" w:rsidRPr="006A0A3F">
        <w:rPr>
          <w:rStyle w:val="FootnoteReference"/>
          <w:rFonts w:ascii="Verdana" w:hAnsi="Verdana"/>
          <w:sz w:val="20"/>
          <w:szCs w:val="20"/>
        </w:rPr>
        <w:footnoteReference w:id="236"/>
      </w:r>
      <w:r w:rsidR="005C4ECE" w:rsidRPr="006A0A3F">
        <w:rPr>
          <w:rFonts w:ascii="Verdana" w:hAnsi="Verdana"/>
          <w:sz w:val="20"/>
          <w:szCs w:val="20"/>
        </w:rPr>
        <w:t>.</w:t>
      </w:r>
    </w:p>
    <w:p w14:paraId="709DAD74" w14:textId="77777777" w:rsidR="006843DB" w:rsidRPr="006A0A3F" w:rsidRDefault="006843DB" w:rsidP="006843DB">
      <w:pPr>
        <w:pStyle w:val="ListParagraph"/>
        <w:rPr>
          <w:rFonts w:ascii="Verdana" w:hAnsi="Verdana"/>
          <w:sz w:val="20"/>
          <w:lang w:val="es-CR"/>
        </w:rPr>
      </w:pPr>
    </w:p>
    <w:p w14:paraId="1AFBEAC1" w14:textId="0CFCBCE0" w:rsidR="006843DB" w:rsidRPr="006A0A3F" w:rsidRDefault="00914963" w:rsidP="006843DB">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En relación con</w:t>
      </w:r>
      <w:r w:rsidR="006843DB" w:rsidRPr="006A0A3F">
        <w:rPr>
          <w:rFonts w:ascii="Verdana" w:hAnsi="Verdana"/>
          <w:sz w:val="20"/>
          <w:szCs w:val="20"/>
        </w:rPr>
        <w:t xml:space="preserve"> lo anterior, este Tribunal ha considerado que una exposición clara de una decisión constituye parte esencial de una correcta motivación de una resolución judicial, entendida como “la justificación razonada que permite llegar a una conclusión”</w:t>
      </w:r>
      <w:r w:rsidR="006843DB" w:rsidRPr="006A0A3F">
        <w:rPr>
          <w:rStyle w:val="FootnoteTextChar"/>
          <w:rFonts w:ascii="Verdana" w:eastAsia="Calibri" w:hAnsi="Verdana"/>
          <w:vertAlign w:val="superscript"/>
          <w:lang w:val="es-CR"/>
        </w:rPr>
        <w:footnoteReference w:id="237"/>
      </w:r>
      <w:r w:rsidR="006843DB" w:rsidRPr="006A0A3F">
        <w:rPr>
          <w:rFonts w:ascii="Verdana" w:hAnsi="Verdana"/>
          <w:sz w:val="20"/>
          <w:szCs w:val="20"/>
        </w:rPr>
        <w:t>.  En este sentido, el deber de motivar las resoluciones es una garantía vinculada con la correcta administración de justicia, que otorga credibilidad de las decisiones jurídicas en el marco de una sociedad democrática</w:t>
      </w:r>
      <w:r w:rsidR="006843DB" w:rsidRPr="006A0A3F">
        <w:rPr>
          <w:rStyle w:val="FootnoteTextChar"/>
          <w:rFonts w:ascii="Verdana" w:eastAsia="Calibri" w:hAnsi="Verdana"/>
          <w:vertAlign w:val="superscript"/>
          <w:lang w:val="es-CR"/>
        </w:rPr>
        <w:footnoteReference w:id="238"/>
      </w:r>
      <w:r w:rsidR="006843DB" w:rsidRPr="006A0A3F">
        <w:rPr>
          <w:rFonts w:ascii="Verdana" w:hAnsi="Verdana"/>
          <w:sz w:val="20"/>
          <w:szCs w:val="20"/>
        </w:rPr>
        <w:t xml:space="preserve">. </w:t>
      </w:r>
      <w:r w:rsidR="006843DB" w:rsidRPr="006A0A3F">
        <w:rPr>
          <w:rFonts w:ascii="Verdana" w:hAnsi="Verdana" w:cs="Arial"/>
          <w:sz w:val="20"/>
          <w:szCs w:val="20"/>
        </w:rPr>
        <w:t xml:space="preserve">Por ello, </w:t>
      </w:r>
      <w:r w:rsidR="006843DB" w:rsidRPr="006A0A3F">
        <w:rPr>
          <w:rFonts w:ascii="Verdana" w:hAnsi="Verdana"/>
          <w:sz w:val="20"/>
          <w:szCs w:val="20"/>
        </w:rPr>
        <w:t xml:space="preserve">las decisiones que adopten los órganos internos que puedan afectar derechos humanos deben estar debidamente fundamentadas, pues de lo contrario serían </w:t>
      </w:r>
      <w:r w:rsidR="006843DB" w:rsidRPr="006A0A3F">
        <w:rPr>
          <w:rFonts w:ascii="Verdana" w:hAnsi="Verdana"/>
          <w:sz w:val="20"/>
          <w:szCs w:val="20"/>
        </w:rPr>
        <w:lastRenderedPageBreak/>
        <w:t>decisiones arbitrarias</w:t>
      </w:r>
      <w:r w:rsidR="006843DB" w:rsidRPr="006A0A3F">
        <w:rPr>
          <w:rStyle w:val="FootnoteReference"/>
          <w:rFonts w:ascii="Verdana" w:hAnsi="Verdana"/>
          <w:bCs/>
          <w:iCs/>
          <w:sz w:val="20"/>
          <w:szCs w:val="20"/>
        </w:rPr>
        <w:footnoteReference w:id="239"/>
      </w:r>
      <w:r w:rsidR="006843DB" w:rsidRPr="006A0A3F">
        <w:rPr>
          <w:rFonts w:ascii="Verdana" w:hAnsi="Verdana"/>
          <w:sz w:val="20"/>
          <w:szCs w:val="20"/>
        </w:rPr>
        <w:t>. En este sentido, la argumentación de un fallo y de ciertos actos administrativos deben permitir conocer cuáles fueron los hechos, motivos y normas en que se basó la autoridad para tomar su decisión</w:t>
      </w:r>
      <w:r w:rsidR="006843DB" w:rsidRPr="006A0A3F">
        <w:rPr>
          <w:rStyle w:val="FootnoteReference"/>
          <w:rFonts w:ascii="Verdana" w:hAnsi="Verdana"/>
          <w:sz w:val="20"/>
          <w:szCs w:val="20"/>
        </w:rPr>
        <w:footnoteReference w:id="240"/>
      </w:r>
      <w:r w:rsidR="006843DB" w:rsidRPr="006A0A3F">
        <w:rPr>
          <w:rFonts w:ascii="Verdana" w:hAnsi="Verdana"/>
          <w:sz w:val="20"/>
          <w:szCs w:val="20"/>
        </w:rPr>
        <w:t>. Además, debe mostrar que han sido debidamente tomados en cuenta los alegatos de las partes y que el conjunto de pruebas ha sido analizado</w:t>
      </w:r>
      <w:r w:rsidR="000375B5" w:rsidRPr="006A0A3F">
        <w:rPr>
          <w:rFonts w:ascii="Verdana" w:hAnsi="Verdana"/>
          <w:sz w:val="20"/>
          <w:szCs w:val="20"/>
        </w:rPr>
        <w:t xml:space="preserve">. </w:t>
      </w:r>
      <w:r w:rsidR="000375B5" w:rsidRPr="006A0A3F">
        <w:rPr>
          <w:rFonts w:ascii="Verdana" w:hAnsi="Verdana" w:cs="Arial"/>
          <w:sz w:val="20"/>
        </w:rPr>
        <w:t xml:space="preserve">Por ello, el deber de motivación es una de las “debidas garantías” incluidas en el artículo 8.1 para salvaguardar </w:t>
      </w:r>
      <w:r w:rsidR="001416EC" w:rsidRPr="006A0A3F">
        <w:rPr>
          <w:rFonts w:ascii="Verdana" w:hAnsi="Verdana" w:cs="Arial"/>
          <w:sz w:val="20"/>
        </w:rPr>
        <w:t>los</w:t>
      </w:r>
      <w:r w:rsidR="000375B5" w:rsidRPr="006A0A3F">
        <w:rPr>
          <w:rFonts w:ascii="Verdana" w:hAnsi="Verdana" w:cs="Arial"/>
          <w:sz w:val="20"/>
        </w:rPr>
        <w:t xml:space="preserve"> derecho</w:t>
      </w:r>
      <w:r w:rsidR="001416EC" w:rsidRPr="006A0A3F">
        <w:rPr>
          <w:rFonts w:ascii="Verdana" w:hAnsi="Verdana" w:cs="Arial"/>
          <w:sz w:val="20"/>
        </w:rPr>
        <w:t xml:space="preserve">s a un debido proceso, </w:t>
      </w:r>
      <w:r w:rsidR="000375B5" w:rsidRPr="006A0A3F">
        <w:rPr>
          <w:rFonts w:ascii="Verdana" w:hAnsi="Verdana"/>
          <w:sz w:val="20"/>
        </w:rPr>
        <w:t>de acceso a la justicia y a conocer la verdad, en relación con el artículo 25 de la Convención</w:t>
      </w:r>
      <w:r w:rsidR="000375B5" w:rsidRPr="006A0A3F">
        <w:rPr>
          <w:rStyle w:val="FootnoteReference"/>
          <w:rFonts w:ascii="Verdana" w:hAnsi="Verdana"/>
          <w:sz w:val="20"/>
        </w:rPr>
        <w:footnoteReference w:id="241"/>
      </w:r>
      <w:r w:rsidR="000375B5" w:rsidRPr="006A0A3F">
        <w:rPr>
          <w:rFonts w:ascii="Verdana" w:hAnsi="Verdana"/>
          <w:sz w:val="20"/>
        </w:rPr>
        <w:t xml:space="preserve">. </w:t>
      </w:r>
    </w:p>
    <w:p w14:paraId="01D30F87" w14:textId="10750246" w:rsidR="00914963" w:rsidRPr="006A0A3F" w:rsidRDefault="00914963" w:rsidP="00914963">
      <w:pPr>
        <w:pBdr>
          <w:top w:val="nil"/>
        </w:pBdr>
        <w:autoSpaceDE w:val="0"/>
        <w:autoSpaceDN w:val="0"/>
        <w:adjustRightInd w:val="0"/>
        <w:spacing w:after="0" w:line="240" w:lineRule="auto"/>
        <w:jc w:val="both"/>
        <w:rPr>
          <w:rFonts w:ascii="Verdana" w:hAnsi="Verdana"/>
          <w:sz w:val="20"/>
          <w:szCs w:val="20"/>
        </w:rPr>
      </w:pPr>
    </w:p>
    <w:p w14:paraId="7DBD935E" w14:textId="2227DC73" w:rsidR="00F02E8D" w:rsidRPr="006A0A3F" w:rsidRDefault="008D37A5" w:rsidP="0081017F">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w:t>
      </w:r>
      <w:r w:rsidR="00914963" w:rsidRPr="006A0A3F">
        <w:rPr>
          <w:rFonts w:ascii="Verdana" w:hAnsi="Verdana"/>
          <w:sz w:val="20"/>
        </w:rPr>
        <w:t xml:space="preserve">as presuntas víctimas tuvieron acceso a la acción de amparo, la </w:t>
      </w:r>
      <w:r w:rsidR="00655FC1" w:rsidRPr="006A0A3F">
        <w:rPr>
          <w:rFonts w:ascii="Verdana" w:hAnsi="Verdana"/>
          <w:sz w:val="20"/>
        </w:rPr>
        <w:t>cual fue decidida por el fondo luego haber sido</w:t>
      </w:r>
      <w:r w:rsidR="00914963" w:rsidRPr="006A0A3F">
        <w:rPr>
          <w:rFonts w:ascii="Verdana" w:hAnsi="Verdana"/>
          <w:sz w:val="20"/>
        </w:rPr>
        <w:t xml:space="preserve"> evacuadas </w:t>
      </w:r>
      <w:r w:rsidR="00655FC1" w:rsidRPr="006A0A3F">
        <w:rPr>
          <w:rFonts w:ascii="Verdana" w:hAnsi="Verdana"/>
          <w:sz w:val="20"/>
        </w:rPr>
        <w:t xml:space="preserve">determinadas </w:t>
      </w:r>
      <w:r w:rsidR="00914963" w:rsidRPr="006A0A3F">
        <w:rPr>
          <w:rFonts w:ascii="Verdana" w:hAnsi="Verdana"/>
          <w:sz w:val="20"/>
        </w:rPr>
        <w:t xml:space="preserve">pruebas en audiencia. </w:t>
      </w:r>
      <w:r w:rsidR="00330FCD" w:rsidRPr="006A0A3F">
        <w:rPr>
          <w:rFonts w:ascii="Verdana" w:hAnsi="Verdana"/>
          <w:sz w:val="20"/>
        </w:rPr>
        <w:t xml:space="preserve">Sin embargo, </w:t>
      </w:r>
      <w:r w:rsidR="00633D2A" w:rsidRPr="006A0A3F">
        <w:rPr>
          <w:rFonts w:ascii="Verdana" w:hAnsi="Verdana"/>
          <w:sz w:val="20"/>
        </w:rPr>
        <w:t xml:space="preserve">las autoridades que decidieron la acción por el fondo o en apelación </w:t>
      </w:r>
      <w:r w:rsidR="00E75E12" w:rsidRPr="006A0A3F">
        <w:rPr>
          <w:rFonts w:ascii="Verdana" w:hAnsi="Verdana"/>
          <w:sz w:val="20"/>
        </w:rPr>
        <w:t xml:space="preserve">dejaron de valorar las grabaciones de las conversaciones telefónicas aportadas, por considerarlas pruebas ilícitas, y </w:t>
      </w:r>
      <w:r w:rsidR="00633D2A" w:rsidRPr="006A0A3F">
        <w:rPr>
          <w:rFonts w:ascii="Verdana" w:hAnsi="Verdana"/>
          <w:sz w:val="20"/>
        </w:rPr>
        <w:t>centraron su análisis en que</w:t>
      </w:r>
      <w:r w:rsidR="00330FCD" w:rsidRPr="006A0A3F">
        <w:rPr>
          <w:rFonts w:ascii="Verdana" w:hAnsi="Verdana"/>
          <w:sz w:val="20"/>
        </w:rPr>
        <w:t xml:space="preserve"> </w:t>
      </w:r>
      <w:r w:rsidR="00FB0971" w:rsidRPr="006A0A3F">
        <w:rPr>
          <w:rFonts w:ascii="Verdana" w:hAnsi="Verdana"/>
          <w:sz w:val="20"/>
        </w:rPr>
        <w:t>las</w:t>
      </w:r>
      <w:r w:rsidR="00633D2A" w:rsidRPr="006A0A3F">
        <w:rPr>
          <w:rFonts w:ascii="Verdana" w:hAnsi="Verdana"/>
          <w:sz w:val="20"/>
          <w:szCs w:val="20"/>
        </w:rPr>
        <w:t xml:space="preserve"> pruebas aportadas por la parte quejosa no permitían “establecer fehacientemente el nexo causal entre el pretendido trato discriminatorio por haber firmado y la decisión de poner </w:t>
      </w:r>
      <w:r w:rsidR="00A24F48" w:rsidRPr="006A0A3F">
        <w:rPr>
          <w:rFonts w:ascii="Verdana" w:hAnsi="Verdana"/>
          <w:sz w:val="20"/>
          <w:szCs w:val="20"/>
        </w:rPr>
        <w:t>fin a la relación de trabajo”</w:t>
      </w:r>
      <w:r w:rsidR="00FB0971" w:rsidRPr="006A0A3F">
        <w:rPr>
          <w:rFonts w:ascii="Verdana" w:hAnsi="Verdana"/>
          <w:sz w:val="20"/>
          <w:szCs w:val="20"/>
        </w:rPr>
        <w:t>. Además</w:t>
      </w:r>
      <w:r w:rsidR="00A24F48" w:rsidRPr="006A0A3F">
        <w:rPr>
          <w:rFonts w:ascii="Verdana" w:hAnsi="Verdana"/>
          <w:sz w:val="20"/>
          <w:szCs w:val="20"/>
        </w:rPr>
        <w:t>, tomar</w:t>
      </w:r>
      <w:r w:rsidR="00E75E12" w:rsidRPr="006A0A3F">
        <w:rPr>
          <w:rFonts w:ascii="Verdana" w:hAnsi="Verdana"/>
          <w:sz w:val="20"/>
          <w:szCs w:val="20"/>
        </w:rPr>
        <w:t>on</w:t>
      </w:r>
      <w:r w:rsidR="00A24F48" w:rsidRPr="006A0A3F">
        <w:rPr>
          <w:rFonts w:ascii="Verdana" w:hAnsi="Verdana"/>
          <w:sz w:val="20"/>
          <w:szCs w:val="20"/>
        </w:rPr>
        <w:t xml:space="preserve"> como cierta la explicación de la autoridad administrativa recurrida</w:t>
      </w:r>
      <w:r w:rsidR="005E6126" w:rsidRPr="006A0A3F">
        <w:rPr>
          <w:rFonts w:ascii="Verdana" w:hAnsi="Verdana"/>
          <w:sz w:val="20"/>
          <w:szCs w:val="20"/>
        </w:rPr>
        <w:t>,</w:t>
      </w:r>
      <w:r w:rsidR="00A24F48" w:rsidRPr="006A0A3F">
        <w:rPr>
          <w:rFonts w:ascii="Verdana" w:hAnsi="Verdana"/>
          <w:sz w:val="20"/>
          <w:szCs w:val="20"/>
        </w:rPr>
        <w:t xml:space="preserve"> </w:t>
      </w:r>
      <w:r w:rsidR="00E75E12" w:rsidRPr="006A0A3F">
        <w:rPr>
          <w:rFonts w:ascii="Verdana" w:hAnsi="Verdana"/>
          <w:sz w:val="20"/>
          <w:szCs w:val="20"/>
        </w:rPr>
        <w:t xml:space="preserve">a saber, </w:t>
      </w:r>
      <w:r w:rsidR="00A24F48" w:rsidRPr="006A0A3F">
        <w:rPr>
          <w:rFonts w:ascii="Verdana" w:hAnsi="Verdana"/>
          <w:sz w:val="20"/>
          <w:szCs w:val="20"/>
        </w:rPr>
        <w:t xml:space="preserve">la aplicación de la cláusula séptima del contrato </w:t>
      </w:r>
      <w:r w:rsidR="00E75E12" w:rsidRPr="006A0A3F">
        <w:rPr>
          <w:rFonts w:ascii="Verdana" w:hAnsi="Verdana"/>
          <w:sz w:val="20"/>
          <w:szCs w:val="20"/>
        </w:rPr>
        <w:t>como</w:t>
      </w:r>
      <w:r w:rsidR="00A24F48" w:rsidRPr="006A0A3F">
        <w:rPr>
          <w:rFonts w:ascii="Verdana" w:hAnsi="Verdana"/>
          <w:sz w:val="20"/>
          <w:szCs w:val="20"/>
        </w:rPr>
        <w:t xml:space="preserve"> </w:t>
      </w:r>
      <w:r w:rsidR="00E75E12" w:rsidRPr="006A0A3F">
        <w:rPr>
          <w:rFonts w:ascii="Verdana" w:hAnsi="Verdana"/>
          <w:sz w:val="20"/>
          <w:szCs w:val="20"/>
        </w:rPr>
        <w:t xml:space="preserve">una </w:t>
      </w:r>
      <w:r w:rsidR="00A24F48" w:rsidRPr="006A0A3F">
        <w:rPr>
          <w:rFonts w:ascii="Verdana" w:hAnsi="Verdana"/>
          <w:sz w:val="20"/>
          <w:szCs w:val="20"/>
        </w:rPr>
        <w:t>facultad discrecional</w:t>
      </w:r>
      <w:r w:rsidR="00E75E12" w:rsidRPr="006A0A3F">
        <w:rPr>
          <w:rFonts w:ascii="Verdana" w:hAnsi="Verdana"/>
          <w:sz w:val="20"/>
          <w:szCs w:val="20"/>
        </w:rPr>
        <w:t xml:space="preserve"> del empleador. </w:t>
      </w:r>
    </w:p>
    <w:p w14:paraId="5258DCB0" w14:textId="77777777" w:rsidR="00F02E8D" w:rsidRPr="006A0A3F" w:rsidRDefault="00F02E8D" w:rsidP="00F02E8D">
      <w:pPr>
        <w:pBdr>
          <w:top w:val="nil"/>
        </w:pBdr>
        <w:autoSpaceDE w:val="0"/>
        <w:autoSpaceDN w:val="0"/>
        <w:adjustRightInd w:val="0"/>
        <w:spacing w:after="0" w:line="240" w:lineRule="auto"/>
        <w:jc w:val="both"/>
        <w:rPr>
          <w:rFonts w:ascii="Verdana" w:hAnsi="Verdana"/>
          <w:sz w:val="20"/>
          <w:szCs w:val="20"/>
        </w:rPr>
      </w:pPr>
    </w:p>
    <w:p w14:paraId="521D0EE4" w14:textId="69F63EBE" w:rsidR="001416EC" w:rsidRPr="006A0A3F" w:rsidRDefault="00F02E8D"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Si bien las actuaciones de las autoridades estatales están cubiertas por una presunción de comportamiento conforme a derecho, en casos en que se alega una actuación arbitraria o una desviación de poder</w:t>
      </w:r>
      <w:r w:rsidR="00731418" w:rsidRPr="006A0A3F">
        <w:rPr>
          <w:rFonts w:ascii="Verdana" w:hAnsi="Verdana"/>
          <w:sz w:val="20"/>
          <w:szCs w:val="20"/>
        </w:rPr>
        <w:t>,</w:t>
      </w:r>
      <w:r w:rsidR="008A620F" w:rsidRPr="006A0A3F">
        <w:rPr>
          <w:rFonts w:ascii="Verdana" w:hAnsi="Verdana"/>
          <w:sz w:val="20"/>
          <w:szCs w:val="20"/>
        </w:rPr>
        <w:t xml:space="preserve"> la</w:t>
      </w:r>
      <w:r w:rsidRPr="006A0A3F">
        <w:rPr>
          <w:rFonts w:ascii="Verdana" w:hAnsi="Verdana"/>
          <w:sz w:val="20"/>
          <w:szCs w:val="20"/>
        </w:rPr>
        <w:t xml:space="preserve"> autoridad </w:t>
      </w:r>
      <w:r w:rsidR="00C0717F" w:rsidRPr="006A0A3F">
        <w:rPr>
          <w:rFonts w:ascii="Verdana" w:hAnsi="Verdana"/>
          <w:sz w:val="20"/>
          <w:szCs w:val="20"/>
        </w:rPr>
        <w:t>llamada a controlar tal</w:t>
      </w:r>
      <w:r w:rsidRPr="006A0A3F">
        <w:rPr>
          <w:rFonts w:ascii="Verdana" w:hAnsi="Verdana"/>
          <w:sz w:val="20"/>
          <w:szCs w:val="20"/>
        </w:rPr>
        <w:t xml:space="preserve"> </w:t>
      </w:r>
      <w:r w:rsidR="00C0717F" w:rsidRPr="006A0A3F">
        <w:rPr>
          <w:rFonts w:ascii="Verdana" w:hAnsi="Verdana"/>
          <w:sz w:val="20"/>
          <w:szCs w:val="20"/>
        </w:rPr>
        <w:t>actuación</w:t>
      </w:r>
      <w:r w:rsidRPr="006A0A3F">
        <w:rPr>
          <w:rFonts w:ascii="Verdana" w:hAnsi="Verdana"/>
          <w:sz w:val="20"/>
          <w:szCs w:val="20"/>
        </w:rPr>
        <w:t xml:space="preserve"> debe verificar, por todos los medios a su alcance, si existe una motivación o un propósito distinto al de la norma que otorga las potestades a l</w:t>
      </w:r>
      <w:r w:rsidR="0021421F" w:rsidRPr="006A0A3F">
        <w:rPr>
          <w:rFonts w:ascii="Verdana" w:hAnsi="Verdana"/>
          <w:sz w:val="20"/>
          <w:szCs w:val="20"/>
        </w:rPr>
        <w:t xml:space="preserve">a autoridad estatal </w:t>
      </w:r>
      <w:r w:rsidR="00731418" w:rsidRPr="006A0A3F">
        <w:rPr>
          <w:rFonts w:ascii="Verdana" w:hAnsi="Verdana"/>
          <w:sz w:val="20"/>
          <w:szCs w:val="20"/>
        </w:rPr>
        <w:t>que justificarían</w:t>
      </w:r>
      <w:r w:rsidR="00C0717F" w:rsidRPr="006A0A3F">
        <w:rPr>
          <w:rFonts w:ascii="Verdana" w:hAnsi="Verdana"/>
          <w:sz w:val="20"/>
          <w:szCs w:val="20"/>
        </w:rPr>
        <w:t xml:space="preserve"> formalmente </w:t>
      </w:r>
      <w:r w:rsidR="007C51D0" w:rsidRPr="006A0A3F">
        <w:rPr>
          <w:rFonts w:ascii="Verdana" w:hAnsi="Verdana"/>
          <w:sz w:val="20"/>
          <w:szCs w:val="20"/>
        </w:rPr>
        <w:t xml:space="preserve">su </w:t>
      </w:r>
      <w:r w:rsidR="00D20C97" w:rsidRPr="006A0A3F">
        <w:rPr>
          <w:rFonts w:ascii="Verdana" w:hAnsi="Verdana"/>
          <w:sz w:val="20"/>
          <w:szCs w:val="20"/>
        </w:rPr>
        <w:t xml:space="preserve">actuación </w:t>
      </w:r>
      <w:r w:rsidRPr="006A0A3F">
        <w:rPr>
          <w:rFonts w:ascii="Verdana" w:hAnsi="Verdana"/>
          <w:sz w:val="20"/>
          <w:szCs w:val="20"/>
        </w:rPr>
        <w:t>(</w:t>
      </w:r>
      <w:r w:rsidRPr="006A0A3F">
        <w:rPr>
          <w:rFonts w:ascii="Verdana" w:hAnsi="Verdana"/>
          <w:i/>
          <w:sz w:val="20"/>
          <w:szCs w:val="20"/>
        </w:rPr>
        <w:t>supra</w:t>
      </w:r>
      <w:r w:rsidRPr="006A0A3F">
        <w:rPr>
          <w:rFonts w:ascii="Verdana" w:hAnsi="Verdana"/>
          <w:sz w:val="20"/>
          <w:szCs w:val="20"/>
        </w:rPr>
        <w:t xml:space="preserve"> </w:t>
      </w:r>
      <w:proofErr w:type="spellStart"/>
      <w:r w:rsidRPr="006A0A3F">
        <w:rPr>
          <w:rFonts w:ascii="Verdana" w:hAnsi="Verdana"/>
          <w:sz w:val="20"/>
          <w:szCs w:val="20"/>
        </w:rPr>
        <w:t>párr</w:t>
      </w:r>
      <w:r w:rsidR="00862F2B" w:rsidRPr="006A0A3F">
        <w:rPr>
          <w:rFonts w:ascii="Verdana" w:hAnsi="Verdana"/>
          <w:sz w:val="20"/>
          <w:szCs w:val="20"/>
        </w:rPr>
        <w:t>s</w:t>
      </w:r>
      <w:proofErr w:type="spellEnd"/>
      <w:r w:rsidRPr="006A0A3F">
        <w:rPr>
          <w:rFonts w:ascii="Verdana" w:hAnsi="Verdana"/>
          <w:sz w:val="20"/>
          <w:szCs w:val="20"/>
        </w:rPr>
        <w:t xml:space="preserve">. </w:t>
      </w:r>
      <w:r w:rsidR="00862F2B" w:rsidRPr="006A0A3F">
        <w:rPr>
          <w:rFonts w:ascii="Verdana" w:hAnsi="Verdana"/>
          <w:sz w:val="20"/>
          <w:szCs w:val="20"/>
        </w:rPr>
        <w:t>12</w:t>
      </w:r>
      <w:r w:rsidR="004137B6">
        <w:rPr>
          <w:rFonts w:ascii="Verdana" w:hAnsi="Verdana"/>
          <w:sz w:val="20"/>
          <w:szCs w:val="20"/>
        </w:rPr>
        <w:t>1</w:t>
      </w:r>
      <w:r w:rsidR="00862F2B" w:rsidRPr="006A0A3F">
        <w:rPr>
          <w:rFonts w:ascii="Verdana" w:hAnsi="Verdana"/>
          <w:sz w:val="20"/>
          <w:szCs w:val="20"/>
        </w:rPr>
        <w:t xml:space="preserve"> y 1</w:t>
      </w:r>
      <w:r w:rsidR="004137B6">
        <w:rPr>
          <w:rFonts w:ascii="Verdana" w:hAnsi="Verdana"/>
          <w:sz w:val="20"/>
          <w:szCs w:val="20"/>
        </w:rPr>
        <w:t>22</w:t>
      </w:r>
      <w:r w:rsidRPr="006A0A3F">
        <w:rPr>
          <w:rFonts w:ascii="Verdana" w:hAnsi="Verdana"/>
          <w:sz w:val="20"/>
          <w:szCs w:val="20"/>
        </w:rPr>
        <w:t>).</w:t>
      </w:r>
      <w:r w:rsidR="0021421F" w:rsidRPr="006A0A3F">
        <w:rPr>
          <w:rFonts w:ascii="Verdana" w:hAnsi="Verdana"/>
          <w:sz w:val="20"/>
          <w:szCs w:val="20"/>
        </w:rPr>
        <w:t xml:space="preserve"> Lo anterior es, sin duda, parte de la obligación de los jueces y órganos vinculados a la administración de justicia en todos los niveles de ejercer </w:t>
      </w:r>
      <w:r w:rsidR="0021421F" w:rsidRPr="006A0A3F">
        <w:rPr>
          <w:rFonts w:ascii="Verdana" w:hAnsi="Verdana"/>
          <w:i/>
          <w:sz w:val="20"/>
          <w:szCs w:val="20"/>
        </w:rPr>
        <w:t xml:space="preserve">ex </w:t>
      </w:r>
      <w:proofErr w:type="spellStart"/>
      <w:r w:rsidR="0021421F" w:rsidRPr="006A0A3F">
        <w:rPr>
          <w:rFonts w:ascii="Verdana" w:hAnsi="Verdana"/>
          <w:i/>
          <w:sz w:val="20"/>
          <w:szCs w:val="20"/>
        </w:rPr>
        <w:t>officio</w:t>
      </w:r>
      <w:proofErr w:type="spellEnd"/>
      <w:r w:rsidR="0021421F" w:rsidRPr="006A0A3F">
        <w:rPr>
          <w:rFonts w:ascii="Verdana" w:hAnsi="Verdana"/>
          <w:sz w:val="20"/>
          <w:szCs w:val="20"/>
        </w:rPr>
        <w:t xml:space="preserve"> un “control de convencionalidad” entre las normas internas o los actos estatales y la Convención Americana, en el marco de sus respectivas competencias y de las regulaciones procesales correspondientes</w:t>
      </w:r>
      <w:r w:rsidR="0021421F" w:rsidRPr="006A0A3F">
        <w:rPr>
          <w:rStyle w:val="FootnoteAnchor"/>
          <w:rFonts w:ascii="Verdana" w:hAnsi="Verdana"/>
          <w:sz w:val="20"/>
          <w:szCs w:val="20"/>
        </w:rPr>
        <w:footnoteReference w:id="242"/>
      </w:r>
      <w:r w:rsidR="0021421F" w:rsidRPr="006A0A3F">
        <w:rPr>
          <w:rFonts w:ascii="Verdana" w:hAnsi="Verdana" w:cs="Arial"/>
          <w:sz w:val="20"/>
          <w:szCs w:val="20"/>
        </w:rPr>
        <w:t xml:space="preserve">. </w:t>
      </w:r>
    </w:p>
    <w:p w14:paraId="2CF211E2" w14:textId="77777777" w:rsidR="001416EC" w:rsidRPr="006A0A3F" w:rsidRDefault="001416EC" w:rsidP="001416EC">
      <w:pPr>
        <w:pStyle w:val="ListParagraph"/>
        <w:rPr>
          <w:rFonts w:ascii="Verdana" w:hAnsi="Verdana" w:cs="Arial"/>
          <w:sz w:val="20"/>
          <w:lang w:val="es-CR"/>
        </w:rPr>
      </w:pPr>
    </w:p>
    <w:p w14:paraId="2297DF5D" w14:textId="3FD120E3" w:rsidR="001D1C62" w:rsidRPr="006A0A3F" w:rsidRDefault="0021421F"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cs="Arial"/>
          <w:sz w:val="20"/>
          <w:szCs w:val="20"/>
        </w:rPr>
        <w:t xml:space="preserve">En este caso, </w:t>
      </w:r>
      <w:r w:rsidR="00731418" w:rsidRPr="006A0A3F">
        <w:rPr>
          <w:rFonts w:ascii="Verdana" w:hAnsi="Verdana" w:cs="Arial"/>
          <w:sz w:val="20"/>
          <w:szCs w:val="20"/>
        </w:rPr>
        <w:t xml:space="preserve">ante alegatos de </w:t>
      </w:r>
      <w:r w:rsidR="00731418" w:rsidRPr="006A0A3F">
        <w:rPr>
          <w:rFonts w:ascii="Verdana" w:hAnsi="Verdana"/>
          <w:sz w:val="20"/>
          <w:szCs w:val="20"/>
        </w:rPr>
        <w:t xml:space="preserve">persecución o discriminación política, represalia encubierta o restricciones arbitrarias indirectas al ejercicio de una serie de derechos, los jueces </w:t>
      </w:r>
      <w:r w:rsidRPr="006A0A3F">
        <w:rPr>
          <w:rFonts w:ascii="Verdana" w:hAnsi="Verdana"/>
          <w:sz w:val="20"/>
          <w:szCs w:val="20"/>
        </w:rPr>
        <w:t>estaba</w:t>
      </w:r>
      <w:r w:rsidR="00C0717F" w:rsidRPr="006A0A3F">
        <w:rPr>
          <w:rFonts w:ascii="Verdana" w:hAnsi="Verdana"/>
          <w:sz w:val="20"/>
          <w:szCs w:val="20"/>
        </w:rPr>
        <w:t>n</w:t>
      </w:r>
      <w:r w:rsidRPr="006A0A3F">
        <w:rPr>
          <w:rFonts w:ascii="Verdana" w:hAnsi="Verdana"/>
          <w:sz w:val="20"/>
          <w:szCs w:val="20"/>
        </w:rPr>
        <w:t xml:space="preserve"> en posición y obligación</w:t>
      </w:r>
      <w:r w:rsidR="00A7543A" w:rsidRPr="006A0A3F">
        <w:rPr>
          <w:rFonts w:ascii="Verdana" w:hAnsi="Verdana"/>
          <w:sz w:val="20"/>
          <w:szCs w:val="20"/>
        </w:rPr>
        <w:t>, por control de convencionalidad,</w:t>
      </w:r>
      <w:r w:rsidRPr="006A0A3F">
        <w:rPr>
          <w:rFonts w:ascii="Verdana" w:hAnsi="Verdana"/>
          <w:sz w:val="20"/>
          <w:szCs w:val="20"/>
        </w:rPr>
        <w:t xml:space="preserve"> de garantizar una protección judicial con las debidas garantías a la</w:t>
      </w:r>
      <w:r w:rsidR="00731418" w:rsidRPr="006A0A3F">
        <w:rPr>
          <w:rFonts w:ascii="Verdana" w:hAnsi="Verdana"/>
          <w:sz w:val="20"/>
          <w:szCs w:val="20"/>
        </w:rPr>
        <w:t>s</w:t>
      </w:r>
      <w:r w:rsidRPr="006A0A3F">
        <w:rPr>
          <w:rFonts w:ascii="Verdana" w:hAnsi="Verdana"/>
          <w:sz w:val="20"/>
          <w:szCs w:val="20"/>
        </w:rPr>
        <w:t xml:space="preserve"> presunta</w:t>
      </w:r>
      <w:r w:rsidR="00731418" w:rsidRPr="006A0A3F">
        <w:rPr>
          <w:rFonts w:ascii="Verdana" w:hAnsi="Verdana"/>
          <w:sz w:val="20"/>
          <w:szCs w:val="20"/>
        </w:rPr>
        <w:t>s</w:t>
      </w:r>
      <w:r w:rsidRPr="006A0A3F">
        <w:rPr>
          <w:rFonts w:ascii="Verdana" w:hAnsi="Verdana"/>
          <w:sz w:val="20"/>
          <w:szCs w:val="20"/>
        </w:rPr>
        <w:t xml:space="preserve"> víctima</w:t>
      </w:r>
      <w:r w:rsidR="00731418" w:rsidRPr="006A0A3F">
        <w:rPr>
          <w:rFonts w:ascii="Verdana" w:hAnsi="Verdana"/>
          <w:sz w:val="20"/>
          <w:szCs w:val="20"/>
        </w:rPr>
        <w:t>s</w:t>
      </w:r>
      <w:r w:rsidR="00731418" w:rsidRPr="006A0A3F">
        <w:rPr>
          <w:rStyle w:val="FootnoteReference"/>
          <w:rFonts w:ascii="Verdana" w:hAnsi="Verdana"/>
          <w:sz w:val="20"/>
          <w:szCs w:val="20"/>
        </w:rPr>
        <w:footnoteReference w:id="243"/>
      </w:r>
      <w:r w:rsidRPr="006A0A3F">
        <w:rPr>
          <w:rFonts w:ascii="Verdana" w:hAnsi="Verdana"/>
          <w:sz w:val="20"/>
          <w:szCs w:val="20"/>
        </w:rPr>
        <w:t xml:space="preserve">, </w:t>
      </w:r>
      <w:r w:rsidR="00731418" w:rsidRPr="006A0A3F">
        <w:rPr>
          <w:rFonts w:ascii="Verdana" w:hAnsi="Verdana"/>
          <w:sz w:val="20"/>
          <w:szCs w:val="20"/>
        </w:rPr>
        <w:t>analizando la motivación o finalidad real del acto impugnado más allá de las ra</w:t>
      </w:r>
      <w:r w:rsidR="00A7543A" w:rsidRPr="006A0A3F">
        <w:rPr>
          <w:rFonts w:ascii="Verdana" w:hAnsi="Verdana"/>
          <w:sz w:val="20"/>
          <w:szCs w:val="20"/>
        </w:rPr>
        <w:t>zones formales invocadas por la autoridad recurrida</w:t>
      </w:r>
      <w:r w:rsidR="00C0717F" w:rsidRPr="006A0A3F">
        <w:rPr>
          <w:rFonts w:ascii="Verdana" w:hAnsi="Verdana"/>
          <w:sz w:val="20"/>
          <w:szCs w:val="20"/>
        </w:rPr>
        <w:t>,</w:t>
      </w:r>
      <w:r w:rsidR="00731418" w:rsidRPr="006A0A3F">
        <w:rPr>
          <w:rFonts w:ascii="Verdana" w:hAnsi="Verdana"/>
          <w:sz w:val="20"/>
          <w:szCs w:val="20"/>
        </w:rPr>
        <w:t xml:space="preserve"> </w:t>
      </w:r>
      <w:r w:rsidR="00655FC1" w:rsidRPr="006A0A3F">
        <w:rPr>
          <w:rFonts w:ascii="Verdana" w:hAnsi="Verdana"/>
          <w:sz w:val="20"/>
          <w:szCs w:val="20"/>
        </w:rPr>
        <w:t>así como</w:t>
      </w:r>
      <w:r w:rsidR="00A7543A" w:rsidRPr="006A0A3F">
        <w:rPr>
          <w:rFonts w:ascii="Verdana" w:hAnsi="Verdana"/>
          <w:sz w:val="20"/>
          <w:szCs w:val="20"/>
        </w:rPr>
        <w:t xml:space="preserve"> </w:t>
      </w:r>
      <w:r w:rsidR="00731418" w:rsidRPr="006A0A3F">
        <w:rPr>
          <w:rFonts w:ascii="Verdana" w:hAnsi="Verdana"/>
          <w:sz w:val="20"/>
          <w:szCs w:val="20"/>
        </w:rPr>
        <w:t xml:space="preserve">los </w:t>
      </w:r>
      <w:r w:rsidR="00731418" w:rsidRPr="006A0A3F">
        <w:rPr>
          <w:rFonts w:ascii="Verdana" w:hAnsi="Verdana"/>
          <w:sz w:val="20"/>
        </w:rPr>
        <w:t xml:space="preserve">elementos </w:t>
      </w:r>
      <w:r w:rsidR="00FB0971" w:rsidRPr="006A0A3F">
        <w:rPr>
          <w:rFonts w:ascii="Verdana" w:hAnsi="Verdana"/>
          <w:sz w:val="20"/>
        </w:rPr>
        <w:t xml:space="preserve">contextuales e indiciarios </w:t>
      </w:r>
      <w:r w:rsidR="00731418" w:rsidRPr="006A0A3F">
        <w:rPr>
          <w:rFonts w:ascii="Verdana" w:hAnsi="Verdana"/>
          <w:sz w:val="20"/>
        </w:rPr>
        <w:t xml:space="preserve">relevantes </w:t>
      </w:r>
      <w:r w:rsidR="00A7543A" w:rsidRPr="006A0A3F">
        <w:rPr>
          <w:rFonts w:ascii="Verdana" w:hAnsi="Verdana"/>
          <w:sz w:val="20"/>
        </w:rPr>
        <w:t>señalados</w:t>
      </w:r>
      <w:r w:rsidR="00731418" w:rsidRPr="006A0A3F">
        <w:rPr>
          <w:rFonts w:ascii="Verdana" w:hAnsi="Verdana"/>
          <w:sz w:val="20"/>
        </w:rPr>
        <w:t xml:space="preserve"> en el capítulo anterior</w:t>
      </w:r>
      <w:r w:rsidR="001B0E00" w:rsidRPr="006A0A3F">
        <w:rPr>
          <w:rFonts w:ascii="Verdana" w:hAnsi="Verdana"/>
          <w:sz w:val="20"/>
          <w:szCs w:val="20"/>
        </w:rPr>
        <w:t>. Lo anterior por cuanto, si bien no “puede exigirse al empleador la prueba diabólica del hecho</w:t>
      </w:r>
      <w:r w:rsidR="00FB0971" w:rsidRPr="006A0A3F">
        <w:rPr>
          <w:rFonts w:ascii="Verdana" w:hAnsi="Verdana"/>
          <w:sz w:val="20"/>
          <w:szCs w:val="20"/>
        </w:rPr>
        <w:t xml:space="preserve"> negativo de la discriminación” (</w:t>
      </w:r>
      <w:r w:rsidR="001B0E00" w:rsidRPr="006A0A3F">
        <w:rPr>
          <w:rFonts w:ascii="Verdana" w:hAnsi="Verdana"/>
          <w:sz w:val="20"/>
          <w:szCs w:val="20"/>
        </w:rPr>
        <w:t xml:space="preserve">según consideró el </w:t>
      </w:r>
      <w:r w:rsidR="00FB0971" w:rsidRPr="006A0A3F">
        <w:rPr>
          <w:rFonts w:ascii="Verdana" w:hAnsi="Verdana"/>
          <w:sz w:val="20"/>
          <w:szCs w:val="20"/>
        </w:rPr>
        <w:t>juzgado</w:t>
      </w:r>
      <w:r w:rsidR="001B0E00" w:rsidRPr="006A0A3F">
        <w:rPr>
          <w:rFonts w:ascii="Verdana" w:hAnsi="Verdana"/>
          <w:sz w:val="20"/>
          <w:szCs w:val="20"/>
        </w:rPr>
        <w:t xml:space="preserve"> que resolvió la apelación</w:t>
      </w:r>
      <w:r w:rsidR="00FB0971" w:rsidRPr="006A0A3F">
        <w:rPr>
          <w:rFonts w:ascii="Verdana" w:hAnsi="Verdana"/>
          <w:sz w:val="20"/>
          <w:szCs w:val="20"/>
        </w:rPr>
        <w:t>)</w:t>
      </w:r>
      <w:r w:rsidR="001B0E00" w:rsidRPr="006A0A3F">
        <w:rPr>
          <w:rFonts w:ascii="Verdana" w:hAnsi="Verdana"/>
          <w:sz w:val="20"/>
          <w:szCs w:val="20"/>
        </w:rPr>
        <w:t>,</w:t>
      </w:r>
      <w:r w:rsidR="00731418" w:rsidRPr="006A0A3F">
        <w:rPr>
          <w:rFonts w:ascii="Verdana" w:hAnsi="Verdana"/>
          <w:sz w:val="20"/>
          <w:szCs w:val="20"/>
        </w:rPr>
        <w:t xml:space="preserve"> en ese tipo de casos es prácticamente imposible para el recurrente demostrar “fehacientemente” un</w:t>
      </w:r>
      <w:r w:rsidR="00C0717F" w:rsidRPr="006A0A3F">
        <w:rPr>
          <w:rFonts w:ascii="Verdana" w:hAnsi="Verdana"/>
          <w:sz w:val="20"/>
          <w:szCs w:val="20"/>
        </w:rPr>
        <w:t xml:space="preserve"> nexo causal, con pruebas directas, </w:t>
      </w:r>
      <w:r w:rsidR="008A620F" w:rsidRPr="006A0A3F">
        <w:rPr>
          <w:rFonts w:ascii="Verdana" w:hAnsi="Verdana"/>
          <w:sz w:val="20"/>
          <w:szCs w:val="20"/>
        </w:rPr>
        <w:t xml:space="preserve">entre un </w:t>
      </w:r>
      <w:r w:rsidR="00731418" w:rsidRPr="006A0A3F">
        <w:rPr>
          <w:rFonts w:ascii="Verdana" w:hAnsi="Verdana"/>
          <w:sz w:val="20"/>
          <w:szCs w:val="20"/>
        </w:rPr>
        <w:t>trato discriminatorio y la decisión</w:t>
      </w:r>
      <w:r w:rsidR="008A620F" w:rsidRPr="006A0A3F">
        <w:rPr>
          <w:rFonts w:ascii="Verdana" w:hAnsi="Verdana"/>
          <w:sz w:val="20"/>
          <w:szCs w:val="20"/>
        </w:rPr>
        <w:t xml:space="preserve"> formal</w:t>
      </w:r>
      <w:r w:rsidR="00731418" w:rsidRPr="006A0A3F">
        <w:rPr>
          <w:rFonts w:ascii="Verdana" w:hAnsi="Verdana"/>
          <w:sz w:val="20"/>
          <w:szCs w:val="20"/>
        </w:rPr>
        <w:t xml:space="preserve"> de </w:t>
      </w:r>
      <w:r w:rsidR="00843700" w:rsidRPr="006A0A3F">
        <w:rPr>
          <w:rFonts w:ascii="Verdana" w:hAnsi="Verdana"/>
          <w:sz w:val="20"/>
          <w:szCs w:val="20"/>
        </w:rPr>
        <w:t>terminar los contratos</w:t>
      </w:r>
      <w:r w:rsidR="00731418" w:rsidRPr="006A0A3F">
        <w:rPr>
          <w:rFonts w:ascii="Verdana" w:hAnsi="Verdana"/>
          <w:sz w:val="20"/>
          <w:szCs w:val="20"/>
        </w:rPr>
        <w:t>, tal como</w:t>
      </w:r>
      <w:r w:rsidR="001B0E00" w:rsidRPr="006A0A3F">
        <w:rPr>
          <w:rFonts w:ascii="Verdana" w:hAnsi="Verdana"/>
          <w:sz w:val="20"/>
          <w:szCs w:val="20"/>
        </w:rPr>
        <w:t xml:space="preserve"> exigió</w:t>
      </w:r>
      <w:r w:rsidR="00731418" w:rsidRPr="006A0A3F">
        <w:rPr>
          <w:rFonts w:ascii="Verdana" w:hAnsi="Verdana"/>
          <w:sz w:val="20"/>
          <w:szCs w:val="20"/>
        </w:rPr>
        <w:t xml:space="preserve"> </w:t>
      </w:r>
      <w:r w:rsidR="00FB0971" w:rsidRPr="006A0A3F">
        <w:rPr>
          <w:rFonts w:ascii="Verdana" w:hAnsi="Verdana"/>
          <w:sz w:val="20"/>
          <w:szCs w:val="20"/>
        </w:rPr>
        <w:t>el j</w:t>
      </w:r>
      <w:r w:rsidR="001B0E00" w:rsidRPr="006A0A3F">
        <w:rPr>
          <w:rFonts w:ascii="Verdana" w:hAnsi="Verdana"/>
          <w:sz w:val="20"/>
          <w:szCs w:val="20"/>
        </w:rPr>
        <w:t xml:space="preserve">uzgado </w:t>
      </w:r>
      <w:r w:rsidR="00731418" w:rsidRPr="006A0A3F">
        <w:rPr>
          <w:rFonts w:ascii="Verdana" w:hAnsi="Verdana"/>
          <w:sz w:val="20"/>
          <w:szCs w:val="20"/>
        </w:rPr>
        <w:t xml:space="preserve">que </w:t>
      </w:r>
      <w:r w:rsidR="001B0E00" w:rsidRPr="006A0A3F">
        <w:rPr>
          <w:rFonts w:ascii="Verdana" w:hAnsi="Verdana"/>
          <w:sz w:val="20"/>
          <w:szCs w:val="20"/>
        </w:rPr>
        <w:t xml:space="preserve">resolvió </w:t>
      </w:r>
      <w:r w:rsidR="00731418" w:rsidRPr="006A0A3F">
        <w:rPr>
          <w:rFonts w:ascii="Verdana" w:hAnsi="Verdana"/>
          <w:sz w:val="20"/>
          <w:szCs w:val="20"/>
        </w:rPr>
        <w:t>el amparo.</w:t>
      </w:r>
      <w:r w:rsidR="001B0E00" w:rsidRPr="006A0A3F">
        <w:rPr>
          <w:rFonts w:ascii="Verdana" w:hAnsi="Verdana"/>
          <w:sz w:val="20"/>
          <w:szCs w:val="20"/>
        </w:rPr>
        <w:t xml:space="preserve"> </w:t>
      </w:r>
      <w:r w:rsidR="00731418" w:rsidRPr="006A0A3F">
        <w:rPr>
          <w:rFonts w:ascii="Verdana" w:hAnsi="Verdana"/>
          <w:sz w:val="20"/>
          <w:szCs w:val="20"/>
        </w:rPr>
        <w:t xml:space="preserve"> </w:t>
      </w:r>
    </w:p>
    <w:p w14:paraId="152FC37A" w14:textId="77777777" w:rsidR="001D1C62" w:rsidRPr="006A0A3F" w:rsidRDefault="001D1C62" w:rsidP="001D1C62">
      <w:pPr>
        <w:pBdr>
          <w:top w:val="nil"/>
        </w:pBdr>
        <w:autoSpaceDE w:val="0"/>
        <w:autoSpaceDN w:val="0"/>
        <w:adjustRightInd w:val="0"/>
        <w:spacing w:after="0" w:line="240" w:lineRule="auto"/>
        <w:jc w:val="both"/>
        <w:rPr>
          <w:rFonts w:ascii="Verdana" w:hAnsi="Verdana"/>
          <w:sz w:val="20"/>
          <w:szCs w:val="20"/>
        </w:rPr>
      </w:pPr>
    </w:p>
    <w:p w14:paraId="347EA927" w14:textId="3183EF6A" w:rsidR="00390D2B" w:rsidRPr="006A0A3F" w:rsidRDefault="00255446"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w:t>
      </w:r>
      <w:r w:rsidR="00FB0971" w:rsidRPr="006A0A3F">
        <w:rPr>
          <w:rFonts w:ascii="Verdana" w:hAnsi="Verdana"/>
          <w:sz w:val="20"/>
          <w:szCs w:val="20"/>
        </w:rPr>
        <w:t>l j</w:t>
      </w:r>
      <w:r w:rsidR="00843700" w:rsidRPr="006A0A3F">
        <w:rPr>
          <w:rFonts w:ascii="Verdana" w:hAnsi="Verdana"/>
          <w:sz w:val="20"/>
          <w:szCs w:val="20"/>
        </w:rPr>
        <w:t>uzgado</w:t>
      </w:r>
      <w:r w:rsidR="001D1C62" w:rsidRPr="006A0A3F">
        <w:rPr>
          <w:rFonts w:ascii="Verdana" w:hAnsi="Verdana"/>
          <w:sz w:val="20"/>
          <w:szCs w:val="20"/>
        </w:rPr>
        <w:t xml:space="preserve"> planteó adecuadamente </w:t>
      </w:r>
      <w:r w:rsidR="00655FC1" w:rsidRPr="006A0A3F">
        <w:rPr>
          <w:rFonts w:ascii="Verdana" w:hAnsi="Verdana"/>
          <w:sz w:val="20"/>
          <w:szCs w:val="20"/>
        </w:rPr>
        <w:t xml:space="preserve">que </w:t>
      </w:r>
      <w:r w:rsidR="001D1C62" w:rsidRPr="006A0A3F">
        <w:rPr>
          <w:rFonts w:ascii="Verdana" w:hAnsi="Verdana"/>
          <w:sz w:val="20"/>
          <w:szCs w:val="20"/>
        </w:rPr>
        <w:t xml:space="preserve">el objeto de controversia </w:t>
      </w:r>
      <w:r w:rsidR="00655FC1" w:rsidRPr="006A0A3F">
        <w:rPr>
          <w:rFonts w:ascii="Verdana" w:hAnsi="Verdana"/>
          <w:sz w:val="20"/>
          <w:szCs w:val="20"/>
        </w:rPr>
        <w:t xml:space="preserve">era </w:t>
      </w:r>
      <w:r w:rsidR="001D1C62" w:rsidRPr="006A0A3F">
        <w:rPr>
          <w:rFonts w:ascii="Verdana" w:hAnsi="Verdana"/>
          <w:sz w:val="20"/>
          <w:szCs w:val="20"/>
        </w:rPr>
        <w:t xml:space="preserve">establecer </w:t>
      </w:r>
      <w:r w:rsidRPr="006A0A3F">
        <w:rPr>
          <w:rFonts w:ascii="Verdana" w:hAnsi="Verdana"/>
          <w:sz w:val="20"/>
          <w:szCs w:val="20"/>
        </w:rPr>
        <w:t xml:space="preserve">si existía </w:t>
      </w:r>
      <w:r w:rsidR="001D1C62" w:rsidRPr="006A0A3F">
        <w:rPr>
          <w:rFonts w:ascii="Verdana" w:hAnsi="Verdana"/>
          <w:sz w:val="20"/>
          <w:szCs w:val="20"/>
        </w:rPr>
        <w:t xml:space="preserve">una “relación de causalidad entre el presunto trato discriminatorio por razones políticas como </w:t>
      </w:r>
      <w:r w:rsidR="001D1C62" w:rsidRPr="006A0A3F">
        <w:rPr>
          <w:rFonts w:ascii="Verdana" w:hAnsi="Verdana"/>
          <w:sz w:val="20"/>
          <w:szCs w:val="20"/>
        </w:rPr>
        <w:lastRenderedPageBreak/>
        <w:t>causa de la resolución de contratos de</w:t>
      </w:r>
      <w:r w:rsidRPr="006A0A3F">
        <w:rPr>
          <w:rFonts w:ascii="Verdana" w:hAnsi="Verdana"/>
          <w:sz w:val="20"/>
          <w:szCs w:val="20"/>
        </w:rPr>
        <w:t xml:space="preserve"> las quejosas”. No obstante, </w:t>
      </w:r>
      <w:r w:rsidR="00843700" w:rsidRPr="006A0A3F">
        <w:rPr>
          <w:rFonts w:ascii="Verdana" w:hAnsi="Verdana"/>
          <w:sz w:val="20"/>
          <w:szCs w:val="20"/>
        </w:rPr>
        <w:t xml:space="preserve">se </w:t>
      </w:r>
      <w:r w:rsidRPr="006A0A3F">
        <w:rPr>
          <w:rFonts w:ascii="Verdana" w:hAnsi="Verdana"/>
          <w:sz w:val="20"/>
          <w:szCs w:val="20"/>
        </w:rPr>
        <w:t>limitó</w:t>
      </w:r>
      <w:r w:rsidR="00843700" w:rsidRPr="006A0A3F">
        <w:rPr>
          <w:rFonts w:ascii="Verdana" w:hAnsi="Verdana"/>
          <w:sz w:val="20"/>
          <w:szCs w:val="20"/>
        </w:rPr>
        <w:t xml:space="preserve"> a recabar las declaraciones de las tres presuntas víctimas y del entonces Secretario Ejecutivo del CNF</w:t>
      </w:r>
      <w:r w:rsidR="00746CFF" w:rsidRPr="006A0A3F">
        <w:rPr>
          <w:rFonts w:ascii="Verdana" w:hAnsi="Verdana"/>
          <w:sz w:val="20"/>
          <w:szCs w:val="20"/>
        </w:rPr>
        <w:t>; restringió su análisis a determinar que las accionantes no demostraron que, encontrándose en una situación de hecho idéntica con relación a otros trabajadores del ente querellado, ellas recibieron un tratamiento distinto o desigu</w:t>
      </w:r>
      <w:r w:rsidR="00330FCD" w:rsidRPr="006A0A3F">
        <w:rPr>
          <w:rFonts w:ascii="Verdana" w:hAnsi="Verdana"/>
          <w:sz w:val="20"/>
          <w:szCs w:val="20"/>
        </w:rPr>
        <w:t>al en perjuicio de sus derechos</w:t>
      </w:r>
      <w:r w:rsidR="00746CFF" w:rsidRPr="006A0A3F">
        <w:rPr>
          <w:rFonts w:ascii="Verdana" w:hAnsi="Verdana"/>
          <w:sz w:val="20"/>
          <w:szCs w:val="20"/>
        </w:rPr>
        <w:t>;</w:t>
      </w:r>
      <w:r w:rsidR="00843700" w:rsidRPr="006A0A3F">
        <w:rPr>
          <w:rFonts w:ascii="Verdana" w:hAnsi="Verdana"/>
          <w:sz w:val="20"/>
          <w:szCs w:val="20"/>
        </w:rPr>
        <w:t xml:space="preserve"> y omitió la realización de otras diligencias</w:t>
      </w:r>
      <w:r w:rsidR="001D1C62" w:rsidRPr="006A0A3F">
        <w:rPr>
          <w:rFonts w:ascii="Verdana" w:hAnsi="Verdana"/>
          <w:sz w:val="20"/>
          <w:szCs w:val="20"/>
        </w:rPr>
        <w:t xml:space="preserve"> que podían ser</w:t>
      </w:r>
      <w:r w:rsidR="00843700" w:rsidRPr="006A0A3F">
        <w:rPr>
          <w:rFonts w:ascii="Verdana" w:hAnsi="Verdana"/>
          <w:sz w:val="20"/>
          <w:szCs w:val="20"/>
        </w:rPr>
        <w:t xml:space="preserve"> relevantes para comprobar el alegato de discriminación</w:t>
      </w:r>
      <w:r w:rsidR="00843700" w:rsidRPr="006A0A3F">
        <w:rPr>
          <w:rStyle w:val="FootnoteReference"/>
          <w:rFonts w:ascii="Verdana" w:hAnsi="Verdana"/>
          <w:sz w:val="20"/>
          <w:szCs w:val="20"/>
        </w:rPr>
        <w:footnoteReference w:id="244"/>
      </w:r>
      <w:r w:rsidR="00843700" w:rsidRPr="006A0A3F">
        <w:rPr>
          <w:rFonts w:ascii="Verdana" w:hAnsi="Verdana"/>
          <w:sz w:val="20"/>
          <w:szCs w:val="20"/>
        </w:rPr>
        <w:t>.</w:t>
      </w:r>
      <w:r w:rsidR="001B0E00" w:rsidRPr="006A0A3F">
        <w:rPr>
          <w:rFonts w:ascii="Verdana" w:hAnsi="Verdana"/>
          <w:sz w:val="20"/>
          <w:szCs w:val="20"/>
        </w:rPr>
        <w:t xml:space="preserve"> </w:t>
      </w:r>
      <w:r w:rsidR="00843700" w:rsidRPr="006A0A3F">
        <w:rPr>
          <w:rFonts w:ascii="Verdana" w:hAnsi="Verdana"/>
          <w:sz w:val="20"/>
          <w:szCs w:val="20"/>
        </w:rPr>
        <w:t xml:space="preserve"> </w:t>
      </w:r>
      <w:r w:rsidR="00FB0971" w:rsidRPr="006A0A3F">
        <w:rPr>
          <w:rFonts w:ascii="Verdana" w:hAnsi="Verdana"/>
          <w:sz w:val="20"/>
          <w:szCs w:val="20"/>
        </w:rPr>
        <w:t>Tampoco</w:t>
      </w:r>
      <w:r w:rsidR="00390D2B" w:rsidRPr="006A0A3F">
        <w:rPr>
          <w:rFonts w:ascii="Verdana" w:eastAsia="Calibri" w:hAnsi="Verdana"/>
          <w:sz w:val="20"/>
        </w:rPr>
        <w:t xml:space="preserve"> </w:t>
      </w:r>
      <w:r w:rsidR="00843700" w:rsidRPr="006A0A3F">
        <w:rPr>
          <w:rFonts w:ascii="Verdana" w:eastAsia="Calibri" w:hAnsi="Verdana"/>
          <w:sz w:val="20"/>
        </w:rPr>
        <w:t xml:space="preserve">consta </w:t>
      </w:r>
      <w:r w:rsidR="00390D2B" w:rsidRPr="006A0A3F">
        <w:rPr>
          <w:rFonts w:ascii="Verdana" w:eastAsia="Calibri" w:hAnsi="Verdana"/>
          <w:sz w:val="20"/>
        </w:rPr>
        <w:t xml:space="preserve">una motivación suficiente en las resoluciones judiciales respecto de </w:t>
      </w:r>
      <w:r w:rsidR="00843700" w:rsidRPr="006A0A3F">
        <w:rPr>
          <w:rFonts w:ascii="Verdana" w:eastAsia="Calibri" w:hAnsi="Verdana"/>
          <w:sz w:val="20"/>
        </w:rPr>
        <w:t xml:space="preserve">todos los alegatos planteados, particularmente </w:t>
      </w:r>
      <w:r w:rsidR="00390D2B" w:rsidRPr="006A0A3F">
        <w:rPr>
          <w:rFonts w:ascii="Verdana" w:eastAsia="Calibri" w:hAnsi="Verdana"/>
          <w:sz w:val="20"/>
        </w:rPr>
        <w:t xml:space="preserve">la posible comisión de un acto discriminatorio o de represalia política en el contexto y con los elementos indiciarios </w:t>
      </w:r>
      <w:r w:rsidR="008A620F" w:rsidRPr="006A0A3F">
        <w:rPr>
          <w:rFonts w:ascii="Verdana" w:eastAsia="Calibri" w:hAnsi="Verdana"/>
          <w:sz w:val="20"/>
        </w:rPr>
        <w:t>presentados</w:t>
      </w:r>
      <w:r w:rsidR="00843700" w:rsidRPr="006A0A3F">
        <w:rPr>
          <w:rFonts w:ascii="Verdana" w:eastAsia="Calibri" w:hAnsi="Verdana"/>
          <w:sz w:val="20"/>
        </w:rPr>
        <w:t>.</w:t>
      </w:r>
    </w:p>
    <w:p w14:paraId="05D7C0FE" w14:textId="77777777" w:rsidR="00E75E12" w:rsidRPr="006A0A3F" w:rsidRDefault="00E75E12" w:rsidP="00E75E12">
      <w:pPr>
        <w:pStyle w:val="ListParagraph"/>
        <w:rPr>
          <w:rFonts w:ascii="Verdana" w:hAnsi="Verdana"/>
          <w:sz w:val="20"/>
          <w:lang w:val="es-CR"/>
        </w:rPr>
      </w:pPr>
    </w:p>
    <w:p w14:paraId="2D032CC8" w14:textId="7C6BFA93" w:rsidR="00E75E12" w:rsidRPr="006A0A3F" w:rsidRDefault="00E75E12"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Los juzgados</w:t>
      </w:r>
      <w:r w:rsidR="00646320" w:rsidRPr="006A0A3F">
        <w:rPr>
          <w:rFonts w:ascii="Verdana" w:hAnsi="Verdana"/>
          <w:sz w:val="20"/>
          <w:szCs w:val="20"/>
        </w:rPr>
        <w:t xml:space="preserve"> nacionales rechazaron como pruebas las grabaciones y </w:t>
      </w:r>
      <w:r w:rsidR="00646320" w:rsidRPr="006A0A3F">
        <w:rPr>
          <w:rFonts w:ascii="Verdana" w:eastAsia="Calibri" w:hAnsi="Verdana"/>
          <w:sz w:val="20"/>
        </w:rPr>
        <w:t>transcripciones de grabaciones de conversaciones telefónicas entre la señora San Miguel y dos funcionarios relacionados con los hechos (</w:t>
      </w:r>
      <w:r w:rsidR="00646320" w:rsidRPr="006A0A3F">
        <w:rPr>
          <w:rFonts w:ascii="Verdana" w:eastAsia="Calibri" w:hAnsi="Verdana"/>
          <w:i/>
          <w:sz w:val="20"/>
        </w:rPr>
        <w:t xml:space="preserve">supra </w:t>
      </w:r>
      <w:r w:rsidR="004137B6">
        <w:rPr>
          <w:rFonts w:ascii="Verdana" w:eastAsia="Calibri" w:hAnsi="Verdana"/>
          <w:sz w:val="20"/>
        </w:rPr>
        <w:t>párr. 32</w:t>
      </w:r>
      <w:r w:rsidR="00646320" w:rsidRPr="006A0A3F">
        <w:rPr>
          <w:rFonts w:ascii="Verdana" w:eastAsia="Calibri" w:hAnsi="Verdana"/>
          <w:sz w:val="20"/>
        </w:rPr>
        <w:t xml:space="preserve">), por considerarlas pruebas “ilícitas </w:t>
      </w:r>
      <w:r w:rsidR="00646320" w:rsidRPr="006A0A3F">
        <w:rPr>
          <w:rFonts w:ascii="Verdana" w:hAnsi="Verdana"/>
          <w:sz w:val="20"/>
          <w:szCs w:val="20"/>
        </w:rPr>
        <w:t>e ilegítimas” que no podían ser admitidas en juicio,</w:t>
      </w:r>
      <w:r w:rsidR="00646320" w:rsidRPr="006A0A3F">
        <w:rPr>
          <w:rFonts w:ascii="Verdana" w:eastAsia="Calibri" w:hAnsi="Verdana"/>
          <w:sz w:val="20"/>
        </w:rPr>
        <w:t xml:space="preserve"> con base en que habrían sido “obtenidas sin el consentimiento de los presuntos interlocutores” y que no tenía certeza sobre las voces de éstos</w:t>
      </w:r>
      <w:r w:rsidR="00646320" w:rsidRPr="006A0A3F">
        <w:rPr>
          <w:rFonts w:ascii="Verdana" w:hAnsi="Verdana"/>
          <w:sz w:val="20"/>
          <w:szCs w:val="20"/>
        </w:rPr>
        <w:t>. Co</w:t>
      </w:r>
      <w:r w:rsidR="00646320" w:rsidRPr="006A0A3F">
        <w:rPr>
          <w:rFonts w:ascii="Verdana" w:eastAsia="Calibri" w:hAnsi="Verdana"/>
          <w:sz w:val="20"/>
        </w:rPr>
        <w:t>ntra el propio concepto de prueba prohibida sobre el que decide, el juzgado no refirió o explicó la específica norma legal o principio de derecho que la grabación registrada por la señora San Miguel habría contrariado, ni señaló cual fue correspondientemente la prohibición de naturaleza material y procesal que tales pruebas habrían infringido. La resolución del juzgado no precisa sobre la base de qué norma jurídica o principio entendía que el consentimiento de uno de los interlocutores de una conversación era, en las circunstancias de ese caso, un elemento imprescindible para considerar que el registro o grabación de la comunicación realizada por el otro interlocutor, que alegaba una vulneración de sus derechos, era ilícito y por ello afectaba su carácter de prueba. El tribunal que conoció la apelación no dio argumentación adicional al respecto.</w:t>
      </w:r>
    </w:p>
    <w:p w14:paraId="4A3167DD" w14:textId="1CAF168A" w:rsidR="00646320" w:rsidRPr="006A0A3F" w:rsidRDefault="00646320" w:rsidP="00646320">
      <w:pPr>
        <w:pBdr>
          <w:top w:val="nil"/>
        </w:pBdr>
        <w:autoSpaceDE w:val="0"/>
        <w:autoSpaceDN w:val="0"/>
        <w:adjustRightInd w:val="0"/>
        <w:spacing w:after="0" w:line="240" w:lineRule="auto"/>
        <w:jc w:val="both"/>
        <w:rPr>
          <w:rFonts w:ascii="Verdana" w:hAnsi="Verdana"/>
          <w:b/>
          <w:sz w:val="20"/>
          <w:szCs w:val="20"/>
          <w:highlight w:val="yellow"/>
        </w:rPr>
      </w:pPr>
    </w:p>
    <w:p w14:paraId="6E16F056" w14:textId="356376FE" w:rsidR="009C3D9D" w:rsidRPr="006A0A3F" w:rsidRDefault="00646320"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Así, los juzgados que conocieron el amparo consideraron tales pruebas como ilícitas, sin tomar en cuenta el interés público de la cuestión y que en el caso se trataba del único medio de</w:t>
      </w:r>
      <w:r w:rsidR="00372E74">
        <w:rPr>
          <w:rFonts w:ascii="Verdana" w:hAnsi="Verdana"/>
          <w:sz w:val="20"/>
          <w:szCs w:val="20"/>
        </w:rPr>
        <w:t xml:space="preserve"> prueba directa. Tampoco admitieron</w:t>
      </w:r>
      <w:r w:rsidRPr="006A0A3F">
        <w:rPr>
          <w:rFonts w:ascii="Verdana" w:hAnsi="Verdana"/>
          <w:sz w:val="20"/>
          <w:szCs w:val="20"/>
        </w:rPr>
        <w:t xml:space="preserve"> ciertas noticias periodíst</w:t>
      </w:r>
      <w:r w:rsidR="00372E74">
        <w:rPr>
          <w:rFonts w:ascii="Verdana" w:hAnsi="Verdana"/>
          <w:sz w:val="20"/>
          <w:szCs w:val="20"/>
        </w:rPr>
        <w:t>icas y, en definitiva, no indagaron</w:t>
      </w:r>
      <w:r w:rsidRPr="006A0A3F">
        <w:rPr>
          <w:rFonts w:ascii="Verdana" w:hAnsi="Verdana"/>
          <w:sz w:val="20"/>
          <w:szCs w:val="20"/>
        </w:rPr>
        <w:t xml:space="preserve"> acerca de las motivaciones del despido, conformándose con las generalidades sin sustento particularizado. </w:t>
      </w:r>
      <w:r w:rsidR="009C3D9D" w:rsidRPr="006A0A3F">
        <w:rPr>
          <w:rFonts w:ascii="Verdana" w:hAnsi="Verdana"/>
          <w:sz w:val="20"/>
          <w:szCs w:val="20"/>
        </w:rPr>
        <w:t xml:space="preserve"> </w:t>
      </w:r>
    </w:p>
    <w:p w14:paraId="2B0AF21D" w14:textId="77777777" w:rsidR="009C3D9D" w:rsidRPr="006A0A3F" w:rsidRDefault="009C3D9D" w:rsidP="009C3D9D">
      <w:pPr>
        <w:pStyle w:val="ListParagraph"/>
        <w:rPr>
          <w:rFonts w:ascii="Verdana" w:hAnsi="Verdana"/>
          <w:b/>
          <w:sz w:val="20"/>
          <w:highlight w:val="yellow"/>
          <w:lang w:val="es-CR"/>
        </w:rPr>
      </w:pPr>
    </w:p>
    <w:p w14:paraId="108C737B" w14:textId="4018762B" w:rsidR="00646320" w:rsidRPr="006A0A3F" w:rsidRDefault="00646320" w:rsidP="0084370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En consecuencia, el Tribunal concluye que la motivación o fundamentación expuesta por los juzgados internos fueron insuficientes al decidir sobre la situación jurídica que se alegaba infringida</w:t>
      </w:r>
      <w:r w:rsidR="003E3AFD" w:rsidRPr="006A0A3F">
        <w:rPr>
          <w:rFonts w:ascii="Verdana" w:hAnsi="Verdana"/>
          <w:sz w:val="20"/>
          <w:szCs w:val="20"/>
        </w:rPr>
        <w:t xml:space="preserve">, afectando así </w:t>
      </w:r>
      <w:r w:rsidR="004F5EFF" w:rsidRPr="006A0A3F">
        <w:rPr>
          <w:rFonts w:ascii="Verdana" w:hAnsi="Verdana"/>
          <w:sz w:val="20"/>
          <w:szCs w:val="20"/>
        </w:rPr>
        <w:t>los</w:t>
      </w:r>
      <w:r w:rsidR="003E3AFD" w:rsidRPr="006A0A3F">
        <w:rPr>
          <w:rFonts w:ascii="Verdana" w:hAnsi="Verdana"/>
          <w:sz w:val="20"/>
          <w:szCs w:val="20"/>
        </w:rPr>
        <w:t xml:space="preserve"> derecho</w:t>
      </w:r>
      <w:r w:rsidR="004F5EFF" w:rsidRPr="006A0A3F">
        <w:rPr>
          <w:rFonts w:ascii="Verdana" w:hAnsi="Verdana"/>
          <w:sz w:val="20"/>
          <w:szCs w:val="20"/>
        </w:rPr>
        <w:t>s</w:t>
      </w:r>
      <w:r w:rsidR="003E3AFD" w:rsidRPr="006A0A3F">
        <w:rPr>
          <w:rFonts w:ascii="Verdana" w:hAnsi="Verdana"/>
          <w:sz w:val="20"/>
          <w:szCs w:val="20"/>
        </w:rPr>
        <w:t xml:space="preserve"> de acceso a la justicia y a un recurso judicial efectivo</w:t>
      </w:r>
      <w:r w:rsidR="004F5EFF" w:rsidRPr="006A0A3F">
        <w:rPr>
          <w:rFonts w:ascii="Verdana" w:hAnsi="Verdana"/>
          <w:sz w:val="20"/>
          <w:szCs w:val="20"/>
        </w:rPr>
        <w:t xml:space="preserve"> de las presuntas víctimas</w:t>
      </w:r>
      <w:r w:rsidRPr="006A0A3F">
        <w:rPr>
          <w:rFonts w:ascii="Verdana" w:hAnsi="Verdana"/>
          <w:sz w:val="20"/>
          <w:szCs w:val="20"/>
        </w:rPr>
        <w:t xml:space="preserve">. </w:t>
      </w:r>
    </w:p>
    <w:p w14:paraId="4414A2F7" w14:textId="77777777" w:rsidR="00C0717F" w:rsidRPr="006A0A3F" w:rsidRDefault="00C0717F" w:rsidP="00C0717F">
      <w:pPr>
        <w:pBdr>
          <w:top w:val="nil"/>
        </w:pBdr>
        <w:autoSpaceDE w:val="0"/>
        <w:autoSpaceDN w:val="0"/>
        <w:adjustRightInd w:val="0"/>
        <w:spacing w:after="0" w:line="240" w:lineRule="auto"/>
        <w:jc w:val="both"/>
        <w:rPr>
          <w:rFonts w:ascii="Verdana" w:hAnsi="Verdana"/>
          <w:sz w:val="20"/>
          <w:szCs w:val="20"/>
        </w:rPr>
      </w:pPr>
    </w:p>
    <w:p w14:paraId="29A4B254" w14:textId="430A1276" w:rsidR="00DC4D18" w:rsidRPr="006A0A3F" w:rsidRDefault="001416EC" w:rsidP="0059181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R</w:t>
      </w:r>
      <w:r w:rsidR="00591810" w:rsidRPr="006A0A3F">
        <w:rPr>
          <w:rFonts w:ascii="Verdana" w:hAnsi="Verdana"/>
          <w:sz w:val="20"/>
          <w:szCs w:val="20"/>
        </w:rPr>
        <w:t>especto de si la acción de amparo fue tramitada en forma rápida, y en relación con la alegada violación del principio de plazo razonable contenido en el artículo 8 de la Convención, la C</w:t>
      </w:r>
      <w:r w:rsidR="00536011" w:rsidRPr="006A0A3F">
        <w:rPr>
          <w:rFonts w:ascii="Verdana" w:hAnsi="Verdana"/>
          <w:sz w:val="20"/>
          <w:szCs w:val="20"/>
        </w:rPr>
        <w:t xml:space="preserve">orte estima pertinente recordar </w:t>
      </w:r>
      <w:r w:rsidR="00DC4D18" w:rsidRPr="006A0A3F">
        <w:rPr>
          <w:rFonts w:ascii="Verdana" w:hAnsi="Verdana"/>
          <w:sz w:val="20"/>
          <w:szCs w:val="20"/>
        </w:rPr>
        <w:t xml:space="preserve">que en el caso </w:t>
      </w:r>
      <w:proofErr w:type="spellStart"/>
      <w:r w:rsidR="00DC4D18" w:rsidRPr="006A0A3F">
        <w:rPr>
          <w:rFonts w:ascii="Verdana" w:hAnsi="Verdana"/>
          <w:i/>
          <w:iCs/>
          <w:sz w:val="20"/>
          <w:szCs w:val="20"/>
        </w:rPr>
        <w:t>Apitz</w:t>
      </w:r>
      <w:proofErr w:type="spellEnd"/>
      <w:r w:rsidR="00DC4D18" w:rsidRPr="006A0A3F">
        <w:rPr>
          <w:rFonts w:ascii="Verdana" w:hAnsi="Verdana"/>
          <w:i/>
          <w:iCs/>
          <w:sz w:val="20"/>
          <w:szCs w:val="20"/>
        </w:rPr>
        <w:t xml:space="preserve"> Barbera y otros Vs. Venezuela </w:t>
      </w:r>
      <w:r w:rsidR="00DC4D18" w:rsidRPr="006A0A3F">
        <w:rPr>
          <w:rFonts w:ascii="Verdana" w:hAnsi="Verdana"/>
          <w:sz w:val="20"/>
          <w:szCs w:val="20"/>
        </w:rPr>
        <w:t>consideró que</w:t>
      </w:r>
      <w:r w:rsidR="00591810" w:rsidRPr="006A0A3F">
        <w:rPr>
          <w:rFonts w:ascii="Verdana" w:hAnsi="Verdana"/>
          <w:sz w:val="20"/>
          <w:szCs w:val="20"/>
        </w:rPr>
        <w:t>,</w:t>
      </w:r>
      <w:r w:rsidR="00DC4D18" w:rsidRPr="006A0A3F">
        <w:rPr>
          <w:rFonts w:ascii="Verdana" w:hAnsi="Verdana"/>
          <w:sz w:val="20"/>
          <w:szCs w:val="20"/>
        </w:rPr>
        <w:t xml:space="preserve"> </w:t>
      </w:r>
      <w:r w:rsidR="00C52A61" w:rsidRPr="006A0A3F">
        <w:rPr>
          <w:rFonts w:ascii="Verdana" w:hAnsi="Verdana"/>
          <w:sz w:val="20"/>
          <w:szCs w:val="20"/>
        </w:rPr>
        <w:t>según</w:t>
      </w:r>
      <w:r w:rsidR="00DC4D18" w:rsidRPr="006A0A3F">
        <w:rPr>
          <w:rFonts w:ascii="Verdana" w:hAnsi="Verdana"/>
          <w:sz w:val="20"/>
          <w:szCs w:val="20"/>
        </w:rPr>
        <w:t xml:space="preserve"> el derecho interno venezolano</w:t>
      </w:r>
      <w:r w:rsidR="00591810" w:rsidRPr="006A0A3F">
        <w:rPr>
          <w:rFonts w:ascii="Verdana" w:hAnsi="Verdana"/>
          <w:sz w:val="20"/>
          <w:szCs w:val="20"/>
        </w:rPr>
        <w:t>,</w:t>
      </w:r>
      <w:r w:rsidR="00DC4D18" w:rsidRPr="006A0A3F">
        <w:rPr>
          <w:rFonts w:ascii="Verdana" w:hAnsi="Verdana"/>
          <w:sz w:val="20"/>
          <w:szCs w:val="20"/>
        </w:rPr>
        <w:t xml:space="preserve"> </w:t>
      </w:r>
      <w:r w:rsidR="00591810" w:rsidRPr="006A0A3F">
        <w:rPr>
          <w:rFonts w:ascii="Verdana" w:hAnsi="Verdana"/>
          <w:sz w:val="20"/>
          <w:szCs w:val="20"/>
        </w:rPr>
        <w:t>correspondía</w:t>
      </w:r>
      <w:r w:rsidR="00DC4D18" w:rsidRPr="006A0A3F">
        <w:rPr>
          <w:rFonts w:ascii="Verdana" w:hAnsi="Verdana"/>
          <w:sz w:val="20"/>
          <w:szCs w:val="20"/>
        </w:rPr>
        <w:t xml:space="preserve"> hacer un análisis que diferenciara la duración de </w:t>
      </w:r>
      <w:r w:rsidR="00C52A61" w:rsidRPr="006A0A3F">
        <w:rPr>
          <w:rFonts w:ascii="Verdana" w:hAnsi="Verdana"/>
          <w:sz w:val="20"/>
          <w:szCs w:val="20"/>
        </w:rPr>
        <w:t>una</w:t>
      </w:r>
      <w:r w:rsidR="00DC4D18" w:rsidRPr="006A0A3F">
        <w:rPr>
          <w:rFonts w:ascii="Verdana" w:hAnsi="Verdana"/>
          <w:sz w:val="20"/>
          <w:szCs w:val="20"/>
        </w:rPr>
        <w:t xml:space="preserve"> resolución del amparo de la duración de </w:t>
      </w:r>
      <w:r w:rsidR="00C52A61" w:rsidRPr="006A0A3F">
        <w:rPr>
          <w:rFonts w:ascii="Verdana" w:hAnsi="Verdana"/>
          <w:sz w:val="20"/>
          <w:szCs w:val="20"/>
        </w:rPr>
        <w:t>una</w:t>
      </w:r>
      <w:r w:rsidR="00DC4D18" w:rsidRPr="006A0A3F">
        <w:rPr>
          <w:rFonts w:ascii="Verdana" w:hAnsi="Verdana"/>
          <w:sz w:val="20"/>
          <w:szCs w:val="20"/>
        </w:rPr>
        <w:t xml:space="preserve"> resolución del recurso de nulidad que, aunque ejercidos conjuntamente, </w:t>
      </w:r>
      <w:r w:rsidR="00591810" w:rsidRPr="006A0A3F">
        <w:rPr>
          <w:rFonts w:ascii="Verdana" w:hAnsi="Verdana"/>
          <w:sz w:val="20"/>
          <w:szCs w:val="20"/>
        </w:rPr>
        <w:t>tenían</w:t>
      </w:r>
      <w:r w:rsidR="00DC4D18" w:rsidRPr="006A0A3F">
        <w:rPr>
          <w:rFonts w:ascii="Verdana" w:hAnsi="Verdana"/>
          <w:sz w:val="20"/>
          <w:szCs w:val="20"/>
        </w:rPr>
        <w:t xml:space="preserve"> fines distintos</w:t>
      </w:r>
      <w:r w:rsidR="00591810" w:rsidRPr="006A0A3F">
        <w:rPr>
          <w:rStyle w:val="FootnoteReference"/>
          <w:rFonts w:ascii="Verdana" w:hAnsi="Verdana"/>
          <w:sz w:val="20"/>
          <w:szCs w:val="20"/>
        </w:rPr>
        <w:footnoteReference w:id="245"/>
      </w:r>
      <w:r w:rsidR="002E6DFB" w:rsidRPr="006A0A3F">
        <w:rPr>
          <w:rFonts w:ascii="Verdana" w:hAnsi="Verdana"/>
          <w:sz w:val="20"/>
          <w:szCs w:val="20"/>
        </w:rPr>
        <w:t xml:space="preserve">. </w:t>
      </w:r>
      <w:r w:rsidR="005833CC" w:rsidRPr="006A0A3F">
        <w:rPr>
          <w:rFonts w:ascii="Verdana" w:hAnsi="Verdana"/>
          <w:sz w:val="20"/>
          <w:szCs w:val="20"/>
        </w:rPr>
        <w:t>S</w:t>
      </w:r>
      <w:r w:rsidR="00DC4D18" w:rsidRPr="006A0A3F">
        <w:rPr>
          <w:rFonts w:ascii="Verdana" w:hAnsi="Verdana"/>
          <w:sz w:val="20"/>
          <w:szCs w:val="20"/>
        </w:rPr>
        <w:t>i bien tal situación no es análoga a los hechos del presente caso,</w:t>
      </w:r>
      <w:r w:rsidR="00591810" w:rsidRPr="006A0A3F">
        <w:rPr>
          <w:rFonts w:ascii="Verdana" w:hAnsi="Verdana"/>
          <w:sz w:val="20"/>
          <w:szCs w:val="20"/>
        </w:rPr>
        <w:t xml:space="preserve"> en que no fue intentado recurso de nulidad</w:t>
      </w:r>
      <w:r w:rsidR="002E6DFB" w:rsidRPr="006A0A3F">
        <w:rPr>
          <w:rFonts w:ascii="Verdana" w:hAnsi="Verdana"/>
          <w:sz w:val="20"/>
          <w:szCs w:val="20"/>
        </w:rPr>
        <w:t xml:space="preserve"> alguno</w:t>
      </w:r>
      <w:r w:rsidR="00591810" w:rsidRPr="006A0A3F">
        <w:rPr>
          <w:rFonts w:ascii="Verdana" w:hAnsi="Verdana"/>
          <w:sz w:val="20"/>
          <w:szCs w:val="20"/>
        </w:rPr>
        <w:t>, es relevante que</w:t>
      </w:r>
      <w:r w:rsidR="00DC4D18" w:rsidRPr="006A0A3F">
        <w:rPr>
          <w:rFonts w:ascii="Verdana" w:hAnsi="Verdana"/>
          <w:sz w:val="20"/>
          <w:szCs w:val="20"/>
        </w:rPr>
        <w:t xml:space="preserve"> en el </w:t>
      </w:r>
      <w:r w:rsidR="00DC4D18" w:rsidRPr="006A0A3F">
        <w:rPr>
          <w:rFonts w:ascii="Verdana" w:hAnsi="Verdana"/>
          <w:i/>
          <w:sz w:val="20"/>
          <w:szCs w:val="20"/>
        </w:rPr>
        <w:t xml:space="preserve">caso </w:t>
      </w:r>
      <w:proofErr w:type="spellStart"/>
      <w:r w:rsidR="00DC4D18" w:rsidRPr="006A0A3F">
        <w:rPr>
          <w:rFonts w:ascii="Verdana" w:hAnsi="Verdana"/>
          <w:i/>
          <w:sz w:val="20"/>
          <w:szCs w:val="20"/>
        </w:rPr>
        <w:t>Granier</w:t>
      </w:r>
      <w:proofErr w:type="spellEnd"/>
      <w:r w:rsidR="00DC4D18" w:rsidRPr="006A0A3F">
        <w:rPr>
          <w:rFonts w:ascii="Verdana" w:hAnsi="Verdana"/>
          <w:i/>
          <w:sz w:val="20"/>
          <w:szCs w:val="20"/>
        </w:rPr>
        <w:t xml:space="preserve"> y otros Vs. Venezuela</w:t>
      </w:r>
      <w:r w:rsidR="00DC4D18" w:rsidRPr="006A0A3F">
        <w:rPr>
          <w:rFonts w:ascii="Verdana" w:hAnsi="Verdana"/>
          <w:sz w:val="20"/>
          <w:szCs w:val="20"/>
        </w:rPr>
        <w:t xml:space="preserve"> </w:t>
      </w:r>
      <w:r w:rsidR="002E6DFB" w:rsidRPr="006A0A3F">
        <w:rPr>
          <w:rFonts w:ascii="Verdana" w:hAnsi="Verdana"/>
          <w:sz w:val="20"/>
          <w:szCs w:val="20"/>
        </w:rPr>
        <w:t>este Tribunal</w:t>
      </w:r>
      <w:r w:rsidR="00DC4D18" w:rsidRPr="006A0A3F">
        <w:rPr>
          <w:rFonts w:ascii="Verdana" w:hAnsi="Verdana"/>
          <w:sz w:val="20"/>
          <w:szCs w:val="20"/>
        </w:rPr>
        <w:t xml:space="preserve"> consider</w:t>
      </w:r>
      <w:r w:rsidR="00A91AB1">
        <w:rPr>
          <w:rFonts w:ascii="Verdana" w:hAnsi="Verdana"/>
          <w:sz w:val="20"/>
          <w:szCs w:val="20"/>
        </w:rPr>
        <w:t>ó</w:t>
      </w:r>
      <w:r w:rsidR="00DC4D18" w:rsidRPr="006A0A3F">
        <w:rPr>
          <w:rFonts w:ascii="Verdana" w:hAnsi="Verdana"/>
          <w:sz w:val="20"/>
          <w:szCs w:val="20"/>
        </w:rPr>
        <w:t xml:space="preserve"> que la alegada </w:t>
      </w:r>
      <w:r w:rsidR="00DC4D18" w:rsidRPr="006A0A3F">
        <w:rPr>
          <w:rFonts w:ascii="Verdana" w:hAnsi="Verdana"/>
          <w:sz w:val="20"/>
          <w:szCs w:val="20"/>
        </w:rPr>
        <w:lastRenderedPageBreak/>
        <w:t>demora injustificada de un rec</w:t>
      </w:r>
      <w:r w:rsidR="00CE221B" w:rsidRPr="006A0A3F">
        <w:rPr>
          <w:rFonts w:ascii="Verdana" w:hAnsi="Verdana"/>
          <w:sz w:val="20"/>
          <w:szCs w:val="20"/>
        </w:rPr>
        <w:t>urso de amparo debía ser analizada</w:t>
      </w:r>
      <w:r w:rsidR="00DC4D18" w:rsidRPr="006A0A3F">
        <w:rPr>
          <w:rFonts w:ascii="Verdana" w:hAnsi="Verdana"/>
          <w:sz w:val="20"/>
          <w:szCs w:val="20"/>
        </w:rPr>
        <w:t xml:space="preserve"> a la luz d</w:t>
      </w:r>
      <w:r w:rsidR="00805094" w:rsidRPr="006A0A3F">
        <w:rPr>
          <w:rFonts w:ascii="Verdana" w:hAnsi="Verdana"/>
          <w:sz w:val="20"/>
          <w:szCs w:val="20"/>
        </w:rPr>
        <w:t>el artículo 25 de la Convención</w:t>
      </w:r>
      <w:r w:rsidR="00DC4D18" w:rsidRPr="006A0A3F">
        <w:rPr>
          <w:rStyle w:val="FootnoteReference"/>
          <w:rFonts w:ascii="Verdana" w:hAnsi="Verdana"/>
          <w:sz w:val="20"/>
          <w:szCs w:val="20"/>
        </w:rPr>
        <w:footnoteReference w:id="246"/>
      </w:r>
      <w:r w:rsidR="00A91AB1">
        <w:rPr>
          <w:rFonts w:ascii="Verdana" w:hAnsi="Verdana"/>
          <w:sz w:val="20"/>
          <w:szCs w:val="20"/>
        </w:rPr>
        <w:t xml:space="preserve">, lo cual es aplicable al presente caso. </w:t>
      </w:r>
    </w:p>
    <w:p w14:paraId="443DC430" w14:textId="3FA984AD" w:rsidR="00591810" w:rsidRPr="006A0A3F" w:rsidRDefault="00591810" w:rsidP="00591810">
      <w:pPr>
        <w:pBdr>
          <w:top w:val="nil"/>
        </w:pBdr>
        <w:autoSpaceDE w:val="0"/>
        <w:autoSpaceDN w:val="0"/>
        <w:adjustRightInd w:val="0"/>
        <w:spacing w:after="0" w:line="240" w:lineRule="auto"/>
        <w:jc w:val="both"/>
        <w:rPr>
          <w:rFonts w:ascii="Verdana" w:hAnsi="Verdana"/>
          <w:sz w:val="20"/>
          <w:szCs w:val="20"/>
        </w:rPr>
      </w:pPr>
    </w:p>
    <w:p w14:paraId="109C40B4" w14:textId="3C410860" w:rsidR="00591810" w:rsidRPr="006A0A3F" w:rsidRDefault="00591810" w:rsidP="0059181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este sentido, </w:t>
      </w:r>
      <w:r w:rsidR="00F901BB" w:rsidRPr="006A0A3F">
        <w:rPr>
          <w:rFonts w:ascii="Verdana" w:hAnsi="Verdana"/>
          <w:sz w:val="20"/>
          <w:szCs w:val="20"/>
        </w:rPr>
        <w:t xml:space="preserve">la Corte considera que, </w:t>
      </w:r>
      <w:r w:rsidRPr="006A0A3F">
        <w:rPr>
          <w:rFonts w:ascii="Verdana" w:hAnsi="Verdana"/>
          <w:sz w:val="20"/>
          <w:szCs w:val="20"/>
        </w:rPr>
        <w:t>para evaluar la rapidez con que debe tramitarse una acción o recurso de amparo, en los términos del artículo 25 de la Convenci</w:t>
      </w:r>
      <w:r w:rsidR="00920B98" w:rsidRPr="006A0A3F">
        <w:rPr>
          <w:rFonts w:ascii="Verdana" w:hAnsi="Verdana"/>
          <w:sz w:val="20"/>
          <w:szCs w:val="20"/>
        </w:rPr>
        <w:t xml:space="preserve">ón, es necesario determinar si la autoridad judicial competente ha actuado en concordancia con las necesidades de protección del derecho que se alega violado, en atención a la </w:t>
      </w:r>
      <w:r w:rsidRPr="006A0A3F">
        <w:rPr>
          <w:rFonts w:ascii="Verdana" w:hAnsi="Verdana"/>
          <w:sz w:val="20"/>
          <w:szCs w:val="20"/>
        </w:rPr>
        <w:t>naturaleza de la situación jur</w:t>
      </w:r>
      <w:r w:rsidR="00920B98" w:rsidRPr="006A0A3F">
        <w:rPr>
          <w:rFonts w:ascii="Verdana" w:hAnsi="Verdana"/>
          <w:sz w:val="20"/>
          <w:szCs w:val="20"/>
        </w:rPr>
        <w:t>ídica que se alega infringida, así como a la particular situación de vulnerabilidad del accionante en relación con la posible o inminente afectación o lesión que sufriría si el recurso no es resuelto con la diligencia que la situación requiera.</w:t>
      </w:r>
    </w:p>
    <w:p w14:paraId="6C070EA6" w14:textId="77777777" w:rsidR="00C67E3A" w:rsidRPr="006A0A3F" w:rsidRDefault="00C67E3A" w:rsidP="00C67E3A">
      <w:pPr>
        <w:pStyle w:val="ListParagraph"/>
        <w:rPr>
          <w:rFonts w:ascii="Verdana" w:hAnsi="Verdana"/>
          <w:sz w:val="20"/>
          <w:lang w:val="es-CR"/>
        </w:rPr>
      </w:pPr>
    </w:p>
    <w:p w14:paraId="18A0B9EB" w14:textId="1D386F00" w:rsidR="00115DCE" w:rsidRPr="006A0A3F" w:rsidRDefault="00C67E3A" w:rsidP="00115DCE">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este caso, en </w:t>
      </w:r>
      <w:r w:rsidR="00E83441" w:rsidRPr="006A0A3F">
        <w:rPr>
          <w:rFonts w:ascii="Verdana" w:hAnsi="Verdana"/>
          <w:sz w:val="20"/>
          <w:szCs w:val="20"/>
        </w:rPr>
        <w:t xml:space="preserve">cada </w:t>
      </w:r>
      <w:r w:rsidRPr="006A0A3F">
        <w:rPr>
          <w:rFonts w:ascii="Verdana" w:hAnsi="Verdana"/>
          <w:sz w:val="20"/>
          <w:szCs w:val="20"/>
        </w:rPr>
        <w:t>instancia los tribunales resolvieron el asunto por el fondo</w:t>
      </w:r>
      <w:r w:rsidR="003D608E" w:rsidRPr="006A0A3F">
        <w:rPr>
          <w:rFonts w:ascii="Verdana" w:hAnsi="Verdana"/>
          <w:sz w:val="20"/>
          <w:szCs w:val="20"/>
        </w:rPr>
        <w:t>, una vez determinada la competencia,</w:t>
      </w:r>
      <w:r w:rsidRPr="006A0A3F">
        <w:rPr>
          <w:rFonts w:ascii="Verdana" w:hAnsi="Verdana"/>
          <w:sz w:val="20"/>
          <w:szCs w:val="20"/>
        </w:rPr>
        <w:t xml:space="preserve"> en dos meses </w:t>
      </w:r>
      <w:r w:rsidR="00E83441" w:rsidRPr="006A0A3F">
        <w:rPr>
          <w:rFonts w:ascii="Verdana" w:hAnsi="Verdana"/>
          <w:sz w:val="20"/>
          <w:szCs w:val="20"/>
        </w:rPr>
        <w:t>respectivamente</w:t>
      </w:r>
      <w:r w:rsidRPr="006A0A3F">
        <w:rPr>
          <w:rFonts w:ascii="Verdana" w:hAnsi="Verdana"/>
          <w:sz w:val="20"/>
          <w:szCs w:val="20"/>
        </w:rPr>
        <w:t>, lo cual cumple claramente con el criterio de rapidez</w:t>
      </w:r>
      <w:r w:rsidR="00922D60" w:rsidRPr="006A0A3F">
        <w:rPr>
          <w:rFonts w:ascii="Verdana" w:hAnsi="Verdana"/>
          <w:sz w:val="20"/>
          <w:szCs w:val="20"/>
        </w:rPr>
        <w:t xml:space="preserve"> del recurso bajo el artículo 25 de la Convención</w:t>
      </w:r>
      <w:r w:rsidRPr="006A0A3F">
        <w:rPr>
          <w:rFonts w:ascii="Verdana" w:hAnsi="Verdana"/>
          <w:sz w:val="20"/>
          <w:szCs w:val="20"/>
        </w:rPr>
        <w:t xml:space="preserve">. </w:t>
      </w:r>
      <w:r w:rsidR="00BC56D6" w:rsidRPr="006A0A3F">
        <w:rPr>
          <w:rFonts w:ascii="Verdana" w:hAnsi="Verdana"/>
          <w:sz w:val="20"/>
          <w:szCs w:val="20"/>
        </w:rPr>
        <w:t>Ciertamente</w:t>
      </w:r>
      <w:r w:rsidRPr="006A0A3F">
        <w:rPr>
          <w:rFonts w:ascii="Verdana" w:hAnsi="Verdana"/>
          <w:sz w:val="20"/>
          <w:szCs w:val="20"/>
        </w:rPr>
        <w:t xml:space="preserve"> la Sala Constitucional de la Corte Suprema tardó</w:t>
      </w:r>
      <w:r w:rsidR="006469FB" w:rsidRPr="006A0A3F">
        <w:rPr>
          <w:rFonts w:ascii="Verdana" w:hAnsi="Verdana"/>
          <w:sz w:val="20"/>
          <w:szCs w:val="20"/>
        </w:rPr>
        <w:t xml:space="preserve"> casi</w:t>
      </w:r>
      <w:r w:rsidRPr="006A0A3F">
        <w:rPr>
          <w:rFonts w:ascii="Verdana" w:hAnsi="Verdana"/>
          <w:sz w:val="20"/>
          <w:szCs w:val="20"/>
        </w:rPr>
        <w:t xml:space="preserve"> 10 meses en resolver una declinatoria </w:t>
      </w:r>
      <w:r w:rsidR="00115DCE" w:rsidRPr="006A0A3F">
        <w:rPr>
          <w:rFonts w:ascii="Verdana" w:hAnsi="Verdana"/>
          <w:sz w:val="20"/>
          <w:szCs w:val="20"/>
        </w:rPr>
        <w:t xml:space="preserve">inicial </w:t>
      </w:r>
      <w:r w:rsidRPr="006A0A3F">
        <w:rPr>
          <w:rFonts w:ascii="Verdana" w:hAnsi="Verdana"/>
          <w:sz w:val="20"/>
          <w:szCs w:val="20"/>
        </w:rPr>
        <w:t xml:space="preserve">de competencia del juzgado, </w:t>
      </w:r>
      <w:r w:rsidR="008D5A22" w:rsidRPr="006A0A3F">
        <w:rPr>
          <w:rFonts w:ascii="Verdana" w:hAnsi="Verdana"/>
          <w:sz w:val="20"/>
          <w:szCs w:val="20"/>
        </w:rPr>
        <w:t>aun</w:t>
      </w:r>
      <w:r w:rsidRPr="006A0A3F">
        <w:rPr>
          <w:rFonts w:ascii="Verdana" w:hAnsi="Verdana"/>
          <w:sz w:val="20"/>
          <w:szCs w:val="20"/>
        </w:rPr>
        <w:t xml:space="preserve"> cuando la determinación </w:t>
      </w:r>
      <w:r w:rsidR="00115DCE" w:rsidRPr="006A0A3F">
        <w:rPr>
          <w:rFonts w:ascii="Verdana" w:hAnsi="Verdana"/>
          <w:sz w:val="20"/>
          <w:szCs w:val="20"/>
        </w:rPr>
        <w:t>de que la autoridad recurrida no ejercía en ese acto como Ministro de Relaciones Exteriores sino como Presidente del Consejo Nacional de Fronteras, era una constatación que no tenía complejidad</w:t>
      </w:r>
      <w:r w:rsidR="00B923B0" w:rsidRPr="006A0A3F">
        <w:rPr>
          <w:rFonts w:ascii="Verdana" w:hAnsi="Verdana"/>
          <w:sz w:val="20"/>
          <w:szCs w:val="20"/>
        </w:rPr>
        <w:t xml:space="preserve"> alguna</w:t>
      </w:r>
      <w:r w:rsidR="00115DCE" w:rsidRPr="006A0A3F">
        <w:rPr>
          <w:rFonts w:ascii="Verdana" w:hAnsi="Verdana"/>
          <w:sz w:val="20"/>
          <w:szCs w:val="20"/>
        </w:rPr>
        <w:t xml:space="preserve">. </w:t>
      </w:r>
      <w:r w:rsidR="00BC56D6" w:rsidRPr="006A0A3F">
        <w:rPr>
          <w:rFonts w:ascii="Verdana" w:hAnsi="Verdana"/>
          <w:sz w:val="20"/>
          <w:szCs w:val="20"/>
        </w:rPr>
        <w:t xml:space="preserve">No obstante, </w:t>
      </w:r>
      <w:r w:rsidR="006469FB" w:rsidRPr="006A0A3F">
        <w:rPr>
          <w:rFonts w:ascii="Verdana" w:hAnsi="Verdana"/>
          <w:sz w:val="20"/>
        </w:rPr>
        <w:t xml:space="preserve">no ha sido </w:t>
      </w:r>
      <w:r w:rsidR="00BC56D6" w:rsidRPr="006A0A3F">
        <w:rPr>
          <w:rFonts w:ascii="Verdana" w:hAnsi="Verdana"/>
          <w:sz w:val="20"/>
        </w:rPr>
        <w:t xml:space="preserve">demostrado </w:t>
      </w:r>
      <w:r w:rsidR="006469FB" w:rsidRPr="006A0A3F">
        <w:rPr>
          <w:rFonts w:ascii="Verdana" w:hAnsi="Verdana"/>
          <w:sz w:val="20"/>
        </w:rPr>
        <w:t xml:space="preserve">que </w:t>
      </w:r>
      <w:r w:rsidR="00BC56D6" w:rsidRPr="006A0A3F">
        <w:rPr>
          <w:rFonts w:ascii="Verdana" w:hAnsi="Verdana"/>
          <w:sz w:val="20"/>
        </w:rPr>
        <w:t>esta</w:t>
      </w:r>
      <w:r w:rsidR="006469FB" w:rsidRPr="006A0A3F">
        <w:rPr>
          <w:rFonts w:ascii="Verdana" w:hAnsi="Verdana"/>
          <w:sz w:val="20"/>
        </w:rPr>
        <w:t xml:space="preserve"> decisión y su trámite comportar</w:t>
      </w:r>
      <w:r w:rsidR="00BC56D6" w:rsidRPr="006A0A3F">
        <w:rPr>
          <w:rFonts w:ascii="Verdana" w:hAnsi="Verdana"/>
          <w:sz w:val="20"/>
        </w:rPr>
        <w:t xml:space="preserve">an una acción obstruccionista. </w:t>
      </w:r>
      <w:r w:rsidR="00BC56D6" w:rsidRPr="006A0A3F">
        <w:rPr>
          <w:rFonts w:ascii="Verdana" w:hAnsi="Verdana"/>
          <w:sz w:val="20"/>
          <w:szCs w:val="20"/>
        </w:rPr>
        <w:t xml:space="preserve">En definitiva, el Tribunal hace notar que no han sido aportados elementos suficientes para considerar que el Estado tiene responsabilidad por no haber garantizado </w:t>
      </w:r>
      <w:r w:rsidR="00A02BAA" w:rsidRPr="006A0A3F">
        <w:rPr>
          <w:rFonts w:ascii="Verdana" w:hAnsi="Verdana"/>
          <w:sz w:val="20"/>
          <w:szCs w:val="20"/>
        </w:rPr>
        <w:t xml:space="preserve">un recurso rápido </w:t>
      </w:r>
      <w:r w:rsidR="00BC56D6" w:rsidRPr="006A0A3F">
        <w:rPr>
          <w:rFonts w:ascii="Verdana" w:hAnsi="Verdana"/>
          <w:sz w:val="20"/>
          <w:szCs w:val="20"/>
        </w:rPr>
        <w:t>a las presuntas víctimas, en los términos del artículo 25 de la Convención.</w:t>
      </w:r>
    </w:p>
    <w:p w14:paraId="69B98ADB" w14:textId="77777777" w:rsidR="00BC56D6" w:rsidRPr="006A0A3F" w:rsidRDefault="00BC56D6" w:rsidP="00115DCE">
      <w:pPr>
        <w:pBdr>
          <w:top w:val="nil"/>
        </w:pBdr>
        <w:autoSpaceDE w:val="0"/>
        <w:autoSpaceDN w:val="0"/>
        <w:adjustRightInd w:val="0"/>
        <w:spacing w:after="0" w:line="240" w:lineRule="auto"/>
        <w:jc w:val="both"/>
        <w:rPr>
          <w:rFonts w:ascii="Calibri" w:eastAsia="Times New Roman" w:hAnsi="Calibri" w:cs="Times New Roman"/>
          <w:sz w:val="24"/>
          <w:szCs w:val="20"/>
        </w:rPr>
      </w:pPr>
    </w:p>
    <w:p w14:paraId="78DD1BB4" w14:textId="5B498B37" w:rsidR="006E7E4B" w:rsidRPr="006A0A3F" w:rsidRDefault="006E7E4B" w:rsidP="006E7E4B">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conclusión, la Corte </w:t>
      </w:r>
      <w:r w:rsidR="0094277A" w:rsidRPr="006A0A3F">
        <w:rPr>
          <w:rFonts w:ascii="Verdana" w:hAnsi="Verdana"/>
          <w:sz w:val="20"/>
          <w:szCs w:val="20"/>
        </w:rPr>
        <w:t xml:space="preserve">declara que </w:t>
      </w:r>
      <w:r w:rsidR="00A74275">
        <w:rPr>
          <w:rFonts w:ascii="Verdana" w:hAnsi="Verdana"/>
          <w:sz w:val="20"/>
          <w:szCs w:val="20"/>
        </w:rPr>
        <w:t xml:space="preserve">el </w:t>
      </w:r>
      <w:r w:rsidRPr="006A0A3F">
        <w:rPr>
          <w:rFonts w:ascii="Verdana" w:hAnsi="Verdana"/>
          <w:sz w:val="20"/>
          <w:szCs w:val="20"/>
        </w:rPr>
        <w:t xml:space="preserve">Estado </w:t>
      </w:r>
      <w:r w:rsidR="0094277A" w:rsidRPr="006A0A3F">
        <w:rPr>
          <w:rFonts w:ascii="Verdana" w:hAnsi="Verdana"/>
          <w:sz w:val="20"/>
          <w:szCs w:val="20"/>
        </w:rPr>
        <w:t>es responsable por el incumplimiento de</w:t>
      </w:r>
      <w:r w:rsidRPr="006A0A3F">
        <w:rPr>
          <w:rFonts w:ascii="Verdana" w:hAnsi="Verdana"/>
          <w:sz w:val="20"/>
          <w:szCs w:val="20"/>
        </w:rPr>
        <w:t xml:space="preserve"> su obligación de garantizar </w:t>
      </w:r>
      <w:r w:rsidR="0094277A" w:rsidRPr="006A0A3F">
        <w:rPr>
          <w:rFonts w:ascii="Verdana" w:hAnsi="Verdana"/>
          <w:sz w:val="20"/>
          <w:szCs w:val="20"/>
        </w:rPr>
        <w:t xml:space="preserve">los derechos de acceso a la justicia y a </w:t>
      </w:r>
      <w:r w:rsidR="009B0520" w:rsidRPr="006A0A3F">
        <w:rPr>
          <w:rFonts w:ascii="Verdana" w:hAnsi="Verdana"/>
          <w:sz w:val="20"/>
          <w:szCs w:val="20"/>
        </w:rPr>
        <w:t xml:space="preserve">un recurso efectivo, </w:t>
      </w:r>
      <w:r w:rsidR="0094277A" w:rsidRPr="006A0A3F">
        <w:rPr>
          <w:rFonts w:ascii="Verdana" w:hAnsi="Verdana"/>
          <w:sz w:val="20"/>
          <w:szCs w:val="20"/>
        </w:rPr>
        <w:t xml:space="preserve">reconocidos en los artículos 8.1 y 25.1 de la Convención Americana, en relación con el artículo 1.1 de la misma, </w:t>
      </w:r>
      <w:r w:rsidR="009B0520" w:rsidRPr="006A0A3F">
        <w:rPr>
          <w:rFonts w:ascii="Verdana" w:hAnsi="Verdana"/>
          <w:sz w:val="20"/>
          <w:szCs w:val="20"/>
        </w:rPr>
        <w:t xml:space="preserve">para amparar o tutelar </w:t>
      </w:r>
      <w:r w:rsidR="00B3512A">
        <w:rPr>
          <w:rFonts w:ascii="Verdana" w:hAnsi="Verdana"/>
          <w:sz w:val="20"/>
          <w:szCs w:val="20"/>
        </w:rPr>
        <w:t>el derecho</w:t>
      </w:r>
      <w:r w:rsidR="009B0520" w:rsidRPr="006A0A3F">
        <w:rPr>
          <w:rFonts w:ascii="Verdana" w:hAnsi="Verdana"/>
          <w:sz w:val="20"/>
          <w:szCs w:val="20"/>
        </w:rPr>
        <w:t xml:space="preserve"> a la participación política de las </w:t>
      </w:r>
      <w:r w:rsidR="0094277A" w:rsidRPr="006A0A3F">
        <w:rPr>
          <w:rFonts w:ascii="Verdana" w:hAnsi="Verdana"/>
          <w:sz w:val="20"/>
          <w:szCs w:val="20"/>
        </w:rPr>
        <w:t xml:space="preserve">señoras Rocío San Miguel Sosa, </w:t>
      </w:r>
      <w:proofErr w:type="spellStart"/>
      <w:r w:rsidR="0094277A" w:rsidRPr="006A0A3F">
        <w:rPr>
          <w:rFonts w:ascii="Verdana" w:hAnsi="Verdana"/>
          <w:sz w:val="20"/>
          <w:szCs w:val="20"/>
        </w:rPr>
        <w:t>Magally</w:t>
      </w:r>
      <w:proofErr w:type="spellEnd"/>
      <w:r w:rsidR="0094277A" w:rsidRPr="006A0A3F">
        <w:rPr>
          <w:rFonts w:ascii="Verdana" w:hAnsi="Verdana"/>
          <w:sz w:val="20"/>
          <w:szCs w:val="20"/>
        </w:rPr>
        <w:t xml:space="preserve"> Ch</w:t>
      </w:r>
      <w:r w:rsidR="009B0520" w:rsidRPr="006A0A3F">
        <w:rPr>
          <w:rFonts w:ascii="Verdana" w:hAnsi="Verdana"/>
          <w:sz w:val="20"/>
          <w:szCs w:val="20"/>
        </w:rPr>
        <w:t>ang Girón y Thais Coromoto Peña</w:t>
      </w:r>
      <w:r w:rsidR="000D0FFF" w:rsidRPr="006A0A3F">
        <w:rPr>
          <w:rFonts w:ascii="Verdana" w:hAnsi="Verdana"/>
          <w:sz w:val="20"/>
          <w:szCs w:val="20"/>
        </w:rPr>
        <w:t xml:space="preserve">. </w:t>
      </w:r>
    </w:p>
    <w:p w14:paraId="73279F1F" w14:textId="77777777" w:rsidR="00376F4F" w:rsidRPr="006A0A3F" w:rsidRDefault="00376F4F" w:rsidP="00376F4F">
      <w:pPr>
        <w:pStyle w:val="ListParagraph"/>
        <w:autoSpaceDE w:val="0"/>
        <w:autoSpaceDN w:val="0"/>
        <w:adjustRightInd w:val="0"/>
        <w:ind w:left="33" w:hanging="33"/>
        <w:jc w:val="both"/>
        <w:rPr>
          <w:rFonts w:ascii="Verdana" w:hAnsi="Verdana"/>
          <w:b/>
          <w:sz w:val="20"/>
          <w:lang w:val="es-CR"/>
        </w:rPr>
      </w:pPr>
    </w:p>
    <w:p w14:paraId="521058BA" w14:textId="3F7D1D90" w:rsidR="00376F4F" w:rsidRPr="006A0A3F" w:rsidRDefault="00376F4F" w:rsidP="00AB56AF">
      <w:pPr>
        <w:pStyle w:val="Heading3"/>
        <w:numPr>
          <w:ilvl w:val="0"/>
          <w:numId w:val="17"/>
        </w:numPr>
        <w:jc w:val="both"/>
        <w:rPr>
          <w:rFonts w:ascii="Verdana" w:hAnsi="Verdana"/>
          <w:b w:val="0"/>
          <w:i/>
          <w:sz w:val="20"/>
          <w:lang w:val="es-CR"/>
        </w:rPr>
      </w:pPr>
      <w:r w:rsidRPr="006A0A3F">
        <w:rPr>
          <w:rFonts w:ascii="Verdana" w:hAnsi="Verdana"/>
          <w:b w:val="0"/>
          <w:i/>
          <w:sz w:val="20"/>
          <w:lang w:val="es-CR"/>
        </w:rPr>
        <w:t xml:space="preserve"> </w:t>
      </w:r>
      <w:bookmarkStart w:id="41" w:name="_Toc505877001"/>
      <w:r w:rsidRPr="006A0A3F">
        <w:rPr>
          <w:rFonts w:ascii="Verdana" w:hAnsi="Verdana"/>
          <w:i/>
          <w:sz w:val="20"/>
          <w:szCs w:val="20"/>
          <w:lang w:val="es-CR"/>
        </w:rPr>
        <w:t>Denuncia ante el Ministerio Público</w:t>
      </w:r>
      <w:bookmarkEnd w:id="41"/>
    </w:p>
    <w:p w14:paraId="5828CA22" w14:textId="77777777" w:rsidR="00376F4F" w:rsidRPr="006A0A3F" w:rsidRDefault="00376F4F" w:rsidP="00E81516">
      <w:pPr>
        <w:pBdr>
          <w:top w:val="nil"/>
        </w:pBdr>
        <w:autoSpaceDE w:val="0"/>
        <w:autoSpaceDN w:val="0"/>
        <w:adjustRightInd w:val="0"/>
        <w:spacing w:after="0" w:line="240" w:lineRule="auto"/>
        <w:jc w:val="both"/>
        <w:rPr>
          <w:rFonts w:ascii="Verdana" w:hAnsi="Verdana"/>
          <w:sz w:val="20"/>
          <w:szCs w:val="20"/>
        </w:rPr>
      </w:pPr>
    </w:p>
    <w:p w14:paraId="336CAFAB" w14:textId="6D1241B7" w:rsidR="00FF7138" w:rsidRPr="006A0A3F" w:rsidRDefault="00E81516" w:rsidP="00FF7138">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En cuanto a la denuncia interpuesta en mayo de 2004 por las presuntas víctimas en contra del entonces Presidente y Secretario del CNF (</w:t>
      </w:r>
      <w:r w:rsidRPr="006A0A3F">
        <w:rPr>
          <w:rFonts w:ascii="Verdana" w:hAnsi="Verdana"/>
          <w:i/>
          <w:sz w:val="20"/>
          <w:szCs w:val="20"/>
        </w:rPr>
        <w:t xml:space="preserve">supra </w:t>
      </w:r>
      <w:proofErr w:type="spellStart"/>
      <w:r w:rsidRPr="006A0A3F">
        <w:rPr>
          <w:rFonts w:ascii="Verdana" w:hAnsi="Verdana"/>
          <w:sz w:val="20"/>
          <w:szCs w:val="20"/>
        </w:rPr>
        <w:t>párr</w:t>
      </w:r>
      <w:r w:rsidR="008C3BC4" w:rsidRPr="006A0A3F">
        <w:rPr>
          <w:rFonts w:ascii="Verdana" w:hAnsi="Verdana"/>
          <w:sz w:val="20"/>
          <w:szCs w:val="20"/>
        </w:rPr>
        <w:t>s</w:t>
      </w:r>
      <w:proofErr w:type="spellEnd"/>
      <w:r w:rsidR="008C3BC4" w:rsidRPr="006A0A3F">
        <w:rPr>
          <w:rFonts w:ascii="Verdana" w:hAnsi="Verdana"/>
          <w:sz w:val="20"/>
          <w:szCs w:val="20"/>
        </w:rPr>
        <w:t>. 96 a 101</w:t>
      </w:r>
      <w:r w:rsidRPr="006A0A3F">
        <w:rPr>
          <w:rFonts w:ascii="Verdana" w:hAnsi="Verdana"/>
          <w:sz w:val="20"/>
          <w:szCs w:val="20"/>
        </w:rPr>
        <w:t xml:space="preserve">), el Estado </w:t>
      </w:r>
      <w:r w:rsidR="008C3BC4" w:rsidRPr="006A0A3F">
        <w:rPr>
          <w:rFonts w:ascii="Verdana" w:hAnsi="Verdana"/>
          <w:sz w:val="20"/>
          <w:szCs w:val="20"/>
        </w:rPr>
        <w:t>señal</w:t>
      </w:r>
      <w:r w:rsidR="00B3512A">
        <w:rPr>
          <w:rFonts w:ascii="Verdana" w:hAnsi="Verdana"/>
          <w:sz w:val="20"/>
          <w:szCs w:val="20"/>
        </w:rPr>
        <w:t>ó</w:t>
      </w:r>
      <w:r w:rsidRPr="006A0A3F">
        <w:rPr>
          <w:rFonts w:ascii="Verdana" w:hAnsi="Verdana"/>
          <w:sz w:val="20"/>
          <w:szCs w:val="20"/>
        </w:rPr>
        <w:t xml:space="preserve"> que, tal como fue establecido por la Fiscalía, las conductas denunciadas no tenían relevancia penal, mientras que el </w:t>
      </w:r>
      <w:r w:rsidR="003868FF" w:rsidRPr="006A0A3F">
        <w:rPr>
          <w:rFonts w:ascii="Verdana" w:hAnsi="Verdana"/>
          <w:sz w:val="20"/>
          <w:szCs w:val="20"/>
        </w:rPr>
        <w:t xml:space="preserve">representante </w:t>
      </w:r>
      <w:r w:rsidRPr="006A0A3F">
        <w:rPr>
          <w:rFonts w:ascii="Verdana" w:hAnsi="Verdana"/>
          <w:sz w:val="20"/>
          <w:szCs w:val="20"/>
        </w:rPr>
        <w:t xml:space="preserve">refirió a varias normas </w:t>
      </w:r>
      <w:r w:rsidR="003868FF" w:rsidRPr="006A0A3F">
        <w:rPr>
          <w:rFonts w:ascii="Verdana" w:hAnsi="Verdana"/>
          <w:sz w:val="20"/>
          <w:szCs w:val="20"/>
        </w:rPr>
        <w:t>del Código Penal</w:t>
      </w:r>
      <w:r w:rsidRPr="006A0A3F">
        <w:rPr>
          <w:rFonts w:ascii="Verdana" w:hAnsi="Verdana"/>
          <w:sz w:val="20"/>
          <w:szCs w:val="20"/>
        </w:rPr>
        <w:t>, de la</w:t>
      </w:r>
      <w:r w:rsidR="003868FF" w:rsidRPr="006A0A3F">
        <w:rPr>
          <w:rFonts w:ascii="Verdana" w:hAnsi="Verdana"/>
          <w:sz w:val="20"/>
          <w:szCs w:val="20"/>
        </w:rPr>
        <w:t xml:space="preserve"> </w:t>
      </w:r>
      <w:r w:rsidRPr="006A0A3F">
        <w:rPr>
          <w:rFonts w:ascii="Verdana" w:hAnsi="Verdana"/>
          <w:sz w:val="20"/>
          <w:szCs w:val="20"/>
        </w:rPr>
        <w:t xml:space="preserve">Ley del Sufragio y Participación Política y de la Ley Anticorrupción, para alegar que, en relación con estos hechos, </w:t>
      </w:r>
      <w:r w:rsidR="00D646EC" w:rsidRPr="006A0A3F">
        <w:rPr>
          <w:rFonts w:ascii="Verdana" w:hAnsi="Verdana"/>
          <w:sz w:val="20"/>
          <w:szCs w:val="20"/>
        </w:rPr>
        <w:t xml:space="preserve">sí </w:t>
      </w:r>
      <w:r w:rsidRPr="006A0A3F">
        <w:rPr>
          <w:rFonts w:ascii="Verdana" w:hAnsi="Verdana"/>
          <w:sz w:val="20"/>
          <w:szCs w:val="20"/>
        </w:rPr>
        <w:t xml:space="preserve">se habrían cometido </w:t>
      </w:r>
      <w:r w:rsidR="003868FF" w:rsidRPr="006A0A3F">
        <w:rPr>
          <w:rFonts w:ascii="Verdana" w:hAnsi="Verdana"/>
          <w:sz w:val="20"/>
          <w:szCs w:val="20"/>
        </w:rPr>
        <w:t>amenazas u otros apremios ilegítimos con abuso de autoridad</w:t>
      </w:r>
      <w:r w:rsidR="004C72B1" w:rsidRPr="006A0A3F">
        <w:rPr>
          <w:rFonts w:ascii="Verdana" w:hAnsi="Verdana"/>
          <w:sz w:val="20"/>
          <w:szCs w:val="20"/>
        </w:rPr>
        <w:t>;</w:t>
      </w:r>
      <w:r w:rsidRPr="006A0A3F">
        <w:rPr>
          <w:rFonts w:ascii="Verdana" w:hAnsi="Verdana"/>
          <w:sz w:val="20"/>
          <w:szCs w:val="20"/>
        </w:rPr>
        <w:t xml:space="preserve"> impedimentos de</w:t>
      </w:r>
      <w:r w:rsidR="003868FF" w:rsidRPr="006A0A3F">
        <w:rPr>
          <w:rFonts w:ascii="Verdana" w:hAnsi="Verdana"/>
          <w:sz w:val="20"/>
          <w:szCs w:val="20"/>
        </w:rPr>
        <w:t>l ejercicio de derechos políticos de elector</w:t>
      </w:r>
      <w:r w:rsidR="00B3512A">
        <w:rPr>
          <w:rFonts w:ascii="Verdana" w:hAnsi="Verdana"/>
          <w:sz w:val="20"/>
          <w:szCs w:val="20"/>
        </w:rPr>
        <w:t>es</w:t>
      </w:r>
      <w:r w:rsidR="003868FF" w:rsidRPr="006A0A3F">
        <w:rPr>
          <w:rFonts w:ascii="Verdana" w:hAnsi="Verdana"/>
          <w:sz w:val="20"/>
          <w:szCs w:val="20"/>
        </w:rPr>
        <w:t xml:space="preserve">; </w:t>
      </w:r>
      <w:r w:rsidRPr="006A0A3F">
        <w:rPr>
          <w:rFonts w:ascii="Verdana" w:hAnsi="Verdana"/>
          <w:sz w:val="20"/>
          <w:szCs w:val="20"/>
        </w:rPr>
        <w:t>actos de coartación de</w:t>
      </w:r>
      <w:r w:rsidR="003868FF" w:rsidRPr="006A0A3F">
        <w:rPr>
          <w:rFonts w:ascii="Verdana" w:hAnsi="Verdana"/>
          <w:sz w:val="20"/>
          <w:szCs w:val="20"/>
        </w:rPr>
        <w:t xml:space="preserve"> la libe</w:t>
      </w:r>
      <w:r w:rsidR="004C72B1" w:rsidRPr="006A0A3F">
        <w:rPr>
          <w:rFonts w:ascii="Verdana" w:hAnsi="Verdana"/>
          <w:sz w:val="20"/>
          <w:szCs w:val="20"/>
        </w:rPr>
        <w:t>rtad de voto de los ciudadanos; y</w:t>
      </w:r>
      <w:r w:rsidRPr="006A0A3F">
        <w:rPr>
          <w:rFonts w:ascii="Verdana" w:hAnsi="Verdana"/>
          <w:sz w:val="20"/>
          <w:szCs w:val="20"/>
        </w:rPr>
        <w:t xml:space="preserve"> favorecimiento electoral </w:t>
      </w:r>
      <w:r w:rsidR="003868FF" w:rsidRPr="006A0A3F">
        <w:rPr>
          <w:rFonts w:ascii="Verdana" w:hAnsi="Verdana"/>
          <w:sz w:val="20"/>
          <w:szCs w:val="20"/>
        </w:rPr>
        <w:t>a un candidato o movimiento político.</w:t>
      </w:r>
      <w:r w:rsidRPr="006A0A3F">
        <w:rPr>
          <w:rFonts w:ascii="Verdana" w:hAnsi="Verdana"/>
          <w:sz w:val="20"/>
          <w:szCs w:val="20"/>
        </w:rPr>
        <w:t xml:space="preserve"> La Comisión, por su parte, </w:t>
      </w:r>
      <w:r w:rsidR="004C72B1" w:rsidRPr="006A0A3F">
        <w:rPr>
          <w:rFonts w:ascii="Verdana" w:hAnsi="Verdana"/>
          <w:sz w:val="20"/>
          <w:szCs w:val="20"/>
        </w:rPr>
        <w:t>consideró que las autoridades judiciales no examinaron adecuadamente el alegato de disc</w:t>
      </w:r>
      <w:r w:rsidR="001F3719" w:rsidRPr="006A0A3F">
        <w:rPr>
          <w:rFonts w:ascii="Verdana" w:hAnsi="Verdana"/>
          <w:sz w:val="20"/>
          <w:szCs w:val="20"/>
        </w:rPr>
        <w:t>riminación encubierta</w:t>
      </w:r>
      <w:r w:rsidR="004C72B1" w:rsidRPr="006A0A3F">
        <w:rPr>
          <w:rFonts w:ascii="Verdana" w:hAnsi="Verdana"/>
          <w:sz w:val="20"/>
          <w:szCs w:val="20"/>
        </w:rPr>
        <w:t xml:space="preserve">; que </w:t>
      </w:r>
      <w:r w:rsidR="001F3719" w:rsidRPr="006A0A3F">
        <w:rPr>
          <w:rFonts w:ascii="Verdana" w:hAnsi="Verdana"/>
          <w:sz w:val="20"/>
          <w:szCs w:val="20"/>
        </w:rPr>
        <w:t xml:space="preserve">la Fiscalía no desarrolló una investigación adecuada sobre </w:t>
      </w:r>
      <w:r w:rsidR="004C72B1" w:rsidRPr="006A0A3F">
        <w:rPr>
          <w:rFonts w:ascii="Verdana" w:hAnsi="Verdana"/>
          <w:sz w:val="20"/>
          <w:szCs w:val="20"/>
        </w:rPr>
        <w:t xml:space="preserve">el motivo real de la terminación de los contratos; y que el recurso de apelación de la decisión de sobreseimiento, al no pronunciarse ni contener una motivación adecuada </w:t>
      </w:r>
      <w:r w:rsidR="001F3719" w:rsidRPr="006A0A3F">
        <w:rPr>
          <w:rFonts w:ascii="Verdana" w:hAnsi="Verdana"/>
          <w:sz w:val="20"/>
          <w:szCs w:val="20"/>
        </w:rPr>
        <w:t>sobre</w:t>
      </w:r>
      <w:r w:rsidR="004C72B1" w:rsidRPr="006A0A3F">
        <w:rPr>
          <w:rFonts w:ascii="Verdana" w:hAnsi="Verdana"/>
          <w:sz w:val="20"/>
          <w:szCs w:val="20"/>
        </w:rPr>
        <w:t xml:space="preserve"> los argumentos de las </w:t>
      </w:r>
      <w:r w:rsidR="001F3719" w:rsidRPr="006A0A3F">
        <w:rPr>
          <w:rFonts w:ascii="Verdana" w:hAnsi="Verdana"/>
          <w:sz w:val="20"/>
          <w:szCs w:val="20"/>
        </w:rPr>
        <w:t xml:space="preserve">presuntas </w:t>
      </w:r>
      <w:r w:rsidR="004C72B1" w:rsidRPr="006A0A3F">
        <w:rPr>
          <w:rFonts w:ascii="Verdana" w:hAnsi="Verdana"/>
          <w:sz w:val="20"/>
          <w:szCs w:val="20"/>
        </w:rPr>
        <w:t xml:space="preserve">víctimas </w:t>
      </w:r>
      <w:r w:rsidR="001F3719" w:rsidRPr="006A0A3F">
        <w:rPr>
          <w:rFonts w:ascii="Verdana" w:hAnsi="Verdana"/>
          <w:sz w:val="20"/>
          <w:szCs w:val="20"/>
        </w:rPr>
        <w:t xml:space="preserve">y </w:t>
      </w:r>
      <w:r w:rsidR="004C72B1" w:rsidRPr="006A0A3F">
        <w:rPr>
          <w:rFonts w:ascii="Verdana" w:hAnsi="Verdana"/>
          <w:sz w:val="20"/>
          <w:szCs w:val="20"/>
        </w:rPr>
        <w:t>las razones de su improcedencia, no constituyó un recurso eficaz.</w:t>
      </w:r>
      <w:r w:rsidR="001F3719" w:rsidRPr="006A0A3F">
        <w:rPr>
          <w:rFonts w:ascii="Verdana" w:hAnsi="Verdana"/>
          <w:sz w:val="20"/>
          <w:szCs w:val="20"/>
        </w:rPr>
        <w:t xml:space="preserve"> </w:t>
      </w:r>
    </w:p>
    <w:p w14:paraId="6C462332" w14:textId="77777777" w:rsidR="002B3833" w:rsidRPr="006A0A3F" w:rsidRDefault="002B3833" w:rsidP="002B3833">
      <w:pPr>
        <w:pStyle w:val="ListParagraph"/>
        <w:rPr>
          <w:rFonts w:ascii="Verdana" w:hAnsi="Verdana"/>
          <w:sz w:val="20"/>
          <w:lang w:val="es-CR"/>
        </w:rPr>
      </w:pPr>
    </w:p>
    <w:p w14:paraId="6707BED0" w14:textId="416EED06" w:rsidR="00F10410" w:rsidRPr="006A0A3F" w:rsidRDefault="002B3833" w:rsidP="00BE02D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rPr>
        <w:t>Ciertamente la obligación</w:t>
      </w:r>
      <w:r w:rsidRPr="006A0A3F">
        <w:rPr>
          <w:rFonts w:ascii="Verdana" w:hAnsi="Verdana" w:cs="Arial"/>
          <w:sz w:val="20"/>
        </w:rPr>
        <w:t xml:space="preserve"> de investigar es de medio o </w:t>
      </w:r>
      <w:r w:rsidRPr="006A0A3F">
        <w:rPr>
          <w:rFonts w:ascii="Verdana" w:eastAsia="Cambria" w:hAnsi="Verdana" w:cs="Arial"/>
          <w:sz w:val="20"/>
        </w:rPr>
        <w:t>comportamiento</w:t>
      </w:r>
      <w:r w:rsidRPr="006A0A3F">
        <w:rPr>
          <w:rFonts w:ascii="Verdana" w:hAnsi="Verdana" w:cs="Arial"/>
          <w:sz w:val="20"/>
        </w:rPr>
        <w:t xml:space="preserve">, por lo que no necesariamente es incumplida por el solo hecho de que la investigación no produzca un resultado satisfactorio. </w:t>
      </w:r>
      <w:r w:rsidRPr="006A0A3F">
        <w:rPr>
          <w:rFonts w:ascii="Verdana" w:hAnsi="Verdana" w:cs="Arial"/>
          <w:spacing w:val="-2"/>
          <w:sz w:val="20"/>
        </w:rPr>
        <w:t xml:space="preserve">Por ello, </w:t>
      </w:r>
      <w:r w:rsidRPr="006A0A3F">
        <w:rPr>
          <w:rFonts w:ascii="Verdana" w:hAnsi="Verdana" w:cs="Arial"/>
          <w:sz w:val="20"/>
        </w:rPr>
        <w:t>las diligencias realizadas para la investigación de los hechos deben ser valoradas en su conjunto y no compete a la Corte, en principio, resolver la procedencia de las medidas de investigación ni determinar las hipótesis de autoría</w:t>
      </w:r>
      <w:r w:rsidRPr="006A0A3F">
        <w:rPr>
          <w:rFonts w:ascii="Verdana" w:hAnsi="Verdana" w:cs="Arial"/>
          <w:b/>
          <w:sz w:val="20"/>
        </w:rPr>
        <w:t xml:space="preserve"> </w:t>
      </w:r>
      <w:r w:rsidRPr="006A0A3F">
        <w:rPr>
          <w:rFonts w:ascii="Verdana" w:hAnsi="Verdana" w:cs="Arial"/>
          <w:sz w:val="20"/>
        </w:rPr>
        <w:t xml:space="preserve">manejadas </w:t>
      </w:r>
      <w:r w:rsidRPr="006A0A3F">
        <w:rPr>
          <w:rFonts w:ascii="Verdana" w:hAnsi="Verdana" w:cs="Arial"/>
          <w:sz w:val="20"/>
        </w:rPr>
        <w:lastRenderedPageBreak/>
        <w:t>durante la misma</w:t>
      </w:r>
      <w:r w:rsidRPr="006A0A3F">
        <w:rPr>
          <w:rStyle w:val="FootnoteReference"/>
          <w:rFonts w:ascii="Verdana" w:eastAsia="Batang" w:hAnsi="Verdana" w:cs="Arial"/>
          <w:spacing w:val="-2"/>
          <w:sz w:val="20"/>
        </w:rPr>
        <w:footnoteReference w:id="247"/>
      </w:r>
      <w:r w:rsidRPr="006A0A3F">
        <w:rPr>
          <w:rFonts w:ascii="Verdana" w:hAnsi="Verdana"/>
          <w:sz w:val="20"/>
        </w:rPr>
        <w:t>. En e</w:t>
      </w:r>
      <w:r w:rsidRPr="006A0A3F">
        <w:rPr>
          <w:rFonts w:ascii="Verdana" w:hAnsi="Verdana" w:cs="Arial"/>
          <w:sz w:val="20"/>
        </w:rPr>
        <w:t>ste caso</w:t>
      </w:r>
      <w:r w:rsidR="00F10410" w:rsidRPr="006A0A3F">
        <w:rPr>
          <w:rFonts w:ascii="Verdana" w:hAnsi="Verdana" w:cs="Arial"/>
          <w:sz w:val="20"/>
        </w:rPr>
        <w:t xml:space="preserve">, </w:t>
      </w:r>
      <w:r w:rsidR="004D2CE5" w:rsidRPr="006A0A3F">
        <w:rPr>
          <w:rFonts w:ascii="Verdana" w:hAnsi="Verdana" w:cs="Arial"/>
          <w:sz w:val="20"/>
        </w:rPr>
        <w:t xml:space="preserve">aún si no se desprende claramente de las decisiones de la Fiscalía y del Juzgado que se analizaran todos los aspectos relevantes de la denuncia sobre la relevancia penal de determinadas conductas, el </w:t>
      </w:r>
      <w:r w:rsidR="00F10410" w:rsidRPr="006A0A3F">
        <w:rPr>
          <w:rFonts w:ascii="Verdana" w:hAnsi="Verdana" w:cs="Arial"/>
          <w:sz w:val="20"/>
        </w:rPr>
        <w:t>Tribunal hace notar que</w:t>
      </w:r>
      <w:r w:rsidRPr="006A0A3F">
        <w:rPr>
          <w:rFonts w:ascii="Verdana" w:hAnsi="Verdana" w:cs="Arial"/>
          <w:sz w:val="20"/>
        </w:rPr>
        <w:t xml:space="preserve"> no han sido aportados</w:t>
      </w:r>
      <w:r w:rsidR="00F10410" w:rsidRPr="006A0A3F">
        <w:rPr>
          <w:rFonts w:ascii="Verdana" w:hAnsi="Verdana" w:cs="Arial"/>
          <w:sz w:val="20"/>
        </w:rPr>
        <w:t xml:space="preserve"> suficientes</w:t>
      </w:r>
      <w:r w:rsidRPr="006A0A3F">
        <w:rPr>
          <w:rFonts w:ascii="Verdana" w:hAnsi="Verdana" w:cs="Arial"/>
          <w:sz w:val="20"/>
        </w:rPr>
        <w:t xml:space="preserve"> elementos </w:t>
      </w:r>
      <w:r w:rsidR="00F10410" w:rsidRPr="006A0A3F">
        <w:rPr>
          <w:rFonts w:ascii="Verdana" w:hAnsi="Verdana" w:cs="Arial"/>
          <w:sz w:val="20"/>
        </w:rPr>
        <w:t>para determinar si la actuación de diversas instancias dentro de la investigación penal fue contraria al deber de investigar</w:t>
      </w:r>
      <w:r w:rsidR="00F10410" w:rsidRPr="006A0A3F">
        <w:rPr>
          <w:rStyle w:val="FootnoteReference"/>
          <w:rFonts w:ascii="Verdana" w:hAnsi="Verdana" w:cs="Arial"/>
          <w:sz w:val="20"/>
        </w:rPr>
        <w:footnoteReference w:id="248"/>
      </w:r>
      <w:r w:rsidR="00F10410" w:rsidRPr="006A0A3F">
        <w:rPr>
          <w:rFonts w:ascii="Verdana" w:hAnsi="Verdana" w:cs="Arial"/>
          <w:sz w:val="20"/>
        </w:rPr>
        <w:t>.</w:t>
      </w:r>
      <w:r w:rsidR="00BE02D0" w:rsidRPr="006A0A3F">
        <w:rPr>
          <w:rFonts w:ascii="Verdana" w:hAnsi="Verdana" w:cs="Arial"/>
          <w:sz w:val="20"/>
        </w:rPr>
        <w:t xml:space="preserve"> </w:t>
      </w:r>
    </w:p>
    <w:p w14:paraId="1CD200E8" w14:textId="77777777" w:rsidR="00BE02D0" w:rsidRPr="006A0A3F" w:rsidRDefault="00BE02D0" w:rsidP="00BE02D0">
      <w:pPr>
        <w:pBdr>
          <w:top w:val="nil"/>
        </w:pBdr>
        <w:autoSpaceDE w:val="0"/>
        <w:autoSpaceDN w:val="0"/>
        <w:adjustRightInd w:val="0"/>
        <w:spacing w:after="0" w:line="240" w:lineRule="auto"/>
        <w:jc w:val="both"/>
        <w:rPr>
          <w:rFonts w:ascii="Verdana" w:hAnsi="Verdana"/>
          <w:sz w:val="20"/>
          <w:szCs w:val="20"/>
        </w:rPr>
      </w:pPr>
    </w:p>
    <w:p w14:paraId="3334EA4B" w14:textId="15B8AECE" w:rsidR="00F10410" w:rsidRPr="006A0A3F" w:rsidRDefault="00F10410" w:rsidP="00F10410">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relación con lo anterior, la Corte recuerda que no es un tribunal penal en el que pueda determinarse la responsabilidad penal de los individuos y que </w:t>
      </w:r>
      <w:r w:rsidRPr="006A0A3F">
        <w:rPr>
          <w:rFonts w:ascii="Verdana" w:hAnsi="Verdana"/>
          <w:sz w:val="20"/>
          <w:szCs w:val="20"/>
          <w:lang w:eastAsia="de-DE"/>
        </w:rPr>
        <w:t xml:space="preserve">corresponde a los tribunales del Estado el examen de los hechos y las pruebas </w:t>
      </w:r>
      <w:r w:rsidRPr="006A0A3F">
        <w:rPr>
          <w:rFonts w:ascii="Verdana" w:hAnsi="Verdana"/>
          <w:sz w:val="20"/>
          <w:szCs w:val="20"/>
        </w:rPr>
        <w:t>presentadas</w:t>
      </w:r>
      <w:r w:rsidRPr="006A0A3F">
        <w:rPr>
          <w:rFonts w:ascii="Verdana" w:hAnsi="Verdana"/>
          <w:sz w:val="20"/>
          <w:szCs w:val="20"/>
          <w:lang w:eastAsia="de-DE"/>
        </w:rPr>
        <w:t xml:space="preserve"> en las causas particulares.</w:t>
      </w:r>
      <w:r w:rsidRPr="006A0A3F">
        <w:rPr>
          <w:rFonts w:ascii="Verdana" w:hAnsi="Verdana"/>
          <w:sz w:val="20"/>
          <w:szCs w:val="20"/>
        </w:rPr>
        <w:t xml:space="preserve"> La responsabilidad de los Estados bajo la Convención no debe ser confundida con la responsabilidad criminal de individuos particulares</w:t>
      </w:r>
      <w:r w:rsidRPr="006A0A3F">
        <w:rPr>
          <w:rFonts w:ascii="Verdana" w:hAnsi="Verdana"/>
          <w:sz w:val="20"/>
          <w:szCs w:val="20"/>
          <w:vertAlign w:val="superscript"/>
        </w:rPr>
        <w:footnoteReference w:id="249"/>
      </w:r>
      <w:r w:rsidR="005F02C6" w:rsidRPr="006A0A3F">
        <w:rPr>
          <w:rFonts w:ascii="Verdana" w:hAnsi="Verdana"/>
          <w:sz w:val="20"/>
          <w:szCs w:val="20"/>
        </w:rPr>
        <w:t xml:space="preserve"> y la</w:t>
      </w:r>
      <w:r w:rsidR="005F02C6" w:rsidRPr="006A0A3F">
        <w:rPr>
          <w:rFonts w:ascii="Verdana" w:hAnsi="Verdana"/>
          <w:spacing w:val="-2"/>
          <w:sz w:val="20"/>
          <w:szCs w:val="20"/>
        </w:rPr>
        <w:t xml:space="preserve"> jurisdicción internacional, de </w:t>
      </w:r>
      <w:r w:rsidRPr="006A0A3F">
        <w:rPr>
          <w:rFonts w:ascii="Verdana" w:hAnsi="Verdana"/>
          <w:spacing w:val="-2"/>
          <w:sz w:val="20"/>
          <w:szCs w:val="20"/>
        </w:rPr>
        <w:t>carácter coadyuvante y complementario</w:t>
      </w:r>
      <w:r w:rsidR="007116EA" w:rsidRPr="006A0A3F">
        <w:rPr>
          <w:rStyle w:val="FootnoteReference"/>
          <w:rFonts w:ascii="Verdana" w:hAnsi="Verdana"/>
          <w:sz w:val="20"/>
          <w:szCs w:val="20"/>
        </w:rPr>
        <w:footnoteReference w:id="250"/>
      </w:r>
      <w:r w:rsidRPr="006A0A3F">
        <w:rPr>
          <w:rFonts w:ascii="Verdana" w:hAnsi="Verdana"/>
          <w:spacing w:val="-2"/>
          <w:sz w:val="20"/>
          <w:szCs w:val="20"/>
        </w:rPr>
        <w:t xml:space="preserve">, no </w:t>
      </w:r>
      <w:r w:rsidRPr="006A0A3F">
        <w:rPr>
          <w:rFonts w:ascii="Verdana" w:hAnsi="Verdana"/>
          <w:sz w:val="20"/>
          <w:szCs w:val="20"/>
        </w:rPr>
        <w:t>desempeña</w:t>
      </w:r>
      <w:r w:rsidRPr="006A0A3F">
        <w:rPr>
          <w:rFonts w:ascii="Verdana" w:hAnsi="Verdana"/>
          <w:spacing w:val="-2"/>
          <w:sz w:val="20"/>
          <w:szCs w:val="20"/>
        </w:rPr>
        <w:t xml:space="preserve"> funciones de tribunal</w:t>
      </w:r>
      <w:r w:rsidR="007116EA" w:rsidRPr="006A0A3F">
        <w:rPr>
          <w:rFonts w:ascii="Verdana" w:hAnsi="Verdana"/>
          <w:spacing w:val="-2"/>
          <w:sz w:val="20"/>
          <w:szCs w:val="20"/>
        </w:rPr>
        <w:t xml:space="preserve"> de alzada o de apelación</w:t>
      </w:r>
      <w:r w:rsidRPr="006A0A3F">
        <w:rPr>
          <w:rFonts w:ascii="Verdana" w:hAnsi="Verdana"/>
          <w:spacing w:val="-2"/>
          <w:sz w:val="20"/>
          <w:szCs w:val="20"/>
        </w:rPr>
        <w:t xml:space="preserve"> para dirimir los desacuerdos que tengan las partes sobre algunos alcances de la valoración de prueba o de la aplicación del derecho interno en aspectos que no estén directamente relacionados con el cumplimiento de obligaciones internacionales en derechos humanos</w:t>
      </w:r>
      <w:r w:rsidRPr="006A0A3F">
        <w:rPr>
          <w:rStyle w:val="FootnoteReference"/>
          <w:rFonts w:ascii="Verdana" w:hAnsi="Verdana"/>
          <w:sz w:val="20"/>
          <w:szCs w:val="20"/>
        </w:rPr>
        <w:footnoteReference w:id="251"/>
      </w:r>
      <w:r w:rsidRPr="006A0A3F">
        <w:rPr>
          <w:rFonts w:ascii="Verdana" w:hAnsi="Verdana"/>
          <w:spacing w:val="-2"/>
          <w:sz w:val="20"/>
          <w:szCs w:val="20"/>
        </w:rPr>
        <w:t xml:space="preserve">. </w:t>
      </w:r>
    </w:p>
    <w:p w14:paraId="3DB39A98" w14:textId="77777777" w:rsidR="00F10410" w:rsidRPr="006A0A3F" w:rsidRDefault="00F10410" w:rsidP="00F10410">
      <w:pPr>
        <w:pBdr>
          <w:top w:val="nil"/>
        </w:pBdr>
        <w:autoSpaceDE w:val="0"/>
        <w:autoSpaceDN w:val="0"/>
        <w:adjustRightInd w:val="0"/>
        <w:spacing w:after="0" w:line="240" w:lineRule="auto"/>
        <w:jc w:val="both"/>
        <w:rPr>
          <w:rFonts w:ascii="Verdana" w:hAnsi="Verdana" w:cs="Cambria"/>
          <w:sz w:val="20"/>
        </w:rPr>
      </w:pPr>
    </w:p>
    <w:p w14:paraId="500B9D69" w14:textId="2B66AFDF" w:rsidR="003F34AE" w:rsidRPr="006A0A3F" w:rsidRDefault="001B5897" w:rsidP="00FF7138">
      <w:pPr>
        <w:numPr>
          <w:ilvl w:val="0"/>
          <w:numId w:val="4"/>
        </w:numPr>
        <w:pBdr>
          <w:top w:val="nil"/>
        </w:pBdr>
        <w:autoSpaceDE w:val="0"/>
        <w:autoSpaceDN w:val="0"/>
        <w:adjustRightInd w:val="0"/>
        <w:spacing w:after="0" w:line="240" w:lineRule="auto"/>
        <w:ind w:left="0" w:firstLine="0"/>
        <w:jc w:val="both"/>
        <w:rPr>
          <w:rFonts w:ascii="Verdana" w:hAnsi="Verdana" w:cs="Cambria"/>
          <w:sz w:val="20"/>
        </w:rPr>
      </w:pPr>
      <w:r w:rsidRPr="006A0A3F">
        <w:rPr>
          <w:rFonts w:ascii="Verdana" w:hAnsi="Verdana"/>
          <w:sz w:val="20"/>
        </w:rPr>
        <w:t>Además,</w:t>
      </w:r>
      <w:r w:rsidR="003F34AE" w:rsidRPr="006A0A3F">
        <w:rPr>
          <w:rFonts w:ascii="Verdana" w:hAnsi="Verdana"/>
          <w:sz w:val="20"/>
        </w:rPr>
        <w:t xml:space="preserve"> no corresponde a la Corte determinar la aplicación o interpretación de normas procesales penales</w:t>
      </w:r>
      <w:r w:rsidR="003F34AE" w:rsidRPr="006A0A3F">
        <w:rPr>
          <w:rFonts w:ascii="Verdana" w:hAnsi="Verdana" w:cs="Cambria"/>
          <w:sz w:val="20"/>
        </w:rPr>
        <w:t xml:space="preserve"> del ordenamiento jurídico entonces vigente en el Estado al caso concreto,</w:t>
      </w:r>
      <w:r w:rsidR="002B3833" w:rsidRPr="006A0A3F">
        <w:rPr>
          <w:rFonts w:ascii="Verdana" w:hAnsi="Verdana" w:cs="Cambria"/>
          <w:sz w:val="20"/>
        </w:rPr>
        <w:t xml:space="preserve"> por ejemplo sobre la procedencia de un</w:t>
      </w:r>
      <w:r w:rsidRPr="006A0A3F">
        <w:rPr>
          <w:rFonts w:ascii="Verdana" w:hAnsi="Verdana" w:cs="Cambria"/>
          <w:sz w:val="20"/>
        </w:rPr>
        <w:t xml:space="preserve"> sobreseimiento, sin perjuicio de lo cual es evidente que</w:t>
      </w:r>
      <w:r w:rsidR="002B3833" w:rsidRPr="006A0A3F">
        <w:rPr>
          <w:rFonts w:ascii="Verdana" w:hAnsi="Verdana" w:cs="Cambria"/>
          <w:sz w:val="20"/>
        </w:rPr>
        <w:t xml:space="preserve"> la autoridad que </w:t>
      </w:r>
      <w:r w:rsidR="00F10410" w:rsidRPr="006A0A3F">
        <w:rPr>
          <w:rFonts w:ascii="Verdana" w:hAnsi="Verdana" w:cs="Cambria"/>
          <w:sz w:val="20"/>
        </w:rPr>
        <w:t>decide</w:t>
      </w:r>
      <w:r w:rsidR="002B3833" w:rsidRPr="006A0A3F">
        <w:rPr>
          <w:rFonts w:ascii="Verdana" w:hAnsi="Verdana" w:cs="Cambria"/>
          <w:sz w:val="20"/>
        </w:rPr>
        <w:t xml:space="preserve"> debe motivar</w:t>
      </w:r>
      <w:r w:rsidR="003F34AE" w:rsidRPr="006A0A3F">
        <w:rPr>
          <w:rFonts w:ascii="Verdana" w:hAnsi="Verdana" w:cs="Cambria"/>
          <w:sz w:val="20"/>
        </w:rPr>
        <w:t xml:space="preserve"> la necesidad de dictar</w:t>
      </w:r>
      <w:r w:rsidR="002B3833" w:rsidRPr="006A0A3F">
        <w:rPr>
          <w:rFonts w:ascii="Verdana" w:hAnsi="Verdana" w:cs="Cambria"/>
          <w:sz w:val="20"/>
        </w:rPr>
        <w:t>lo</w:t>
      </w:r>
      <w:r w:rsidR="003F34AE" w:rsidRPr="006A0A3F">
        <w:rPr>
          <w:rStyle w:val="FootnoteReference"/>
          <w:rFonts w:ascii="Verdana" w:hAnsi="Verdana" w:cs="Cambria"/>
          <w:sz w:val="20"/>
        </w:rPr>
        <w:footnoteReference w:id="252"/>
      </w:r>
      <w:r w:rsidR="003F34AE" w:rsidRPr="006A0A3F">
        <w:rPr>
          <w:rFonts w:ascii="Verdana" w:hAnsi="Verdana" w:cs="Cambria"/>
          <w:sz w:val="20"/>
        </w:rPr>
        <w:t>.</w:t>
      </w:r>
      <w:r w:rsidR="002B3833" w:rsidRPr="006A0A3F">
        <w:rPr>
          <w:rFonts w:ascii="Verdana" w:hAnsi="Verdana" w:cs="Cambria"/>
          <w:sz w:val="20"/>
        </w:rPr>
        <w:t xml:space="preserve"> </w:t>
      </w:r>
    </w:p>
    <w:p w14:paraId="1EDE5D6B" w14:textId="77777777" w:rsidR="00BE02D0" w:rsidRPr="006A0A3F" w:rsidRDefault="00BE02D0" w:rsidP="00D26E71">
      <w:pPr>
        <w:pBdr>
          <w:top w:val="nil"/>
        </w:pBdr>
        <w:autoSpaceDE w:val="0"/>
        <w:autoSpaceDN w:val="0"/>
        <w:adjustRightInd w:val="0"/>
        <w:spacing w:after="0" w:line="240" w:lineRule="auto"/>
        <w:jc w:val="both"/>
        <w:rPr>
          <w:rFonts w:ascii="Verdana" w:hAnsi="Verdana"/>
          <w:sz w:val="20"/>
          <w:szCs w:val="20"/>
        </w:rPr>
      </w:pPr>
    </w:p>
    <w:p w14:paraId="58E4C49C" w14:textId="5F68F774" w:rsidR="003F34AE" w:rsidRPr="006A0A3F" w:rsidRDefault="00BE02D0" w:rsidP="00FF7138">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En consecuencia, la Corte considera que</w:t>
      </w:r>
      <w:r w:rsidR="001B5897" w:rsidRPr="006A0A3F">
        <w:rPr>
          <w:rFonts w:ascii="Verdana" w:hAnsi="Verdana"/>
          <w:sz w:val="20"/>
          <w:szCs w:val="20"/>
        </w:rPr>
        <w:t xml:space="preserve"> no han sido aportados elementos suficientes para </w:t>
      </w:r>
      <w:r w:rsidR="008F3F15" w:rsidRPr="006A0A3F">
        <w:rPr>
          <w:rFonts w:ascii="Verdana" w:hAnsi="Verdana"/>
          <w:sz w:val="20"/>
          <w:szCs w:val="20"/>
        </w:rPr>
        <w:t xml:space="preserve">analizar los hechos en relación con </w:t>
      </w:r>
      <w:r w:rsidRPr="006A0A3F">
        <w:rPr>
          <w:rFonts w:ascii="Verdana" w:hAnsi="Verdana"/>
          <w:sz w:val="20"/>
          <w:szCs w:val="20"/>
        </w:rPr>
        <w:t>el derecho de las presuntas víctimas a ser oídas</w:t>
      </w:r>
      <w:r w:rsidR="008F3F15" w:rsidRPr="006A0A3F">
        <w:rPr>
          <w:rFonts w:ascii="Verdana" w:hAnsi="Verdana"/>
          <w:sz w:val="20"/>
          <w:szCs w:val="20"/>
        </w:rPr>
        <w:t>,</w:t>
      </w:r>
      <w:r w:rsidRPr="006A0A3F">
        <w:rPr>
          <w:rFonts w:ascii="Verdana" w:hAnsi="Verdana"/>
          <w:sz w:val="20"/>
          <w:szCs w:val="20"/>
        </w:rPr>
        <w:t xml:space="preserve"> </w:t>
      </w:r>
      <w:r w:rsidR="008F3F15" w:rsidRPr="006A0A3F">
        <w:rPr>
          <w:rFonts w:ascii="Verdana" w:hAnsi="Verdana"/>
          <w:sz w:val="20"/>
          <w:szCs w:val="20"/>
        </w:rPr>
        <w:t>en los términos del artículo 8.1 de la Convención, en lo que concierne a</w:t>
      </w:r>
      <w:r w:rsidRPr="006A0A3F">
        <w:rPr>
          <w:rFonts w:ascii="Verdana" w:hAnsi="Verdana"/>
          <w:sz w:val="20"/>
          <w:szCs w:val="20"/>
        </w:rPr>
        <w:t xml:space="preserve"> la denun</w:t>
      </w:r>
      <w:r w:rsidR="008F3F15" w:rsidRPr="006A0A3F">
        <w:rPr>
          <w:rFonts w:ascii="Verdana" w:hAnsi="Verdana"/>
          <w:sz w:val="20"/>
          <w:szCs w:val="20"/>
        </w:rPr>
        <w:t>cia interpuesta en la vía penal</w:t>
      </w:r>
      <w:r w:rsidRPr="006A0A3F">
        <w:rPr>
          <w:rFonts w:ascii="Verdana" w:hAnsi="Verdana"/>
          <w:sz w:val="20"/>
          <w:szCs w:val="20"/>
        </w:rPr>
        <w:t>.</w:t>
      </w:r>
    </w:p>
    <w:p w14:paraId="10CDAE9F" w14:textId="77777777" w:rsidR="007116EA" w:rsidRPr="006A0A3F" w:rsidRDefault="007116EA" w:rsidP="00A50F2A">
      <w:pPr>
        <w:pBdr>
          <w:top w:val="nil"/>
        </w:pBdr>
        <w:autoSpaceDE w:val="0"/>
        <w:autoSpaceDN w:val="0"/>
        <w:adjustRightInd w:val="0"/>
        <w:spacing w:after="0" w:line="240" w:lineRule="auto"/>
        <w:ind w:left="360"/>
        <w:jc w:val="both"/>
        <w:rPr>
          <w:rFonts w:ascii="Verdana" w:hAnsi="Verdana"/>
          <w:b/>
          <w:sz w:val="18"/>
          <w:szCs w:val="18"/>
        </w:rPr>
      </w:pPr>
    </w:p>
    <w:p w14:paraId="2135E337" w14:textId="09C7AA98" w:rsidR="000A4D07" w:rsidRPr="006A0A3F" w:rsidRDefault="000A4D07" w:rsidP="000A4D07">
      <w:pPr>
        <w:pStyle w:val="Heading3"/>
        <w:numPr>
          <w:ilvl w:val="0"/>
          <w:numId w:val="17"/>
        </w:numPr>
        <w:jc w:val="both"/>
        <w:rPr>
          <w:rFonts w:ascii="Verdana" w:hAnsi="Verdana"/>
          <w:b w:val="0"/>
          <w:i/>
          <w:sz w:val="20"/>
          <w:lang w:val="es-CR"/>
        </w:rPr>
      </w:pPr>
      <w:r w:rsidRPr="006A0A3F">
        <w:rPr>
          <w:rFonts w:ascii="Verdana" w:hAnsi="Verdana"/>
          <w:b w:val="0"/>
          <w:i/>
          <w:sz w:val="20"/>
          <w:lang w:val="es-CR"/>
        </w:rPr>
        <w:t xml:space="preserve"> </w:t>
      </w:r>
      <w:bookmarkStart w:id="42" w:name="_Toc505877002"/>
      <w:r w:rsidR="0094277A" w:rsidRPr="006A0A3F">
        <w:rPr>
          <w:rFonts w:ascii="Verdana" w:hAnsi="Verdana"/>
          <w:i/>
          <w:sz w:val="20"/>
          <w:szCs w:val="20"/>
          <w:lang w:val="es-CR"/>
        </w:rPr>
        <w:t>Alegada falta de independencia del Poder Judicial</w:t>
      </w:r>
      <w:bookmarkEnd w:id="42"/>
    </w:p>
    <w:p w14:paraId="60735067" w14:textId="77777777" w:rsidR="0094277A" w:rsidRPr="006A0A3F" w:rsidRDefault="0094277A" w:rsidP="0094277A">
      <w:pPr>
        <w:pBdr>
          <w:top w:val="nil"/>
        </w:pBdr>
        <w:autoSpaceDE w:val="0"/>
        <w:autoSpaceDN w:val="0"/>
        <w:adjustRightInd w:val="0"/>
        <w:spacing w:after="0" w:line="240" w:lineRule="auto"/>
        <w:jc w:val="both"/>
        <w:rPr>
          <w:rFonts w:ascii="Verdana" w:hAnsi="Verdana"/>
          <w:b/>
          <w:sz w:val="20"/>
          <w:szCs w:val="20"/>
        </w:rPr>
      </w:pPr>
    </w:p>
    <w:p w14:paraId="46A38F43" w14:textId="38477895" w:rsidR="0094277A" w:rsidRPr="006A0A3F" w:rsidRDefault="0094277A" w:rsidP="0094277A">
      <w:pPr>
        <w:numPr>
          <w:ilvl w:val="0"/>
          <w:numId w:val="4"/>
        </w:numPr>
        <w:pBdr>
          <w:top w:val="nil"/>
        </w:pBdr>
        <w:autoSpaceDE w:val="0"/>
        <w:autoSpaceDN w:val="0"/>
        <w:adjustRightInd w:val="0"/>
        <w:spacing w:after="0" w:line="240" w:lineRule="auto"/>
        <w:ind w:left="0" w:firstLine="0"/>
        <w:jc w:val="both"/>
        <w:rPr>
          <w:rFonts w:ascii="Verdana" w:hAnsi="Verdana"/>
          <w:b/>
          <w:sz w:val="20"/>
          <w:szCs w:val="20"/>
        </w:rPr>
      </w:pPr>
      <w:r w:rsidRPr="006A0A3F">
        <w:rPr>
          <w:rFonts w:ascii="Verdana" w:hAnsi="Verdana"/>
          <w:sz w:val="20"/>
          <w:szCs w:val="20"/>
        </w:rPr>
        <w:t>Por último, el representante alegó que este caso denota una falta de i</w:t>
      </w:r>
      <w:r w:rsidR="00343EB2">
        <w:rPr>
          <w:rFonts w:ascii="Verdana" w:hAnsi="Verdana"/>
          <w:sz w:val="20"/>
          <w:szCs w:val="20"/>
        </w:rPr>
        <w:t>ndependencia del Poder Judicial, el cual estaba</w:t>
      </w:r>
      <w:r w:rsidRPr="006A0A3F">
        <w:rPr>
          <w:rFonts w:ascii="Verdana" w:hAnsi="Verdana"/>
          <w:sz w:val="20"/>
          <w:szCs w:val="20"/>
        </w:rPr>
        <w:t xml:space="preserve"> sometido a directrices del Poder Ejecutivo e, inclusive, una coordinación entre poderes públicos para cometer los hechos, a </w:t>
      </w:r>
      <w:r w:rsidR="00343EB2">
        <w:rPr>
          <w:rFonts w:ascii="Verdana" w:hAnsi="Verdana"/>
          <w:sz w:val="20"/>
          <w:szCs w:val="20"/>
        </w:rPr>
        <w:t>saber:</w:t>
      </w:r>
      <w:r w:rsidRPr="006A0A3F">
        <w:rPr>
          <w:rFonts w:ascii="Verdana" w:hAnsi="Verdana"/>
          <w:sz w:val="20"/>
          <w:szCs w:val="20"/>
        </w:rPr>
        <w:t xml:space="preserve"> entre el entonces Presidente de la República y el </w:t>
      </w:r>
      <w:r w:rsidR="00EF2FF4" w:rsidRPr="006A0A3F">
        <w:rPr>
          <w:rFonts w:ascii="Verdana" w:hAnsi="Verdana"/>
          <w:sz w:val="20"/>
          <w:szCs w:val="20"/>
        </w:rPr>
        <w:t xml:space="preserve">Consejo Nacional Electoral </w:t>
      </w:r>
      <w:r w:rsidRPr="006A0A3F">
        <w:rPr>
          <w:rFonts w:ascii="Verdana" w:hAnsi="Verdana"/>
          <w:sz w:val="20"/>
          <w:szCs w:val="20"/>
        </w:rPr>
        <w:t>por la entrega d</w:t>
      </w:r>
      <w:r w:rsidR="00EF2FF4" w:rsidRPr="006A0A3F">
        <w:rPr>
          <w:rFonts w:ascii="Verdana" w:hAnsi="Verdana"/>
          <w:sz w:val="20"/>
          <w:szCs w:val="20"/>
        </w:rPr>
        <w:t xml:space="preserve">e planillas, en la decisión de dicho Consejo </w:t>
      </w:r>
      <w:r w:rsidRPr="006A0A3F">
        <w:rPr>
          <w:rFonts w:ascii="Verdana" w:hAnsi="Verdana"/>
          <w:sz w:val="20"/>
          <w:szCs w:val="20"/>
        </w:rPr>
        <w:t>de dar oportunidad de retirar las firmas y en la indiferencia de la Fiscalía Gene</w:t>
      </w:r>
      <w:r w:rsidR="00BA62B4" w:rsidRPr="006A0A3F">
        <w:rPr>
          <w:rFonts w:ascii="Verdana" w:hAnsi="Verdana"/>
          <w:sz w:val="20"/>
          <w:szCs w:val="20"/>
        </w:rPr>
        <w:t xml:space="preserve">ral y la Defensoría del Pueblo. </w:t>
      </w:r>
      <w:r w:rsidRPr="006A0A3F">
        <w:rPr>
          <w:rFonts w:ascii="Verdana" w:hAnsi="Verdana"/>
          <w:sz w:val="20"/>
          <w:szCs w:val="20"/>
        </w:rPr>
        <w:t>Alegó que, en ausencia de independencia de los poderes públicos, era imposible que cualqui</w:t>
      </w:r>
      <w:r w:rsidR="00BA62B4" w:rsidRPr="006A0A3F">
        <w:rPr>
          <w:rFonts w:ascii="Verdana" w:hAnsi="Verdana"/>
          <w:sz w:val="20"/>
          <w:szCs w:val="20"/>
        </w:rPr>
        <w:t>er recurso judicial prosperara.</w:t>
      </w:r>
    </w:p>
    <w:p w14:paraId="0BBBD097" w14:textId="77777777" w:rsidR="0094277A" w:rsidRPr="006A0A3F" w:rsidRDefault="0094277A" w:rsidP="0094277A">
      <w:pPr>
        <w:pStyle w:val="ListParagraph"/>
        <w:rPr>
          <w:rFonts w:ascii="Verdana" w:hAnsi="Verdana"/>
          <w:sz w:val="20"/>
          <w:lang w:val="es-CR"/>
        </w:rPr>
      </w:pPr>
    </w:p>
    <w:p w14:paraId="3F3DDCC4" w14:textId="77777777" w:rsidR="0094277A" w:rsidRPr="006A0A3F" w:rsidRDefault="0094277A" w:rsidP="0094277A">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eastAsia="Times" w:hAnsi="Verdana"/>
          <w:sz w:val="20"/>
          <w:szCs w:val="20"/>
        </w:rPr>
        <w:t xml:space="preserve">El objetivo de </w:t>
      </w:r>
      <w:r w:rsidRPr="006A0A3F">
        <w:rPr>
          <w:rFonts w:ascii="Verdana" w:hAnsi="Verdana"/>
          <w:sz w:val="20"/>
          <w:szCs w:val="20"/>
          <w:lang w:eastAsia="es-ES"/>
        </w:rPr>
        <w:t>la garantía de independencia de los jueces</w:t>
      </w:r>
      <w:r w:rsidRPr="006A0A3F">
        <w:rPr>
          <w:rFonts w:ascii="Verdana" w:eastAsia="Times" w:hAnsi="Verdana"/>
          <w:sz w:val="20"/>
          <w:szCs w:val="20"/>
        </w:rPr>
        <w:t xml:space="preserve"> radica en evitar que el sistema judicial y sus integrantes se vean sometidos a restricciones indebidas en el ejercicio de su función por parte de órganos ajenos al Poder Judicial o incluso por parte de aquellos </w:t>
      </w:r>
      <w:r w:rsidRPr="006A0A3F">
        <w:rPr>
          <w:rFonts w:ascii="Verdana" w:eastAsia="Times" w:hAnsi="Verdana"/>
          <w:sz w:val="20"/>
          <w:szCs w:val="20"/>
        </w:rPr>
        <w:lastRenderedPageBreak/>
        <w:t>magistrados que ejercen funciones de revisión o apelación</w:t>
      </w:r>
      <w:r w:rsidRPr="006A0A3F">
        <w:rPr>
          <w:rFonts w:ascii="Verdana" w:hAnsi="Verdana"/>
          <w:sz w:val="20"/>
          <w:szCs w:val="20"/>
          <w:vertAlign w:val="superscript"/>
        </w:rPr>
        <w:footnoteReference w:id="253"/>
      </w:r>
      <w:r w:rsidRPr="006A0A3F">
        <w:rPr>
          <w:rFonts w:ascii="Verdana" w:eastAsia="Times" w:hAnsi="Verdana"/>
          <w:sz w:val="20"/>
          <w:szCs w:val="20"/>
        </w:rPr>
        <w:t>.</w:t>
      </w:r>
      <w:r w:rsidRPr="006A0A3F">
        <w:rPr>
          <w:rFonts w:ascii="Verdana" w:hAnsi="Verdana"/>
          <w:sz w:val="20"/>
          <w:szCs w:val="20"/>
          <w:lang w:eastAsia="es-ES"/>
        </w:rPr>
        <w:t xml:space="preserve"> </w:t>
      </w:r>
      <w:r w:rsidRPr="006A0A3F">
        <w:rPr>
          <w:rFonts w:ascii="Verdana" w:eastAsia="Times" w:hAnsi="Verdana"/>
          <w:sz w:val="20"/>
          <w:szCs w:val="20"/>
        </w:rPr>
        <w:t xml:space="preserve">Además, </w:t>
      </w:r>
      <w:r w:rsidRPr="006A0A3F">
        <w:rPr>
          <w:rFonts w:ascii="Verdana" w:hAnsi="Verdana"/>
          <w:sz w:val="20"/>
          <w:szCs w:val="20"/>
        </w:rPr>
        <w:t>la garantía de la independencia judicial abarca la garantía contra presiones externas</w:t>
      </w:r>
      <w:bookmarkStart w:id="43" w:name="_Ref318137626"/>
      <w:r w:rsidRPr="006A0A3F">
        <w:rPr>
          <w:rStyle w:val="FootnoteReference"/>
        </w:rPr>
        <w:footnoteReference w:id="254"/>
      </w:r>
      <w:bookmarkEnd w:id="43"/>
      <w:r w:rsidRPr="006A0A3F">
        <w:rPr>
          <w:rFonts w:ascii="Verdana" w:hAnsi="Verdana"/>
          <w:sz w:val="20"/>
          <w:szCs w:val="20"/>
        </w:rPr>
        <w:t>, de tal forma que e</w:t>
      </w:r>
      <w:r w:rsidRPr="006A0A3F">
        <w:rPr>
          <w:rFonts w:ascii="Verdana" w:hAnsi="Verdana"/>
          <w:sz w:val="20"/>
          <w:szCs w:val="20"/>
          <w:lang w:eastAsia="es-ES"/>
        </w:rPr>
        <w:t xml:space="preserve">l Estado debe </w:t>
      </w:r>
      <w:r w:rsidRPr="006A0A3F">
        <w:rPr>
          <w:rFonts w:ascii="Verdana" w:hAnsi="Verdana"/>
          <w:sz w:val="20"/>
          <w:szCs w:val="20"/>
        </w:rPr>
        <w:t xml:space="preserve">abstenerse de </w:t>
      </w:r>
      <w:r w:rsidRPr="0045102F">
        <w:rPr>
          <w:rFonts w:ascii="Verdana" w:hAnsi="Verdana" w:cs="Arial"/>
          <w:sz w:val="20"/>
          <w:szCs w:val="20"/>
        </w:rPr>
        <w:t>realizar</w:t>
      </w:r>
      <w:r w:rsidRPr="006A0A3F">
        <w:rPr>
          <w:rFonts w:ascii="Verdana" w:hAnsi="Verdana"/>
          <w:sz w:val="20"/>
          <w:szCs w:val="20"/>
        </w:rPr>
        <w:t xml:space="preserve"> injerencias indebidas en el Poder Judicial o en sus integrantes, es decir, con relación a la persona del juez específico, debe prevenir dichas injerencias y debe investigar y sancionar a quienes las cometan</w:t>
      </w:r>
      <w:r w:rsidRPr="006A0A3F">
        <w:rPr>
          <w:rStyle w:val="FootnoteReference"/>
        </w:rPr>
        <w:footnoteReference w:id="255"/>
      </w:r>
      <w:r w:rsidRPr="006A0A3F">
        <w:rPr>
          <w:rFonts w:ascii="Verdana" w:hAnsi="Verdana"/>
          <w:sz w:val="20"/>
          <w:szCs w:val="20"/>
        </w:rPr>
        <w:t xml:space="preserve">. </w:t>
      </w:r>
    </w:p>
    <w:p w14:paraId="434B0F9D" w14:textId="77777777" w:rsidR="0094277A" w:rsidRPr="006A0A3F" w:rsidRDefault="0094277A" w:rsidP="0094277A">
      <w:pPr>
        <w:pStyle w:val="ListParagraph"/>
        <w:rPr>
          <w:rFonts w:ascii="Verdana" w:hAnsi="Verdana"/>
          <w:sz w:val="20"/>
          <w:highlight w:val="yellow"/>
          <w:lang w:val="es-CR"/>
        </w:rPr>
      </w:pPr>
    </w:p>
    <w:p w14:paraId="3864F2D3" w14:textId="77777777" w:rsidR="0094277A" w:rsidRPr="006A0A3F" w:rsidRDefault="0094277A" w:rsidP="0094277A">
      <w:pPr>
        <w:numPr>
          <w:ilvl w:val="0"/>
          <w:numId w:val="4"/>
        </w:numPr>
        <w:pBdr>
          <w:top w:val="nil"/>
        </w:pBdr>
        <w:autoSpaceDE w:val="0"/>
        <w:autoSpaceDN w:val="0"/>
        <w:adjustRightInd w:val="0"/>
        <w:spacing w:after="0" w:line="240" w:lineRule="auto"/>
        <w:ind w:left="0" w:firstLine="0"/>
        <w:jc w:val="both"/>
        <w:rPr>
          <w:rFonts w:ascii="Verdana" w:hAnsi="Verdana" w:cs="Arial"/>
          <w:b/>
          <w:sz w:val="20"/>
          <w:szCs w:val="20"/>
        </w:rPr>
      </w:pPr>
      <w:r w:rsidRPr="006A0A3F">
        <w:rPr>
          <w:rFonts w:ascii="Verdana" w:eastAsia="Calibri" w:hAnsi="Verdana" w:cs="BookAntiqua,Italic"/>
          <w:iCs/>
          <w:sz w:val="20"/>
          <w:szCs w:val="20"/>
          <w:lang w:eastAsia="es-CR"/>
        </w:rPr>
        <w:t xml:space="preserve">Además, no pueden considerarse efectivos aquellos recursos que, por las condiciones generales del país o incluso por las circunstancias particulares de un caso dado, resulten ilusorios. Ello puede ocurrir, por ejemplo, cuando su inutilidad haya quedado demostrada por la práctica, porque el Poder Judicial carezca </w:t>
      </w:r>
      <w:r w:rsidRPr="0045102F">
        <w:rPr>
          <w:rFonts w:ascii="Verdana" w:hAnsi="Verdana" w:cs="BookAntiqua"/>
          <w:sz w:val="20"/>
          <w:szCs w:val="20"/>
        </w:rPr>
        <w:t>de</w:t>
      </w:r>
      <w:r w:rsidRPr="006A0A3F">
        <w:rPr>
          <w:rFonts w:ascii="Verdana" w:eastAsia="Calibri" w:hAnsi="Verdana" w:cs="BookAntiqua,Italic"/>
          <w:iCs/>
          <w:sz w:val="20"/>
          <w:szCs w:val="20"/>
          <w:lang w:eastAsia="es-CR"/>
        </w:rPr>
        <w:t xml:space="preserve"> la independencia necesaria para decidir con imparcialidad o por cualquier otra situación que configure un cuadro de denegación de justicia</w:t>
      </w:r>
      <w:r w:rsidRPr="006A0A3F">
        <w:rPr>
          <w:rStyle w:val="FootnoteReference"/>
          <w:rFonts w:ascii="Verdana" w:eastAsia="Calibri" w:hAnsi="Verdana" w:cs="BookAntiqua,Italic"/>
          <w:iCs/>
          <w:sz w:val="20"/>
          <w:szCs w:val="20"/>
          <w:lang w:eastAsia="es-CR"/>
        </w:rPr>
        <w:footnoteReference w:id="256"/>
      </w:r>
      <w:r w:rsidRPr="006A0A3F">
        <w:rPr>
          <w:rFonts w:ascii="Verdana" w:eastAsia="Calibri" w:hAnsi="Verdana" w:cs="BookAntiqua,Italic"/>
          <w:iCs/>
          <w:sz w:val="20"/>
          <w:szCs w:val="20"/>
          <w:lang w:eastAsia="es-CR"/>
        </w:rPr>
        <w:t xml:space="preserve">. Sin perjuicio de ello, </w:t>
      </w:r>
      <w:r w:rsidRPr="006A0A3F">
        <w:rPr>
          <w:rFonts w:ascii="Verdana" w:hAnsi="Verdana" w:cs="BookAntiqua"/>
          <w:sz w:val="20"/>
          <w:szCs w:val="20"/>
        </w:rPr>
        <w:t>no basta con realizar una mención general a un alegado contexto para que sea posible concluir que existía una vulneración a la independencia e imparcialidad en determinado proceso, por lo que es necesario que se presenten argumentos concretos para considerar tal hipótesis</w:t>
      </w:r>
      <w:r w:rsidRPr="006A0A3F">
        <w:rPr>
          <w:rStyle w:val="FootnoteReference"/>
          <w:rFonts w:ascii="Verdana" w:hAnsi="Verdana" w:cs="BookAntiqua"/>
          <w:sz w:val="20"/>
          <w:szCs w:val="20"/>
        </w:rPr>
        <w:footnoteReference w:id="257"/>
      </w:r>
      <w:r w:rsidRPr="006A0A3F">
        <w:rPr>
          <w:rFonts w:ascii="Verdana" w:hAnsi="Verdana" w:cs="BookAntiqua"/>
          <w:sz w:val="20"/>
          <w:szCs w:val="20"/>
        </w:rPr>
        <w:t xml:space="preserve">. </w:t>
      </w:r>
    </w:p>
    <w:p w14:paraId="13C45E26" w14:textId="77777777" w:rsidR="0094277A" w:rsidRPr="006A0A3F" w:rsidRDefault="0094277A" w:rsidP="0094277A">
      <w:pPr>
        <w:pStyle w:val="ListParagraph"/>
        <w:rPr>
          <w:rFonts w:ascii="Verdana" w:hAnsi="Verdana" w:cs="BookAntiqua"/>
          <w:sz w:val="20"/>
          <w:lang w:val="es-CR"/>
        </w:rPr>
      </w:pPr>
    </w:p>
    <w:p w14:paraId="6F5C94F2" w14:textId="22B35B82" w:rsidR="0094277A" w:rsidRPr="006A0A3F" w:rsidRDefault="0094277A" w:rsidP="0094277A">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Sería posible considerar </w:t>
      </w:r>
      <w:r w:rsidR="009F2D7D">
        <w:rPr>
          <w:rFonts w:ascii="Verdana" w:hAnsi="Verdana"/>
          <w:sz w:val="20"/>
          <w:szCs w:val="20"/>
        </w:rPr>
        <w:t xml:space="preserve">que hay elementos que permitirían </w:t>
      </w:r>
      <w:r w:rsidRPr="006A0A3F">
        <w:rPr>
          <w:rFonts w:ascii="Verdana" w:hAnsi="Verdana" w:cs="Arial"/>
          <w:sz w:val="20"/>
          <w:szCs w:val="20"/>
        </w:rPr>
        <w:t>analizar si los funcionarios de la administración de justicia que intervinieron se vieron sometidos a restricciones indebidas en el ejercicio de su función por parte de personas u órganos ajenos al Poder Judicial</w:t>
      </w:r>
      <w:r w:rsidRPr="006A0A3F">
        <w:rPr>
          <w:rFonts w:ascii="Verdana" w:hAnsi="Verdana"/>
          <w:sz w:val="20"/>
          <w:szCs w:val="20"/>
        </w:rPr>
        <w:t>. Además, no es menos cierto</w:t>
      </w:r>
      <w:r w:rsidR="004F5EFF" w:rsidRPr="006A0A3F">
        <w:rPr>
          <w:rFonts w:ascii="Verdana" w:hAnsi="Verdana"/>
          <w:sz w:val="20"/>
          <w:szCs w:val="20"/>
        </w:rPr>
        <w:t xml:space="preserve"> que,</w:t>
      </w:r>
      <w:r w:rsidRPr="006A0A3F">
        <w:rPr>
          <w:rFonts w:ascii="Verdana" w:hAnsi="Verdana" w:cs="BookAntiqua"/>
          <w:sz w:val="20"/>
          <w:szCs w:val="20"/>
        </w:rPr>
        <w:t xml:space="preserve"> según ha sido constatado en varios casos ante este Tribunal, durante los períodos relevantes a los hechos de este caso, en Venezuela fueron detectadas diversas situaciones que obstaculizaban o afectaban la independencia judicial, relacionadas con normas y prácticas asociadas al proceso de reestructuración del Poder Judicial iniciado en 1999 (y que se extendió por más de 10 años); la provisionalidad de los jueces; la falta de garantías en procedimientos disciplinarios contra jueces; conductas amedrentadoras de altos funcionarios del Poder Ejecutivo hacia determinados jueces por adoptar decisiones en el ejercicio de sus funciones; la falta de un código de ética judicial que garantizara la imparcialidad e independencia del órgano disciplinario</w:t>
      </w:r>
      <w:r w:rsidRPr="006A0A3F">
        <w:rPr>
          <w:rStyle w:val="FootnoteReference"/>
          <w:rFonts w:ascii="Verdana" w:hAnsi="Verdana" w:cs="BookAntiqua"/>
          <w:sz w:val="20"/>
          <w:szCs w:val="20"/>
        </w:rPr>
        <w:footnoteReference w:id="258"/>
      </w:r>
      <w:r w:rsidRPr="006A0A3F">
        <w:rPr>
          <w:rFonts w:ascii="Verdana" w:hAnsi="Verdana" w:cs="Arial"/>
          <w:sz w:val="20"/>
          <w:szCs w:val="20"/>
        </w:rPr>
        <w:t xml:space="preserve">. </w:t>
      </w:r>
    </w:p>
    <w:p w14:paraId="4DCAEA25" w14:textId="77777777" w:rsidR="0094277A" w:rsidRPr="006A0A3F" w:rsidRDefault="0094277A" w:rsidP="0094277A">
      <w:pPr>
        <w:pBdr>
          <w:top w:val="nil"/>
        </w:pBdr>
        <w:autoSpaceDE w:val="0"/>
        <w:autoSpaceDN w:val="0"/>
        <w:adjustRightInd w:val="0"/>
        <w:spacing w:after="0" w:line="240" w:lineRule="auto"/>
        <w:jc w:val="both"/>
        <w:rPr>
          <w:rFonts w:ascii="Verdana" w:hAnsi="Verdana"/>
          <w:sz w:val="20"/>
          <w:szCs w:val="20"/>
          <w:highlight w:val="yellow"/>
        </w:rPr>
      </w:pPr>
    </w:p>
    <w:p w14:paraId="593EED1E" w14:textId="469A12E7" w:rsidR="0094277A" w:rsidRPr="006A0A3F" w:rsidRDefault="0094277A" w:rsidP="0094277A">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Con todo, este Tribunal hace notar que no han sido aportados elementos específicos para el presente caso que permitan analizar si</w:t>
      </w:r>
      <w:r w:rsidR="00343EB2">
        <w:rPr>
          <w:rFonts w:ascii="Verdana" w:hAnsi="Verdana"/>
          <w:sz w:val="20"/>
          <w:szCs w:val="20"/>
        </w:rPr>
        <w:t>,</w:t>
      </w:r>
      <w:r w:rsidRPr="006A0A3F">
        <w:rPr>
          <w:rFonts w:ascii="Verdana" w:hAnsi="Verdana"/>
          <w:sz w:val="20"/>
          <w:szCs w:val="20"/>
        </w:rPr>
        <w:t xml:space="preserve"> en los hechos relacionados con la acción de amparo o</w:t>
      </w:r>
      <w:r w:rsidR="00343EB2">
        <w:rPr>
          <w:rFonts w:ascii="Verdana" w:hAnsi="Verdana"/>
          <w:sz w:val="20"/>
          <w:szCs w:val="20"/>
        </w:rPr>
        <w:t xml:space="preserve"> la denuncia penal</w:t>
      </w:r>
      <w:r w:rsidRPr="006A0A3F">
        <w:rPr>
          <w:rFonts w:ascii="Verdana" w:hAnsi="Verdana"/>
          <w:sz w:val="20"/>
          <w:szCs w:val="20"/>
        </w:rPr>
        <w:t xml:space="preserve"> intentados por las presuntas víctimas, las autoridades judiciales faltaron a su obligación de actuar y decidir con independencia, en los términos del 8 de la Convención, por lo cual la alegada responsabilidad del Estado en este sentido no ha sido demostrada.</w:t>
      </w:r>
    </w:p>
    <w:p w14:paraId="4BE836DA" w14:textId="77777777" w:rsidR="0094277A" w:rsidRPr="006A0A3F" w:rsidRDefault="0094277A" w:rsidP="000A4D07">
      <w:pPr>
        <w:pBdr>
          <w:top w:val="nil"/>
        </w:pBdr>
        <w:autoSpaceDE w:val="0"/>
        <w:autoSpaceDN w:val="0"/>
        <w:adjustRightInd w:val="0"/>
        <w:spacing w:after="0" w:line="240" w:lineRule="auto"/>
        <w:jc w:val="both"/>
        <w:rPr>
          <w:rFonts w:ascii="Verdana" w:hAnsi="Verdana"/>
          <w:sz w:val="20"/>
          <w:szCs w:val="20"/>
        </w:rPr>
      </w:pPr>
    </w:p>
    <w:p w14:paraId="2948C4B1" w14:textId="77777777" w:rsidR="00343EB2" w:rsidRPr="006A0A3F" w:rsidRDefault="00343EB2">
      <w:pPr>
        <w:rPr>
          <w:rFonts w:ascii="Verdana" w:hAnsi="Verdana"/>
          <w:color w:val="000000"/>
          <w:sz w:val="20"/>
        </w:rPr>
      </w:pPr>
    </w:p>
    <w:p w14:paraId="62028F26" w14:textId="52E28818" w:rsidR="003731F3" w:rsidRPr="006A0A3F" w:rsidRDefault="001103D5" w:rsidP="005B4A20">
      <w:pPr>
        <w:pStyle w:val="Heading1"/>
        <w:spacing w:before="0" w:after="0" w:line="240" w:lineRule="auto"/>
        <w:ind w:firstLine="4"/>
        <w:jc w:val="center"/>
        <w:rPr>
          <w:rFonts w:ascii="Verdana" w:hAnsi="Verdana"/>
          <w:b w:val="0"/>
          <w:color w:val="000000"/>
          <w:sz w:val="20"/>
          <w:szCs w:val="20"/>
          <w:lang w:val="es-CR"/>
        </w:rPr>
      </w:pPr>
      <w:bookmarkStart w:id="44" w:name="_Toc505877003"/>
      <w:r w:rsidRPr="006A0A3F">
        <w:rPr>
          <w:rFonts w:ascii="Verdana" w:hAnsi="Verdana" w:cs="Verdana"/>
          <w:caps/>
          <w:snapToGrid w:val="0"/>
          <w:sz w:val="20"/>
          <w:szCs w:val="20"/>
          <w:lang w:val="es-CR" w:eastAsia="es-ES"/>
        </w:rPr>
        <w:lastRenderedPageBreak/>
        <w:t xml:space="preserve">VII.3 </w:t>
      </w:r>
      <w:r w:rsidR="005B4A20" w:rsidRPr="006A0A3F">
        <w:rPr>
          <w:rFonts w:ascii="Verdana" w:hAnsi="Verdana" w:cs="Verdana"/>
          <w:caps/>
          <w:snapToGrid w:val="0"/>
          <w:sz w:val="20"/>
          <w:szCs w:val="20"/>
          <w:lang w:val="es-CR" w:eastAsia="es-ES"/>
        </w:rPr>
        <w:br/>
      </w:r>
      <w:r w:rsidRPr="006A0A3F">
        <w:rPr>
          <w:rFonts w:ascii="Verdana" w:hAnsi="Verdana" w:cs="Verdana"/>
          <w:caps/>
          <w:snapToGrid w:val="0"/>
          <w:sz w:val="20"/>
          <w:szCs w:val="20"/>
          <w:lang w:val="es-CR" w:eastAsia="es-ES"/>
        </w:rPr>
        <w:t>DERECHO AL TRABAJO</w:t>
      </w:r>
      <w:bookmarkEnd w:id="44"/>
      <w:r w:rsidRPr="006A0A3F">
        <w:rPr>
          <w:rFonts w:ascii="Verdana" w:hAnsi="Verdana" w:cs="Verdana"/>
          <w:caps/>
          <w:snapToGrid w:val="0"/>
          <w:sz w:val="20"/>
          <w:szCs w:val="20"/>
          <w:lang w:val="es-CR" w:eastAsia="es-ES"/>
        </w:rPr>
        <w:t xml:space="preserve"> </w:t>
      </w:r>
    </w:p>
    <w:p w14:paraId="173A835E" w14:textId="00A99361" w:rsidR="003731F3" w:rsidRPr="006A0A3F" w:rsidRDefault="003731F3" w:rsidP="003731F3">
      <w:pPr>
        <w:contextualSpacing/>
        <w:jc w:val="center"/>
        <w:rPr>
          <w:rFonts w:ascii="Verdana" w:hAnsi="Verdana"/>
          <w:b/>
          <w:color w:val="000000"/>
          <w:sz w:val="20"/>
          <w:szCs w:val="20"/>
        </w:rPr>
      </w:pPr>
      <w:r w:rsidRPr="006A0A3F">
        <w:rPr>
          <w:rFonts w:ascii="Verdana" w:hAnsi="Verdana"/>
          <w:b/>
          <w:color w:val="000000"/>
          <w:sz w:val="20"/>
          <w:szCs w:val="20"/>
        </w:rPr>
        <w:t>(Artículo 26 de la Convención Americana</w:t>
      </w:r>
      <w:r w:rsidRPr="006A0A3F">
        <w:rPr>
          <w:rStyle w:val="FootnoteReference"/>
          <w:rFonts w:ascii="Verdana" w:hAnsi="Verdana"/>
          <w:sz w:val="20"/>
          <w:szCs w:val="20"/>
        </w:rPr>
        <w:footnoteReference w:id="259"/>
      </w:r>
      <w:r w:rsidRPr="006A0A3F">
        <w:rPr>
          <w:rFonts w:ascii="Verdana" w:hAnsi="Verdana"/>
          <w:b/>
          <w:color w:val="000000"/>
          <w:sz w:val="20"/>
          <w:szCs w:val="20"/>
        </w:rPr>
        <w:t>)</w:t>
      </w:r>
    </w:p>
    <w:p w14:paraId="382188F0" w14:textId="77777777" w:rsidR="003731F3" w:rsidRPr="006A0A3F" w:rsidRDefault="003731F3" w:rsidP="003731F3">
      <w:pPr>
        <w:spacing w:after="0" w:line="240" w:lineRule="auto"/>
        <w:contextualSpacing/>
        <w:jc w:val="both"/>
        <w:rPr>
          <w:rFonts w:ascii="Verdana" w:hAnsi="Verdana"/>
          <w:sz w:val="20"/>
          <w:szCs w:val="20"/>
        </w:rPr>
      </w:pPr>
    </w:p>
    <w:p w14:paraId="09497FD6" w14:textId="3C3A890A" w:rsidR="003731F3" w:rsidRPr="006A0A3F" w:rsidRDefault="003731F3" w:rsidP="003731F3">
      <w:pPr>
        <w:numPr>
          <w:ilvl w:val="0"/>
          <w:numId w:val="4"/>
        </w:numPr>
        <w:pBdr>
          <w:top w:val="nil"/>
        </w:pBdr>
        <w:autoSpaceDE w:val="0"/>
        <w:autoSpaceDN w:val="0"/>
        <w:adjustRightInd w:val="0"/>
        <w:spacing w:after="0" w:line="240" w:lineRule="auto"/>
        <w:ind w:left="0" w:firstLine="0"/>
        <w:jc w:val="both"/>
        <w:rPr>
          <w:rFonts w:ascii="Verdana" w:hAnsi="Verdana"/>
          <w:b/>
          <w:sz w:val="20"/>
          <w:szCs w:val="20"/>
        </w:rPr>
      </w:pPr>
      <w:r w:rsidRPr="006A0A3F">
        <w:rPr>
          <w:rFonts w:ascii="Verdana" w:hAnsi="Verdana"/>
          <w:sz w:val="20"/>
          <w:szCs w:val="20"/>
        </w:rPr>
        <w:t xml:space="preserve">En el presente caso, tal como sucedió en el caso </w:t>
      </w:r>
      <w:r w:rsidRPr="006A0A3F">
        <w:rPr>
          <w:rFonts w:ascii="Verdana" w:hAnsi="Verdana"/>
          <w:i/>
          <w:sz w:val="20"/>
          <w:szCs w:val="20"/>
        </w:rPr>
        <w:t>Lagos del Campo Vs. Perú</w:t>
      </w:r>
      <w:r w:rsidRPr="006A0A3F">
        <w:rPr>
          <w:rStyle w:val="FootnoteReference"/>
          <w:rFonts w:ascii="Verdana" w:hAnsi="Verdana"/>
          <w:sz w:val="20"/>
          <w:szCs w:val="20"/>
        </w:rPr>
        <w:footnoteReference w:id="260"/>
      </w:r>
      <w:r w:rsidRPr="006A0A3F">
        <w:rPr>
          <w:rFonts w:ascii="Verdana" w:hAnsi="Verdana"/>
          <w:sz w:val="20"/>
          <w:szCs w:val="20"/>
        </w:rPr>
        <w:t xml:space="preserve">, en el litigio ante esta Corte la Comisión no </w:t>
      </w:r>
      <w:r w:rsidR="005B4A20" w:rsidRPr="006A0A3F">
        <w:rPr>
          <w:rFonts w:ascii="Verdana" w:hAnsi="Verdana"/>
          <w:sz w:val="20"/>
          <w:szCs w:val="20"/>
        </w:rPr>
        <w:t xml:space="preserve">hizo </w:t>
      </w:r>
      <w:r w:rsidRPr="006A0A3F">
        <w:rPr>
          <w:rFonts w:ascii="Verdana" w:hAnsi="Verdana"/>
          <w:sz w:val="20"/>
          <w:szCs w:val="20"/>
        </w:rPr>
        <w:t>alusión expresa a la violación de derechos laborales a la luz de la Convención Americana. Sin embargo, este Tribunal constató que las presuntas víctimas en todas las instancias, tanto internas como ante la Comisión, alegaron reiteradamente la violación a sus derechos laborales, en particular los derechos al trabajo y a la estabilidad laboral, así como las consec</w:t>
      </w:r>
      <w:r w:rsidR="00B3512A">
        <w:rPr>
          <w:rFonts w:ascii="Verdana" w:hAnsi="Verdana"/>
          <w:sz w:val="20"/>
          <w:szCs w:val="20"/>
        </w:rPr>
        <w:t>uencias derivadas del despido. Así</w:t>
      </w:r>
      <w:r w:rsidRPr="006A0A3F">
        <w:rPr>
          <w:rFonts w:ascii="Verdana" w:hAnsi="Verdana"/>
          <w:sz w:val="20"/>
          <w:szCs w:val="20"/>
        </w:rPr>
        <w:t xml:space="preserve">: </w:t>
      </w:r>
    </w:p>
    <w:p w14:paraId="2D9FF72F" w14:textId="77777777" w:rsidR="00AE23AC" w:rsidRPr="006A0A3F" w:rsidRDefault="00AE23AC" w:rsidP="00AE23AC">
      <w:pPr>
        <w:pStyle w:val="ListParagraph"/>
        <w:autoSpaceDE w:val="0"/>
        <w:autoSpaceDN w:val="0"/>
        <w:adjustRightInd w:val="0"/>
        <w:ind w:left="851"/>
        <w:jc w:val="both"/>
        <w:rPr>
          <w:rFonts w:ascii="Verdana" w:eastAsiaTheme="minorHAnsi" w:hAnsi="Verdana"/>
          <w:sz w:val="18"/>
          <w:szCs w:val="18"/>
          <w:lang w:val="es-CR"/>
        </w:rPr>
      </w:pPr>
    </w:p>
    <w:p w14:paraId="7231C12A" w14:textId="49C6DAA0" w:rsidR="00AE23AC" w:rsidRPr="006A0A3F" w:rsidRDefault="00AE23AC" w:rsidP="004F5EFF">
      <w:pPr>
        <w:pStyle w:val="ListParagraph"/>
        <w:numPr>
          <w:ilvl w:val="0"/>
          <w:numId w:val="28"/>
        </w:numPr>
        <w:autoSpaceDE w:val="0"/>
        <w:autoSpaceDN w:val="0"/>
        <w:adjustRightInd w:val="0"/>
        <w:ind w:left="567" w:firstLine="0"/>
        <w:jc w:val="both"/>
        <w:rPr>
          <w:rFonts w:ascii="Verdana" w:eastAsiaTheme="minorHAnsi" w:hAnsi="Verdana"/>
          <w:sz w:val="18"/>
          <w:szCs w:val="18"/>
          <w:lang w:val="es-CR"/>
        </w:rPr>
      </w:pPr>
      <w:r w:rsidRPr="006A0A3F">
        <w:rPr>
          <w:rFonts w:ascii="Verdana" w:eastAsiaTheme="minorHAnsi" w:hAnsi="Verdana"/>
          <w:sz w:val="18"/>
          <w:szCs w:val="18"/>
          <w:lang w:val="es-CR"/>
        </w:rPr>
        <w:t>En la acción de amparo alegaron la violación de los derechos al trabajo y a la estabilidad laboral (</w:t>
      </w:r>
      <w:r w:rsidRPr="006A0A3F">
        <w:rPr>
          <w:rFonts w:ascii="Verdana" w:eastAsiaTheme="minorHAnsi" w:hAnsi="Verdana"/>
          <w:i/>
          <w:sz w:val="18"/>
          <w:szCs w:val="18"/>
          <w:lang w:val="es-CR"/>
        </w:rPr>
        <w:t xml:space="preserve">supra </w:t>
      </w:r>
      <w:r w:rsidRPr="006A0A3F">
        <w:rPr>
          <w:rFonts w:ascii="Verdana" w:eastAsiaTheme="minorHAnsi" w:hAnsi="Verdana"/>
          <w:sz w:val="18"/>
          <w:szCs w:val="18"/>
          <w:lang w:val="es-CR"/>
        </w:rPr>
        <w:t>párr. 88, nota al pie)</w:t>
      </w:r>
    </w:p>
    <w:p w14:paraId="36F10C2D" w14:textId="77777777" w:rsidR="00AE23AC" w:rsidRPr="006A0A3F" w:rsidRDefault="00AE23AC" w:rsidP="004F5EFF">
      <w:pPr>
        <w:pStyle w:val="ListParagraph"/>
        <w:autoSpaceDE w:val="0"/>
        <w:autoSpaceDN w:val="0"/>
        <w:adjustRightInd w:val="0"/>
        <w:ind w:left="567"/>
        <w:jc w:val="both"/>
        <w:rPr>
          <w:rFonts w:ascii="Verdana" w:eastAsiaTheme="minorHAnsi" w:hAnsi="Verdana"/>
          <w:sz w:val="18"/>
          <w:szCs w:val="18"/>
          <w:lang w:val="es-CR"/>
        </w:rPr>
      </w:pPr>
    </w:p>
    <w:p w14:paraId="6C81CFDC" w14:textId="3E92A87B" w:rsidR="003731F3" w:rsidRPr="006A0A3F" w:rsidRDefault="003731F3" w:rsidP="004F5EFF">
      <w:pPr>
        <w:pStyle w:val="ListParagraph"/>
        <w:numPr>
          <w:ilvl w:val="0"/>
          <w:numId w:val="28"/>
        </w:numPr>
        <w:autoSpaceDE w:val="0"/>
        <w:autoSpaceDN w:val="0"/>
        <w:adjustRightInd w:val="0"/>
        <w:ind w:left="567" w:firstLine="0"/>
        <w:jc w:val="both"/>
        <w:rPr>
          <w:rFonts w:ascii="Verdana" w:eastAsiaTheme="minorHAnsi" w:hAnsi="Verdana"/>
          <w:sz w:val="18"/>
          <w:szCs w:val="18"/>
          <w:lang w:val="es-CR"/>
        </w:rPr>
      </w:pPr>
      <w:r w:rsidRPr="006A0A3F">
        <w:rPr>
          <w:rFonts w:ascii="Verdana" w:hAnsi="Verdana"/>
          <w:sz w:val="18"/>
          <w:szCs w:val="18"/>
          <w:lang w:val="es-CR"/>
        </w:rPr>
        <w:t xml:space="preserve">Mediante </w:t>
      </w:r>
      <w:r w:rsidR="0045102F">
        <w:rPr>
          <w:rFonts w:ascii="Verdana" w:hAnsi="Verdana"/>
          <w:sz w:val="18"/>
          <w:szCs w:val="18"/>
          <w:lang w:val="es-CR"/>
        </w:rPr>
        <w:t xml:space="preserve">la </w:t>
      </w:r>
      <w:r w:rsidRPr="006A0A3F">
        <w:rPr>
          <w:rFonts w:ascii="Verdana" w:hAnsi="Verdana"/>
          <w:sz w:val="18"/>
          <w:szCs w:val="18"/>
          <w:lang w:val="es-CR"/>
        </w:rPr>
        <w:t xml:space="preserve">petición </w:t>
      </w:r>
      <w:r w:rsidR="0045102F">
        <w:rPr>
          <w:rFonts w:ascii="Verdana" w:hAnsi="Verdana"/>
          <w:sz w:val="18"/>
          <w:szCs w:val="18"/>
          <w:lang w:val="es-CR"/>
        </w:rPr>
        <w:t>inicial presentada ante</w:t>
      </w:r>
      <w:r w:rsidRPr="006A0A3F">
        <w:rPr>
          <w:rFonts w:ascii="Verdana" w:hAnsi="Verdana"/>
          <w:sz w:val="18"/>
          <w:szCs w:val="18"/>
          <w:lang w:val="es-CR"/>
        </w:rPr>
        <w:t xml:space="preserve"> l</w:t>
      </w:r>
      <w:r w:rsidR="0045102F">
        <w:rPr>
          <w:rFonts w:ascii="Verdana" w:hAnsi="Verdana"/>
          <w:sz w:val="18"/>
          <w:szCs w:val="18"/>
          <w:lang w:val="es-CR"/>
        </w:rPr>
        <w:t>a Comisión el 7 de marzo de 2006</w:t>
      </w:r>
      <w:r w:rsidRPr="006A0A3F">
        <w:rPr>
          <w:rFonts w:ascii="Verdana" w:hAnsi="Verdana"/>
          <w:sz w:val="18"/>
          <w:szCs w:val="18"/>
          <w:lang w:val="es-CR"/>
        </w:rPr>
        <w:t xml:space="preserve">, los entonces representantes de las peticionarias </w:t>
      </w:r>
      <w:r w:rsidRPr="006A0A3F">
        <w:rPr>
          <w:rFonts w:ascii="Verdana" w:eastAsiaTheme="minorHAnsi" w:hAnsi="Verdana"/>
          <w:sz w:val="18"/>
          <w:szCs w:val="18"/>
          <w:lang w:val="es-CR"/>
        </w:rPr>
        <w:t xml:space="preserve">denunciaron de manera explícita la violación del </w:t>
      </w:r>
      <w:r w:rsidR="009F3998" w:rsidRPr="006A0A3F">
        <w:rPr>
          <w:rFonts w:ascii="Verdana" w:eastAsiaTheme="minorHAnsi" w:hAnsi="Verdana"/>
          <w:sz w:val="18"/>
          <w:szCs w:val="18"/>
          <w:lang w:val="es-CR"/>
        </w:rPr>
        <w:t xml:space="preserve">derecho al trabajo, como “un derecho económico y social, de aquellos a los que se refiere el art. 26 de la Convención”, </w:t>
      </w:r>
      <w:r w:rsidRPr="006A0A3F">
        <w:rPr>
          <w:rFonts w:ascii="Verdana" w:eastAsiaTheme="minorHAnsi" w:hAnsi="Verdana"/>
          <w:sz w:val="18"/>
          <w:szCs w:val="18"/>
          <w:lang w:val="es-CR"/>
        </w:rPr>
        <w:t xml:space="preserve">como </w:t>
      </w:r>
      <w:r w:rsidR="009F3998" w:rsidRPr="006A0A3F">
        <w:rPr>
          <w:rFonts w:ascii="Verdana" w:eastAsiaTheme="minorHAnsi" w:hAnsi="Verdana"/>
          <w:sz w:val="18"/>
          <w:szCs w:val="18"/>
          <w:lang w:val="es-CR"/>
        </w:rPr>
        <w:t xml:space="preserve">consecuencia </w:t>
      </w:r>
      <w:r w:rsidRPr="006A0A3F">
        <w:rPr>
          <w:rFonts w:ascii="Verdana" w:eastAsiaTheme="minorHAnsi" w:hAnsi="Verdana"/>
          <w:sz w:val="18"/>
          <w:szCs w:val="18"/>
          <w:lang w:val="es-CR"/>
        </w:rPr>
        <w:t>de “la decisión de las autoridades de Venezuela, de despedir de sus empleos a las víctimas en este caso”.</w:t>
      </w:r>
      <w:r w:rsidR="009F3998" w:rsidRPr="006A0A3F">
        <w:rPr>
          <w:rFonts w:ascii="Verdana" w:eastAsiaTheme="minorHAnsi" w:hAnsi="Verdana"/>
          <w:sz w:val="18"/>
          <w:szCs w:val="18"/>
          <w:lang w:val="es-CR"/>
        </w:rPr>
        <w:t xml:space="preserve"> Alegaron que </w:t>
      </w:r>
      <w:r w:rsidRPr="006A0A3F">
        <w:rPr>
          <w:rFonts w:ascii="Verdana" w:eastAsiaTheme="minorHAnsi" w:hAnsi="Verdana"/>
          <w:sz w:val="18"/>
          <w:szCs w:val="18"/>
          <w:lang w:val="es-CR"/>
        </w:rPr>
        <w:t xml:space="preserve">el derecho al trabajo se encuentra amparado por la Convención, </w:t>
      </w:r>
      <w:r w:rsidR="009F3998" w:rsidRPr="006A0A3F">
        <w:rPr>
          <w:rFonts w:ascii="Verdana" w:eastAsiaTheme="minorHAnsi" w:hAnsi="Verdana"/>
          <w:sz w:val="18"/>
          <w:szCs w:val="18"/>
          <w:lang w:val="es-CR"/>
        </w:rPr>
        <w:t>cuyo artículo</w:t>
      </w:r>
      <w:r w:rsidRPr="006A0A3F">
        <w:rPr>
          <w:rFonts w:ascii="Verdana" w:eastAsiaTheme="minorHAnsi" w:hAnsi="Verdana"/>
          <w:sz w:val="18"/>
          <w:szCs w:val="18"/>
          <w:lang w:val="es-CR"/>
        </w:rPr>
        <w:t xml:space="preserve"> 26</w:t>
      </w:r>
      <w:r w:rsidR="009F3998" w:rsidRPr="006A0A3F">
        <w:rPr>
          <w:rFonts w:ascii="Verdana" w:eastAsiaTheme="minorHAnsi" w:hAnsi="Verdana"/>
          <w:sz w:val="18"/>
          <w:szCs w:val="18"/>
          <w:lang w:val="es-CR"/>
        </w:rPr>
        <w:t xml:space="preserve"> remite a la Carta de la OEA, que reconoce ese derecho en su </w:t>
      </w:r>
      <w:r w:rsidRPr="006A0A3F">
        <w:rPr>
          <w:rFonts w:ascii="Verdana" w:eastAsiaTheme="minorHAnsi" w:hAnsi="Verdana"/>
          <w:sz w:val="18"/>
          <w:szCs w:val="18"/>
          <w:lang w:val="es-CR"/>
        </w:rPr>
        <w:t>art</w:t>
      </w:r>
      <w:r w:rsidR="009F3998" w:rsidRPr="006A0A3F">
        <w:rPr>
          <w:rFonts w:ascii="Verdana" w:eastAsiaTheme="minorHAnsi" w:hAnsi="Verdana"/>
          <w:sz w:val="18"/>
          <w:szCs w:val="18"/>
          <w:lang w:val="es-CR"/>
        </w:rPr>
        <w:t>ículo</w:t>
      </w:r>
      <w:r w:rsidRPr="006A0A3F">
        <w:rPr>
          <w:rFonts w:ascii="Verdana" w:eastAsiaTheme="minorHAnsi" w:hAnsi="Verdana"/>
          <w:sz w:val="18"/>
          <w:szCs w:val="18"/>
          <w:lang w:val="es-CR"/>
        </w:rPr>
        <w:t xml:space="preserve"> 45</w:t>
      </w:r>
      <w:r w:rsidR="009F3998" w:rsidRPr="006A0A3F">
        <w:rPr>
          <w:rFonts w:ascii="Verdana" w:eastAsiaTheme="minorHAnsi" w:hAnsi="Verdana"/>
          <w:sz w:val="18"/>
          <w:szCs w:val="18"/>
          <w:lang w:val="es-CR"/>
        </w:rPr>
        <w:t>.a) y b). Además</w:t>
      </w:r>
      <w:r w:rsidRPr="006A0A3F">
        <w:rPr>
          <w:rFonts w:ascii="Verdana" w:eastAsiaTheme="minorHAnsi" w:hAnsi="Verdana"/>
          <w:sz w:val="18"/>
          <w:szCs w:val="18"/>
          <w:lang w:val="es-CR"/>
        </w:rPr>
        <w:t xml:space="preserve">, </w:t>
      </w:r>
      <w:r w:rsidR="009F3998" w:rsidRPr="006A0A3F">
        <w:rPr>
          <w:rFonts w:ascii="Verdana" w:eastAsiaTheme="minorHAnsi" w:hAnsi="Verdana"/>
          <w:sz w:val="18"/>
          <w:szCs w:val="18"/>
          <w:lang w:val="es-CR"/>
        </w:rPr>
        <w:t xml:space="preserve">alegaron que la violación del derecho al trabajo de las peticionarias también implica una violación del art. 29.b) de la Convención, pues Venezuela es </w:t>
      </w:r>
      <w:r w:rsidR="009F3998" w:rsidRPr="006A0A3F">
        <w:rPr>
          <w:rFonts w:ascii="Verdana" w:hAnsi="Verdana"/>
          <w:sz w:val="18"/>
          <w:szCs w:val="18"/>
          <w:lang w:val="es-CR"/>
        </w:rPr>
        <w:t>parte en el Pacto Internacional de Derechos Económicos, Sociales y Culturales y en el Protocolo Adicional a la Convención Americana sobre Derechos Humanos en materia de Derechos Económicos, Sociales y Culturales, cuyos artículos cuyo artículos 6.1 consagran el derecho al trabajo, por lo cual el artículo 26 de la Convención debe interpretarse en armonía con estos otros instrumentos internacionales, que en todo caso deben ser cumplidos de buena fe por el</w:t>
      </w:r>
      <w:r w:rsidR="00435F1C">
        <w:rPr>
          <w:rFonts w:ascii="Verdana" w:hAnsi="Verdana"/>
          <w:sz w:val="18"/>
          <w:szCs w:val="18"/>
          <w:lang w:val="es-CR"/>
        </w:rPr>
        <w:t xml:space="preserve"> Estado parte. Asimismo, el artículo</w:t>
      </w:r>
      <w:r w:rsidR="009F3998" w:rsidRPr="006A0A3F">
        <w:rPr>
          <w:rFonts w:ascii="Verdana" w:hAnsi="Verdana"/>
          <w:sz w:val="18"/>
          <w:szCs w:val="18"/>
          <w:lang w:val="es-CR"/>
        </w:rPr>
        <w:t xml:space="preserve">·29.d) de la Convención prohíbe interpretar la </w:t>
      </w:r>
      <w:r w:rsidR="004A11F2" w:rsidRPr="006A0A3F">
        <w:rPr>
          <w:rFonts w:ascii="Verdana" w:hAnsi="Verdana"/>
          <w:sz w:val="18"/>
          <w:szCs w:val="18"/>
          <w:lang w:val="es-CR"/>
        </w:rPr>
        <w:t xml:space="preserve">Convención en el sentido de excluir o limitar el efecto que pueda producir la </w:t>
      </w:r>
      <w:r w:rsidR="009F3998" w:rsidRPr="006A0A3F">
        <w:rPr>
          <w:rFonts w:ascii="Verdana" w:hAnsi="Verdana"/>
          <w:sz w:val="18"/>
          <w:szCs w:val="18"/>
          <w:lang w:val="es-CR"/>
        </w:rPr>
        <w:t>Declaración Americana de Derechos y Deberes del Hombre, cuyo artículo XIV reconoce explícitamente el derecho al trabajo y a una justa retribución</w:t>
      </w:r>
      <w:r w:rsidR="004A11F2" w:rsidRPr="006A0A3F">
        <w:rPr>
          <w:rFonts w:ascii="Verdana" w:hAnsi="Verdana"/>
          <w:sz w:val="18"/>
          <w:szCs w:val="18"/>
          <w:lang w:val="es-CR"/>
        </w:rPr>
        <w:t>. En otros casos, la Comisión ha conocido situaciones en que el Estado persiste en utilizar diversas formas de discriminación en el otorgamiento de trabajo por motivos ideológicos u otras razones conexas, pues las personas que demuestran discrepancias políticas con el régimen son las que en mayor proporción se encuentran desempleadas, hechos que también constituyen violaciones de convenios internacionales suscritos por el Estado en el marco de la Organización Internacional del Trabajo (OIT). En el presente caso, las peticionarias fueron despedidas de su empleo precisamente por manifestar opiniones discrepantes de las del gobierno</w:t>
      </w:r>
      <w:r w:rsidR="00AE23AC" w:rsidRPr="006A0A3F">
        <w:rPr>
          <w:rStyle w:val="FootnoteReference"/>
          <w:rFonts w:ascii="Verdana" w:eastAsiaTheme="minorHAnsi" w:hAnsi="Verdana"/>
          <w:sz w:val="18"/>
          <w:szCs w:val="18"/>
          <w:lang w:val="es-CR"/>
        </w:rPr>
        <w:footnoteReference w:id="261"/>
      </w:r>
      <w:r w:rsidR="004A11F2" w:rsidRPr="006A0A3F">
        <w:rPr>
          <w:rFonts w:ascii="Verdana" w:hAnsi="Verdana"/>
          <w:sz w:val="18"/>
          <w:szCs w:val="18"/>
          <w:lang w:val="es-CR"/>
        </w:rPr>
        <w:t>.</w:t>
      </w:r>
    </w:p>
    <w:p w14:paraId="77E47017" w14:textId="77777777" w:rsidR="00B92A12" w:rsidRPr="006A0A3F" w:rsidRDefault="00B92A12" w:rsidP="004F5EFF">
      <w:pPr>
        <w:spacing w:after="0" w:line="240" w:lineRule="auto"/>
        <w:contextualSpacing/>
        <w:jc w:val="both"/>
        <w:rPr>
          <w:rFonts w:ascii="Verdana" w:hAnsi="Verdana"/>
          <w:sz w:val="20"/>
          <w:szCs w:val="20"/>
        </w:rPr>
      </w:pPr>
    </w:p>
    <w:p w14:paraId="14BFB4EA" w14:textId="51322C21" w:rsidR="00B92A12" w:rsidRPr="006A0A3F" w:rsidRDefault="00AE23AC" w:rsidP="00873353">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Es decir</w:t>
      </w:r>
      <w:r w:rsidR="003731F3" w:rsidRPr="006A0A3F">
        <w:rPr>
          <w:rFonts w:ascii="Verdana" w:hAnsi="Verdana"/>
          <w:sz w:val="20"/>
          <w:szCs w:val="20"/>
        </w:rPr>
        <w:t>, este</w:t>
      </w:r>
      <w:r w:rsidR="00B92A12" w:rsidRPr="006A0A3F">
        <w:rPr>
          <w:rFonts w:ascii="Verdana" w:hAnsi="Verdana"/>
          <w:sz w:val="20"/>
          <w:szCs w:val="20"/>
        </w:rPr>
        <w:t xml:space="preserve"> Tribunal constata que desde su primer escrito</w:t>
      </w:r>
      <w:r w:rsidR="003731F3" w:rsidRPr="006A0A3F">
        <w:rPr>
          <w:rFonts w:ascii="Verdana" w:hAnsi="Verdana"/>
          <w:sz w:val="20"/>
          <w:szCs w:val="20"/>
        </w:rPr>
        <w:t xml:space="preserve"> ante la Comisión, las peticionarias solicitaron </w:t>
      </w:r>
      <w:r w:rsidRPr="006A0A3F">
        <w:rPr>
          <w:rFonts w:ascii="Verdana" w:hAnsi="Verdana"/>
          <w:sz w:val="20"/>
          <w:szCs w:val="20"/>
        </w:rPr>
        <w:t xml:space="preserve">que se </w:t>
      </w:r>
      <w:r w:rsidR="003731F3" w:rsidRPr="006A0A3F">
        <w:rPr>
          <w:rFonts w:ascii="Verdana" w:hAnsi="Verdana"/>
          <w:sz w:val="20"/>
          <w:szCs w:val="20"/>
        </w:rPr>
        <w:t>declarar</w:t>
      </w:r>
      <w:r w:rsidRPr="006A0A3F">
        <w:rPr>
          <w:rFonts w:ascii="Verdana" w:hAnsi="Verdana"/>
          <w:sz w:val="20"/>
          <w:szCs w:val="20"/>
        </w:rPr>
        <w:t>a</w:t>
      </w:r>
      <w:r w:rsidR="003731F3" w:rsidRPr="006A0A3F">
        <w:rPr>
          <w:rFonts w:ascii="Verdana" w:hAnsi="Verdana"/>
          <w:sz w:val="20"/>
          <w:szCs w:val="20"/>
        </w:rPr>
        <w:t xml:space="preserve"> la violación d</w:t>
      </w:r>
      <w:r w:rsidRPr="006A0A3F">
        <w:rPr>
          <w:rFonts w:ascii="Verdana" w:hAnsi="Verdana"/>
          <w:sz w:val="20"/>
          <w:szCs w:val="20"/>
        </w:rPr>
        <w:t>el artículo 26 de la Convención</w:t>
      </w:r>
      <w:r w:rsidR="003731F3" w:rsidRPr="006A0A3F">
        <w:rPr>
          <w:rFonts w:ascii="Verdana" w:hAnsi="Verdana"/>
          <w:sz w:val="20"/>
          <w:szCs w:val="20"/>
        </w:rPr>
        <w:t xml:space="preserve">. </w:t>
      </w:r>
      <w:r w:rsidR="005B4A20" w:rsidRPr="006A0A3F">
        <w:rPr>
          <w:rFonts w:ascii="Verdana" w:hAnsi="Verdana"/>
          <w:sz w:val="20"/>
          <w:szCs w:val="20"/>
        </w:rPr>
        <w:t>Así</w:t>
      </w:r>
      <w:r w:rsidR="00B92A12" w:rsidRPr="006A0A3F">
        <w:rPr>
          <w:rFonts w:ascii="Verdana" w:hAnsi="Verdana"/>
          <w:sz w:val="20"/>
          <w:szCs w:val="20"/>
        </w:rPr>
        <w:t xml:space="preserve">, desde </w:t>
      </w:r>
      <w:r w:rsidR="00B3512A">
        <w:rPr>
          <w:rFonts w:ascii="Verdana" w:hAnsi="Verdana"/>
          <w:sz w:val="20"/>
          <w:szCs w:val="20"/>
        </w:rPr>
        <w:t>las</w:t>
      </w:r>
      <w:r w:rsidR="00B92A12" w:rsidRPr="006A0A3F">
        <w:rPr>
          <w:rFonts w:ascii="Verdana" w:hAnsi="Verdana"/>
          <w:sz w:val="20"/>
          <w:szCs w:val="20"/>
        </w:rPr>
        <w:t xml:space="preserve"> primeras </w:t>
      </w:r>
      <w:r w:rsidR="00B3512A">
        <w:rPr>
          <w:rFonts w:ascii="Verdana" w:hAnsi="Verdana"/>
          <w:sz w:val="20"/>
          <w:szCs w:val="20"/>
        </w:rPr>
        <w:t xml:space="preserve">actuaciones </w:t>
      </w:r>
      <w:r w:rsidR="00B92A12" w:rsidRPr="006A0A3F">
        <w:rPr>
          <w:rFonts w:ascii="Verdana" w:hAnsi="Verdana"/>
          <w:sz w:val="20"/>
          <w:szCs w:val="20"/>
        </w:rPr>
        <w:t xml:space="preserve">el Estado tuvo conocimiento de dicha pretensión de las </w:t>
      </w:r>
      <w:r w:rsidR="00EF11CF">
        <w:rPr>
          <w:rFonts w:ascii="Verdana" w:hAnsi="Verdana"/>
          <w:sz w:val="20"/>
          <w:szCs w:val="20"/>
        </w:rPr>
        <w:t>peticionarias</w:t>
      </w:r>
      <w:r w:rsidR="00B92A12" w:rsidRPr="006A0A3F">
        <w:rPr>
          <w:rFonts w:ascii="Verdana" w:hAnsi="Verdana"/>
          <w:sz w:val="20"/>
          <w:szCs w:val="20"/>
        </w:rPr>
        <w:t xml:space="preserve"> y, en efecto, manifestó </w:t>
      </w:r>
      <w:r w:rsidR="0045102F">
        <w:rPr>
          <w:rFonts w:ascii="Verdana" w:hAnsi="Verdana"/>
          <w:sz w:val="20"/>
          <w:szCs w:val="20"/>
        </w:rPr>
        <w:t xml:space="preserve">ante la Comisión </w:t>
      </w:r>
      <w:r w:rsidR="00B92A12" w:rsidRPr="006A0A3F">
        <w:rPr>
          <w:rFonts w:ascii="Verdana" w:hAnsi="Verdana"/>
          <w:sz w:val="20"/>
          <w:szCs w:val="20"/>
        </w:rPr>
        <w:t xml:space="preserve">que no fue transgredido el artículo 26 </w:t>
      </w:r>
      <w:r w:rsidR="00873353" w:rsidRPr="006A0A3F">
        <w:rPr>
          <w:rFonts w:ascii="Verdana" w:hAnsi="Verdana"/>
          <w:sz w:val="20"/>
          <w:szCs w:val="20"/>
        </w:rPr>
        <w:t>c</w:t>
      </w:r>
      <w:r w:rsidR="005B4A20" w:rsidRPr="006A0A3F">
        <w:rPr>
          <w:rFonts w:ascii="Verdana" w:hAnsi="Verdana"/>
          <w:sz w:val="20"/>
          <w:szCs w:val="20"/>
        </w:rPr>
        <w:t>onvencional, debido a que la l</w:t>
      </w:r>
      <w:r w:rsidR="00B92A12" w:rsidRPr="006A0A3F">
        <w:rPr>
          <w:rFonts w:ascii="Verdana" w:hAnsi="Verdana"/>
          <w:sz w:val="20"/>
          <w:szCs w:val="20"/>
        </w:rPr>
        <w:t xml:space="preserve">ey venezolana establece los criterios para proveer una reparación pecuniaria al trabajador en caso de despido, así como el pago de las prestaciones sociales de acuerdo a lo dispuesto en la Ley Orgánica del Trabajo. El Estado </w:t>
      </w:r>
      <w:r w:rsidR="005A4796" w:rsidRPr="006A0A3F">
        <w:rPr>
          <w:rFonts w:ascii="Verdana" w:hAnsi="Verdana"/>
          <w:sz w:val="20"/>
          <w:szCs w:val="20"/>
        </w:rPr>
        <w:t>alegó ante la Comisión</w:t>
      </w:r>
      <w:r w:rsidR="00B92A12" w:rsidRPr="006A0A3F">
        <w:rPr>
          <w:rFonts w:ascii="Verdana" w:hAnsi="Verdana"/>
          <w:sz w:val="20"/>
          <w:szCs w:val="20"/>
        </w:rPr>
        <w:t xml:space="preserve"> que la finalización de una relación laboral fue realizada a través de una cláusula</w:t>
      </w:r>
      <w:r w:rsidR="00873353" w:rsidRPr="006A0A3F">
        <w:rPr>
          <w:rFonts w:ascii="Verdana" w:hAnsi="Verdana"/>
          <w:sz w:val="20"/>
          <w:szCs w:val="20"/>
        </w:rPr>
        <w:t xml:space="preserve"> del contrato que así lo permitía</w:t>
      </w:r>
      <w:r w:rsidR="00B92A12" w:rsidRPr="006A0A3F">
        <w:rPr>
          <w:rFonts w:ascii="Verdana" w:hAnsi="Verdana"/>
          <w:sz w:val="20"/>
          <w:szCs w:val="20"/>
        </w:rPr>
        <w:t xml:space="preserve"> y que ello no puede implicar una violación de los derechos de los trabajadores o disminución de las garantías que los amparan, ya que no es obligación del empleador mantener una relación vitalicia laboral. Resaltó también el Estado que el Protocolo de San Salvador, a </w:t>
      </w:r>
      <w:r w:rsidR="00EF11CF">
        <w:rPr>
          <w:rFonts w:ascii="Verdana" w:hAnsi="Verdana"/>
          <w:sz w:val="20"/>
          <w:szCs w:val="20"/>
        </w:rPr>
        <w:t xml:space="preserve">diferencia de lo </w:t>
      </w:r>
      <w:r w:rsidR="00EF11CF">
        <w:rPr>
          <w:rFonts w:ascii="Verdana" w:hAnsi="Verdana"/>
          <w:sz w:val="20"/>
          <w:szCs w:val="20"/>
        </w:rPr>
        <w:lastRenderedPageBreak/>
        <w:t>indicado por las peticionaria</w:t>
      </w:r>
      <w:r w:rsidR="00B92A12" w:rsidRPr="006A0A3F">
        <w:rPr>
          <w:rFonts w:ascii="Verdana" w:hAnsi="Verdana"/>
          <w:sz w:val="20"/>
          <w:szCs w:val="20"/>
        </w:rPr>
        <w:t xml:space="preserve">s, no ha sido ratificado por </w:t>
      </w:r>
      <w:r w:rsidR="0045102F">
        <w:rPr>
          <w:rFonts w:ascii="Verdana" w:hAnsi="Verdana"/>
          <w:sz w:val="20"/>
          <w:szCs w:val="20"/>
        </w:rPr>
        <w:t>aquél</w:t>
      </w:r>
      <w:r w:rsidR="00B92A12" w:rsidRPr="006A0A3F">
        <w:rPr>
          <w:rFonts w:ascii="Verdana" w:hAnsi="Verdana"/>
          <w:sz w:val="20"/>
          <w:szCs w:val="20"/>
        </w:rPr>
        <w:t xml:space="preserve"> y</w:t>
      </w:r>
      <w:r w:rsidR="0045102F">
        <w:rPr>
          <w:rFonts w:ascii="Verdana" w:hAnsi="Verdana"/>
          <w:sz w:val="20"/>
          <w:szCs w:val="20"/>
        </w:rPr>
        <w:t>,</w:t>
      </w:r>
      <w:r w:rsidR="00B92A12" w:rsidRPr="006A0A3F">
        <w:rPr>
          <w:rFonts w:ascii="Verdana" w:hAnsi="Verdana"/>
          <w:sz w:val="20"/>
          <w:szCs w:val="20"/>
        </w:rPr>
        <w:t xml:space="preserve"> por lo tanto</w:t>
      </w:r>
      <w:r w:rsidR="0045102F">
        <w:rPr>
          <w:rFonts w:ascii="Verdana" w:hAnsi="Verdana"/>
          <w:sz w:val="20"/>
          <w:szCs w:val="20"/>
        </w:rPr>
        <w:t>,</w:t>
      </w:r>
      <w:r w:rsidR="00B92A12" w:rsidRPr="006A0A3F">
        <w:rPr>
          <w:rFonts w:ascii="Verdana" w:hAnsi="Verdana"/>
          <w:sz w:val="20"/>
          <w:szCs w:val="20"/>
        </w:rPr>
        <w:t xml:space="preserve"> no se </w:t>
      </w:r>
      <w:r w:rsidR="0045102F">
        <w:rPr>
          <w:rFonts w:ascii="Verdana" w:hAnsi="Verdana"/>
          <w:sz w:val="20"/>
          <w:szCs w:val="20"/>
        </w:rPr>
        <w:t xml:space="preserve">encontraba </w:t>
      </w:r>
      <w:r w:rsidR="00B92A12" w:rsidRPr="006A0A3F">
        <w:rPr>
          <w:rFonts w:ascii="Verdana" w:hAnsi="Verdana"/>
          <w:sz w:val="20"/>
          <w:szCs w:val="20"/>
        </w:rPr>
        <w:t>vigente en los términos exigidos</w:t>
      </w:r>
      <w:r w:rsidR="00873353" w:rsidRPr="006A0A3F">
        <w:rPr>
          <w:rFonts w:ascii="Verdana" w:hAnsi="Verdana"/>
          <w:sz w:val="20"/>
          <w:szCs w:val="20"/>
        </w:rPr>
        <w:t xml:space="preserve"> por la Constitución Nacional, </w:t>
      </w:r>
      <w:r w:rsidR="00B92A12" w:rsidRPr="006A0A3F">
        <w:rPr>
          <w:rFonts w:ascii="Verdana" w:hAnsi="Verdana"/>
          <w:sz w:val="20"/>
          <w:szCs w:val="20"/>
        </w:rPr>
        <w:t xml:space="preserve">a pesar de </w:t>
      </w:r>
      <w:r w:rsidR="00873353" w:rsidRPr="006A0A3F">
        <w:rPr>
          <w:rFonts w:ascii="Verdana" w:hAnsi="Verdana"/>
          <w:sz w:val="20"/>
          <w:szCs w:val="20"/>
        </w:rPr>
        <w:t>lo cual</w:t>
      </w:r>
      <w:r w:rsidR="00B92A12" w:rsidRPr="006A0A3F">
        <w:rPr>
          <w:rFonts w:ascii="Verdana" w:hAnsi="Verdana"/>
          <w:sz w:val="20"/>
          <w:szCs w:val="20"/>
        </w:rPr>
        <w:t xml:space="preserve"> ha cumplido con todas l</w:t>
      </w:r>
      <w:r w:rsidR="00873353" w:rsidRPr="006A0A3F">
        <w:rPr>
          <w:rFonts w:ascii="Verdana" w:hAnsi="Verdana"/>
          <w:sz w:val="20"/>
          <w:szCs w:val="20"/>
        </w:rPr>
        <w:t>as obligaciones contenidas en el Protocolo</w:t>
      </w:r>
      <w:r w:rsidR="00B92A12" w:rsidRPr="006A0A3F">
        <w:rPr>
          <w:rFonts w:ascii="Verdana" w:hAnsi="Verdana"/>
          <w:sz w:val="20"/>
          <w:szCs w:val="20"/>
        </w:rPr>
        <w:t xml:space="preserve">, </w:t>
      </w:r>
      <w:r w:rsidR="00873353" w:rsidRPr="006A0A3F">
        <w:rPr>
          <w:rFonts w:ascii="Verdana" w:hAnsi="Verdana"/>
          <w:sz w:val="20"/>
          <w:szCs w:val="20"/>
        </w:rPr>
        <w:t>resaltando</w:t>
      </w:r>
      <w:r w:rsidR="00B92A12" w:rsidRPr="006A0A3F">
        <w:rPr>
          <w:rFonts w:ascii="Verdana" w:hAnsi="Verdana"/>
          <w:sz w:val="20"/>
          <w:szCs w:val="20"/>
        </w:rPr>
        <w:t xml:space="preserve"> que la realidad jurídica venezolana se ha desarrollado precisamente a favor de los derechos de los trabajadores</w:t>
      </w:r>
      <w:r w:rsidR="0045102F">
        <w:rPr>
          <w:rStyle w:val="FootnoteReference"/>
          <w:rFonts w:ascii="Verdana" w:hAnsi="Verdana"/>
          <w:sz w:val="20"/>
          <w:szCs w:val="20"/>
        </w:rPr>
        <w:footnoteReference w:id="262"/>
      </w:r>
      <w:r w:rsidR="00B92A12" w:rsidRPr="006A0A3F">
        <w:rPr>
          <w:rFonts w:ascii="Verdana" w:hAnsi="Verdana"/>
          <w:sz w:val="20"/>
          <w:szCs w:val="20"/>
        </w:rPr>
        <w:t xml:space="preserve">. </w:t>
      </w:r>
    </w:p>
    <w:p w14:paraId="03ABE706" w14:textId="77777777" w:rsidR="00B92A12" w:rsidRPr="006A0A3F" w:rsidRDefault="00B92A12" w:rsidP="00B92A12">
      <w:pPr>
        <w:pBdr>
          <w:top w:val="nil"/>
        </w:pBdr>
        <w:autoSpaceDE w:val="0"/>
        <w:autoSpaceDN w:val="0"/>
        <w:adjustRightInd w:val="0"/>
        <w:spacing w:after="0" w:line="240" w:lineRule="auto"/>
        <w:jc w:val="both"/>
        <w:rPr>
          <w:rFonts w:ascii="Verdana" w:hAnsi="Verdana" w:cs="Verdana"/>
          <w:sz w:val="20"/>
          <w:szCs w:val="20"/>
        </w:rPr>
      </w:pPr>
    </w:p>
    <w:p w14:paraId="4AE5D854" w14:textId="77777777" w:rsidR="00BB7943" w:rsidRPr="006A0A3F" w:rsidRDefault="00B92A12" w:rsidP="00AE23AC">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sz w:val="20"/>
          <w:szCs w:val="20"/>
        </w:rPr>
        <w:t xml:space="preserve"> En su </w:t>
      </w:r>
      <w:r w:rsidR="00AE23AC" w:rsidRPr="006A0A3F">
        <w:rPr>
          <w:rFonts w:ascii="Verdana" w:hAnsi="Verdana"/>
          <w:sz w:val="20"/>
          <w:szCs w:val="20"/>
        </w:rPr>
        <w:t xml:space="preserve">Informe de Admisibilidad No. 152/10, la Comisión señaló </w:t>
      </w:r>
      <w:r w:rsidR="00BB7943" w:rsidRPr="006A0A3F">
        <w:rPr>
          <w:rFonts w:ascii="Verdana" w:hAnsi="Verdana"/>
          <w:sz w:val="20"/>
          <w:szCs w:val="20"/>
        </w:rPr>
        <w:t>al respecto lo siguiente</w:t>
      </w:r>
      <w:r w:rsidR="00AE23AC" w:rsidRPr="006A0A3F">
        <w:rPr>
          <w:rFonts w:ascii="Verdana" w:hAnsi="Verdana"/>
          <w:sz w:val="20"/>
          <w:szCs w:val="20"/>
        </w:rPr>
        <w:t xml:space="preserve">: </w:t>
      </w:r>
    </w:p>
    <w:p w14:paraId="26836720" w14:textId="77777777" w:rsidR="00BB7943" w:rsidRPr="006A0A3F" w:rsidRDefault="00BB7943" w:rsidP="00BB7943">
      <w:pPr>
        <w:pBdr>
          <w:top w:val="nil"/>
        </w:pBdr>
        <w:autoSpaceDE w:val="0"/>
        <w:autoSpaceDN w:val="0"/>
        <w:adjustRightInd w:val="0"/>
        <w:spacing w:after="0" w:line="240" w:lineRule="auto"/>
        <w:jc w:val="both"/>
        <w:rPr>
          <w:rFonts w:ascii="Verdana" w:hAnsi="Verdana"/>
          <w:sz w:val="20"/>
          <w:szCs w:val="20"/>
        </w:rPr>
      </w:pPr>
    </w:p>
    <w:p w14:paraId="3B309540" w14:textId="34ED3B02"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r w:rsidRPr="006A0A3F">
        <w:rPr>
          <w:rFonts w:ascii="Verdana" w:hAnsi="Verdana"/>
          <w:sz w:val="18"/>
          <w:szCs w:val="18"/>
        </w:rPr>
        <w:t xml:space="preserve">63. Asimismo, la Comisión posee competencia </w:t>
      </w:r>
      <w:proofErr w:type="spellStart"/>
      <w:r w:rsidRPr="006A0A3F">
        <w:rPr>
          <w:rFonts w:ascii="Verdana" w:hAnsi="Verdana"/>
          <w:i/>
          <w:sz w:val="18"/>
          <w:szCs w:val="18"/>
        </w:rPr>
        <w:t>ratione</w:t>
      </w:r>
      <w:proofErr w:type="spellEnd"/>
      <w:r w:rsidRPr="006A0A3F">
        <w:rPr>
          <w:rFonts w:ascii="Verdana" w:hAnsi="Verdana"/>
          <w:i/>
          <w:sz w:val="18"/>
          <w:szCs w:val="18"/>
        </w:rPr>
        <w:t xml:space="preserve"> </w:t>
      </w:r>
      <w:proofErr w:type="spellStart"/>
      <w:r w:rsidRPr="006A0A3F">
        <w:rPr>
          <w:rFonts w:ascii="Verdana" w:hAnsi="Verdana"/>
          <w:i/>
          <w:sz w:val="18"/>
          <w:szCs w:val="18"/>
        </w:rPr>
        <w:t>materiae</w:t>
      </w:r>
      <w:proofErr w:type="spellEnd"/>
      <w:r w:rsidRPr="006A0A3F">
        <w:rPr>
          <w:rFonts w:ascii="Verdana" w:hAnsi="Verdana"/>
          <w:sz w:val="18"/>
          <w:szCs w:val="18"/>
        </w:rPr>
        <w:t xml:space="preserve"> porque en la petición se aducen violaciones de derechos humanos protegidos por la Convención Americana. De la misma forma, la Comisión observa que al invocar posibles violaciones al artículo 26 de la Convención, los peticionarios hicieron referencia a otros instrumentos internacionales, en relación con este artículo. En este sentido, y sobre la alegada vulneración del artículo 45 de la Carta de la OEA, la Comisión observa que el propio artículo 26 de la Convención Americana remite a la Carta de la OEA para dar contenido a los derechos protegidos en el mismo. Con lo cual, el análisis de una posible vulneración a este derecho tendría que tomar en cuenta los principios consagrados en la Carta de la OEA.</w:t>
      </w:r>
    </w:p>
    <w:p w14:paraId="3FC69A44" w14:textId="77777777"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p>
    <w:p w14:paraId="51DA7F6E" w14:textId="6222F56D"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r w:rsidRPr="006A0A3F">
        <w:rPr>
          <w:rFonts w:ascii="Verdana" w:hAnsi="Verdana"/>
          <w:sz w:val="18"/>
          <w:szCs w:val="18"/>
        </w:rPr>
        <w:t>64. Respecto del artículo XIV (Derecho al trabajo y a una justa retribución) de la Declaración Americana de Derechos y Deberes del Hombre, la Comisión recuerda que el Estado se comprometió a preservar como parte de dicha Carta de la OEA, los derechos estipulados en la Declaración Americana, que constituye una fuente de obligaciones internacionales. La Comisión observa que el Estado ratificó la Convención Americana el 9 de agosto de 1977 y que al momento de los hechos dicho instrumento constituía su principal fuente de obligaciones jurídicas. En virtud de lo anterior, la Comisión entiende que un análisis del fondo del presente caso debería centrarse en las disposiciones de la Convención Americana, sin perjuicio de que las disposiciones de la Declaración puedan ser tomadas en cuenta como fuente de interpretación de la misma.</w:t>
      </w:r>
    </w:p>
    <w:p w14:paraId="79388F26" w14:textId="77777777"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p>
    <w:p w14:paraId="46578E3B" w14:textId="3F09416D"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r w:rsidRPr="006A0A3F">
        <w:rPr>
          <w:rFonts w:ascii="Verdana" w:hAnsi="Verdana"/>
          <w:sz w:val="18"/>
          <w:szCs w:val="18"/>
        </w:rPr>
        <w:t xml:space="preserve">65. Sobre la alegada violación del artículo 6 del “Protocolo de San Salvador” o Protocolo Adicional a la Convención Americana sobre Derechos Humanos en materia de Derechos Económicos, Sociales y Culturales, firmado por el Estado el 27 de enero de 1989 y aún pendiente de ratificación, en relación con el artículo 26 de la Convención Americana, la Comisión observa que no tiene competencia </w:t>
      </w:r>
      <w:proofErr w:type="spellStart"/>
      <w:r w:rsidRPr="006A0A3F">
        <w:rPr>
          <w:rFonts w:ascii="Verdana" w:hAnsi="Verdana"/>
          <w:sz w:val="18"/>
          <w:szCs w:val="18"/>
        </w:rPr>
        <w:t>ratione</w:t>
      </w:r>
      <w:proofErr w:type="spellEnd"/>
      <w:r w:rsidRPr="006A0A3F">
        <w:rPr>
          <w:rFonts w:ascii="Verdana" w:hAnsi="Verdana"/>
          <w:sz w:val="18"/>
          <w:szCs w:val="18"/>
        </w:rPr>
        <w:t xml:space="preserve"> </w:t>
      </w:r>
      <w:proofErr w:type="spellStart"/>
      <w:r w:rsidRPr="006A0A3F">
        <w:rPr>
          <w:rFonts w:ascii="Verdana" w:hAnsi="Verdana"/>
          <w:sz w:val="18"/>
          <w:szCs w:val="18"/>
        </w:rPr>
        <w:t>materiae</w:t>
      </w:r>
      <w:proofErr w:type="spellEnd"/>
      <w:r w:rsidRPr="006A0A3F">
        <w:rPr>
          <w:rFonts w:ascii="Verdana" w:hAnsi="Verdana"/>
          <w:sz w:val="18"/>
          <w:szCs w:val="18"/>
        </w:rPr>
        <w:t xml:space="preserve"> para pronunciarse sobre instrumentos que no hayan sido ratificados por el Estado. No obstante, la Comisión reitera que en virtud del artículo 29 de la Convención Americana, estas disposiciones pueden ser tomadas en cuenta para determinar el alcance y contenido de la Convención Americana.</w:t>
      </w:r>
    </w:p>
    <w:p w14:paraId="320D2731" w14:textId="77777777" w:rsidR="00BB7943" w:rsidRPr="006A0A3F" w:rsidRDefault="00BB7943" w:rsidP="004F5EFF">
      <w:pPr>
        <w:pBdr>
          <w:top w:val="nil"/>
        </w:pBdr>
        <w:autoSpaceDE w:val="0"/>
        <w:autoSpaceDN w:val="0"/>
        <w:adjustRightInd w:val="0"/>
        <w:spacing w:after="0" w:line="240" w:lineRule="auto"/>
        <w:ind w:left="567"/>
        <w:jc w:val="both"/>
        <w:rPr>
          <w:rFonts w:ascii="Verdana" w:hAnsi="Verdana"/>
          <w:sz w:val="18"/>
          <w:szCs w:val="18"/>
        </w:rPr>
      </w:pPr>
    </w:p>
    <w:p w14:paraId="5BA1E3B8" w14:textId="0E1E75CC" w:rsidR="00AE23AC" w:rsidRPr="006A0A3F" w:rsidRDefault="00BB7943" w:rsidP="004F5EFF">
      <w:pPr>
        <w:pBdr>
          <w:top w:val="nil"/>
        </w:pBdr>
        <w:autoSpaceDE w:val="0"/>
        <w:autoSpaceDN w:val="0"/>
        <w:adjustRightInd w:val="0"/>
        <w:spacing w:after="0" w:line="240" w:lineRule="auto"/>
        <w:ind w:left="567"/>
        <w:jc w:val="both"/>
        <w:rPr>
          <w:rFonts w:ascii="Verdana" w:hAnsi="Verdana" w:cs="Verdana"/>
          <w:sz w:val="20"/>
          <w:szCs w:val="20"/>
        </w:rPr>
      </w:pPr>
      <w:r w:rsidRPr="006A0A3F">
        <w:rPr>
          <w:rFonts w:ascii="Verdana" w:hAnsi="Verdana"/>
          <w:sz w:val="18"/>
          <w:szCs w:val="18"/>
        </w:rPr>
        <w:t>66. Finalmente, en cuanto a las posibles violaciones al artículo 6 del Pacto Internacional de Derechos Económicos, Sociales y Culturales, instrumento ratificado por el Estado el 10 de mayo de 1978, la Comisión observa que no se trata de un instrumento aprobado en el ámbito regional del Sistema Interamericano, sin perjuicio de que pueda ser utilizado como fuente de interpretación al estudiar el presente caso, de conformidad con el artículo 29 de la Convención Americana.</w:t>
      </w:r>
      <w:r w:rsidR="00AE23AC" w:rsidRPr="006A0A3F">
        <w:rPr>
          <w:rStyle w:val="FootnoteReference"/>
          <w:rFonts w:ascii="Verdana" w:hAnsi="Verdana"/>
          <w:sz w:val="18"/>
          <w:szCs w:val="18"/>
        </w:rPr>
        <w:footnoteReference w:id="263"/>
      </w:r>
    </w:p>
    <w:p w14:paraId="6CF9412E" w14:textId="77777777" w:rsidR="00AE23AC" w:rsidRPr="006A0A3F" w:rsidRDefault="00AE23AC" w:rsidP="00AE23AC">
      <w:pPr>
        <w:pBdr>
          <w:top w:val="nil"/>
        </w:pBdr>
        <w:autoSpaceDE w:val="0"/>
        <w:autoSpaceDN w:val="0"/>
        <w:adjustRightInd w:val="0"/>
        <w:spacing w:after="0" w:line="240" w:lineRule="auto"/>
        <w:jc w:val="both"/>
        <w:rPr>
          <w:rFonts w:ascii="Verdana" w:hAnsi="Verdana" w:cs="Verdana"/>
          <w:sz w:val="20"/>
          <w:szCs w:val="20"/>
        </w:rPr>
      </w:pPr>
    </w:p>
    <w:p w14:paraId="1E7F6268" w14:textId="35E5991D" w:rsidR="002B459F" w:rsidRPr="006A0A3F" w:rsidRDefault="005A4796" w:rsidP="00116DF6">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sz w:val="20"/>
          <w:szCs w:val="20"/>
        </w:rPr>
        <w:t>A su vez</w:t>
      </w:r>
      <w:r w:rsidR="00BB7943" w:rsidRPr="006A0A3F">
        <w:rPr>
          <w:rFonts w:ascii="Verdana" w:hAnsi="Verdana"/>
          <w:sz w:val="20"/>
          <w:szCs w:val="20"/>
        </w:rPr>
        <w:t>, al analizar “otros requisitos de admisibilidad de la petición” en su Informe de Admisibilidad, específicamente la “caracterización de los hechos alegados”</w:t>
      </w:r>
      <w:r w:rsidR="00114544" w:rsidRPr="006A0A3F">
        <w:rPr>
          <w:rFonts w:ascii="Verdana" w:hAnsi="Verdana"/>
          <w:sz w:val="20"/>
          <w:szCs w:val="20"/>
        </w:rPr>
        <w:t xml:space="preserve">, la Comisión señaló que “entiende que de los hechos alegados por los peticionarios no se desprende </w:t>
      </w:r>
      <w:r w:rsidR="00114544" w:rsidRPr="006A0A3F">
        <w:rPr>
          <w:rFonts w:ascii="Verdana" w:hAnsi="Verdana"/>
          <w:i/>
          <w:sz w:val="20"/>
          <w:szCs w:val="20"/>
        </w:rPr>
        <w:t>prima facie</w:t>
      </w:r>
      <w:r w:rsidR="00114544" w:rsidRPr="006A0A3F">
        <w:rPr>
          <w:rFonts w:ascii="Verdana" w:hAnsi="Verdana"/>
          <w:sz w:val="20"/>
          <w:szCs w:val="20"/>
        </w:rPr>
        <w:t xml:space="preserve"> una afectación al desarrollo progresivo del derecho al trabajo consagrado en el artículo 26 de la Convención</w:t>
      </w:r>
      <w:r w:rsidR="002B459F" w:rsidRPr="006A0A3F">
        <w:rPr>
          <w:rFonts w:ascii="Verdana" w:hAnsi="Verdana"/>
          <w:sz w:val="20"/>
          <w:szCs w:val="20"/>
        </w:rPr>
        <w:t>”. Concluyó por ende</w:t>
      </w:r>
      <w:r w:rsidR="00114544" w:rsidRPr="006A0A3F">
        <w:rPr>
          <w:rFonts w:ascii="Verdana" w:hAnsi="Verdana"/>
          <w:sz w:val="20"/>
          <w:szCs w:val="20"/>
        </w:rPr>
        <w:t xml:space="preserve"> que “de los hechos alegados no se desprenden elementos suficientes que indiquen que de ser probados se verifique una violación de los artículos 16 y 26 de la Convención Americana, con lo cual declara que la petición es inadmisible en cuanto a la presunta violación estos derechos”</w:t>
      </w:r>
      <w:r w:rsidR="00114544" w:rsidRPr="006A0A3F">
        <w:rPr>
          <w:rStyle w:val="FootnoteReference"/>
          <w:rFonts w:ascii="Verdana" w:hAnsi="Verdana"/>
          <w:sz w:val="20"/>
          <w:szCs w:val="20"/>
        </w:rPr>
        <w:footnoteReference w:id="264"/>
      </w:r>
      <w:r w:rsidR="00114544" w:rsidRPr="006A0A3F">
        <w:rPr>
          <w:rFonts w:ascii="Verdana" w:hAnsi="Verdana"/>
          <w:sz w:val="20"/>
          <w:szCs w:val="20"/>
        </w:rPr>
        <w:t xml:space="preserve">. </w:t>
      </w:r>
      <w:r w:rsidR="002B459F" w:rsidRPr="006A0A3F">
        <w:rPr>
          <w:rFonts w:ascii="Verdana" w:hAnsi="Verdana" w:cs="Verdana"/>
          <w:sz w:val="20"/>
          <w:szCs w:val="20"/>
        </w:rPr>
        <w:t>En efecto, en su Informe de Fondo la Comisión no se refirió a esta materia.</w:t>
      </w:r>
    </w:p>
    <w:p w14:paraId="09654777" w14:textId="77777777" w:rsidR="002B459F" w:rsidRPr="006A0A3F" w:rsidRDefault="002B459F" w:rsidP="002B459F">
      <w:pPr>
        <w:pBdr>
          <w:top w:val="nil"/>
        </w:pBdr>
        <w:autoSpaceDE w:val="0"/>
        <w:autoSpaceDN w:val="0"/>
        <w:adjustRightInd w:val="0"/>
        <w:spacing w:after="0" w:line="240" w:lineRule="auto"/>
        <w:jc w:val="both"/>
        <w:rPr>
          <w:rFonts w:ascii="Verdana" w:hAnsi="Verdana" w:cs="Verdana"/>
          <w:sz w:val="20"/>
          <w:szCs w:val="20"/>
        </w:rPr>
      </w:pPr>
    </w:p>
    <w:p w14:paraId="0795BCF1" w14:textId="3FCB86F0" w:rsidR="0079614A" w:rsidRPr="006A0A3F" w:rsidRDefault="002B459F" w:rsidP="00116DF6">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sz w:val="20"/>
          <w:szCs w:val="20"/>
        </w:rPr>
        <w:t xml:space="preserve">Por su parte, una vez que el caso fue sometido ante la Corte, </w:t>
      </w:r>
      <w:r w:rsidR="00B678B4" w:rsidRPr="006A0A3F">
        <w:rPr>
          <w:rFonts w:ascii="Verdana" w:hAnsi="Verdana"/>
          <w:sz w:val="20"/>
          <w:szCs w:val="20"/>
        </w:rPr>
        <w:t xml:space="preserve">el representante no alegó la violación del artículo 26 de la Convención o del derecho al trabajo </w:t>
      </w:r>
      <w:r w:rsidRPr="006A0A3F">
        <w:rPr>
          <w:rFonts w:ascii="Verdana" w:hAnsi="Verdana"/>
          <w:sz w:val="20"/>
          <w:szCs w:val="20"/>
        </w:rPr>
        <w:t>e</w:t>
      </w:r>
      <w:r w:rsidR="003731F3" w:rsidRPr="006A0A3F">
        <w:rPr>
          <w:rFonts w:ascii="Verdana" w:hAnsi="Verdana"/>
          <w:sz w:val="20"/>
          <w:szCs w:val="20"/>
        </w:rPr>
        <w:t xml:space="preserve">n su </w:t>
      </w:r>
      <w:r w:rsidR="00116DF6" w:rsidRPr="006A0A3F">
        <w:rPr>
          <w:rFonts w:ascii="Verdana" w:hAnsi="Verdana"/>
          <w:sz w:val="20"/>
          <w:szCs w:val="20"/>
        </w:rPr>
        <w:t>e</w:t>
      </w:r>
      <w:r w:rsidR="003731F3" w:rsidRPr="006A0A3F">
        <w:rPr>
          <w:rFonts w:ascii="Verdana" w:hAnsi="Verdana"/>
          <w:sz w:val="20"/>
          <w:szCs w:val="20"/>
        </w:rPr>
        <w:t xml:space="preserve">scrito de </w:t>
      </w:r>
      <w:r w:rsidR="00116DF6" w:rsidRPr="006A0A3F">
        <w:rPr>
          <w:rFonts w:ascii="Verdana" w:hAnsi="Verdana"/>
          <w:sz w:val="20"/>
          <w:szCs w:val="20"/>
        </w:rPr>
        <w:t>s</w:t>
      </w:r>
      <w:r w:rsidR="003731F3" w:rsidRPr="006A0A3F">
        <w:rPr>
          <w:rFonts w:ascii="Verdana" w:hAnsi="Verdana"/>
          <w:sz w:val="20"/>
          <w:szCs w:val="20"/>
        </w:rPr>
        <w:t>olicitudes</w:t>
      </w:r>
      <w:r w:rsidR="00116DF6" w:rsidRPr="006A0A3F">
        <w:rPr>
          <w:rFonts w:ascii="Verdana" w:hAnsi="Verdana"/>
          <w:sz w:val="20"/>
          <w:szCs w:val="20"/>
        </w:rPr>
        <w:t xml:space="preserve"> </w:t>
      </w:r>
      <w:r w:rsidR="00116DF6" w:rsidRPr="006A0A3F">
        <w:rPr>
          <w:rFonts w:ascii="Verdana" w:hAnsi="Verdana"/>
          <w:sz w:val="20"/>
          <w:szCs w:val="20"/>
        </w:rPr>
        <w:lastRenderedPageBreak/>
        <w:t>y a</w:t>
      </w:r>
      <w:r w:rsidR="003731F3" w:rsidRPr="006A0A3F">
        <w:rPr>
          <w:rFonts w:ascii="Verdana" w:hAnsi="Verdana"/>
          <w:sz w:val="20"/>
          <w:szCs w:val="20"/>
        </w:rPr>
        <w:t>rgumentos</w:t>
      </w:r>
      <w:r w:rsidR="00B678B4" w:rsidRPr="006A0A3F">
        <w:rPr>
          <w:rFonts w:ascii="Verdana" w:hAnsi="Verdana"/>
          <w:sz w:val="20"/>
          <w:szCs w:val="20"/>
        </w:rPr>
        <w:t xml:space="preserve">. Sin embargo, </w:t>
      </w:r>
      <w:r w:rsidR="000A759E" w:rsidRPr="006A0A3F">
        <w:rPr>
          <w:rFonts w:ascii="Verdana" w:hAnsi="Verdana"/>
          <w:sz w:val="20"/>
          <w:szCs w:val="20"/>
        </w:rPr>
        <w:t xml:space="preserve">alegó que la causa de los despidos fue el ejercicio de sus derechos políticos, incluido el “derecho de todos los ciudadanos a tener acceso, en condiciones de igualdad, a las funciones públicas de su país”, el cual, según alegó, estaría reconocido en el art. 23.1.c) de la Convención y comprende la garantía de permanecer en su puesto mientras no cambien las circunstancias que justificaron el ingreso de ese ciudadano a la administración pública. Por ello, </w:t>
      </w:r>
      <w:r w:rsidR="0079614A" w:rsidRPr="006A0A3F">
        <w:rPr>
          <w:rFonts w:ascii="Verdana" w:hAnsi="Verdana"/>
          <w:sz w:val="20"/>
          <w:szCs w:val="20"/>
        </w:rPr>
        <w:t>alegó que si se acepta el alegato del Estado, en cuanto a que la terminación del contrato de trabajo era una facultad discrecional suya cuando lo considerara conveniente sin tener que expresar motivo alguno, implicaría la anulación de ese derecho (</w:t>
      </w:r>
      <w:r w:rsidR="0079614A" w:rsidRPr="006A0A3F">
        <w:rPr>
          <w:rFonts w:ascii="Verdana" w:hAnsi="Verdana"/>
          <w:i/>
          <w:sz w:val="20"/>
          <w:szCs w:val="20"/>
        </w:rPr>
        <w:t xml:space="preserve">supra </w:t>
      </w:r>
      <w:r w:rsidR="0045102F">
        <w:rPr>
          <w:rFonts w:ascii="Verdana" w:hAnsi="Verdana"/>
          <w:sz w:val="20"/>
          <w:szCs w:val="20"/>
        </w:rPr>
        <w:t xml:space="preserve">párr. </w:t>
      </w:r>
      <w:r w:rsidR="000C58FC">
        <w:rPr>
          <w:rFonts w:ascii="Verdana" w:hAnsi="Verdana"/>
          <w:sz w:val="20"/>
          <w:szCs w:val="20"/>
        </w:rPr>
        <w:t>106</w:t>
      </w:r>
      <w:r w:rsidR="0079614A" w:rsidRPr="006A0A3F">
        <w:rPr>
          <w:rFonts w:ascii="Verdana" w:hAnsi="Verdana"/>
          <w:sz w:val="20"/>
          <w:szCs w:val="20"/>
        </w:rPr>
        <w:t xml:space="preserve">). </w:t>
      </w:r>
    </w:p>
    <w:p w14:paraId="223DE6D8" w14:textId="77777777" w:rsidR="0079614A" w:rsidRPr="006A0A3F" w:rsidRDefault="0079614A" w:rsidP="0079614A">
      <w:pPr>
        <w:pStyle w:val="ListParagraph"/>
        <w:rPr>
          <w:rFonts w:ascii="Verdana" w:hAnsi="Verdana" w:cs="Verdana"/>
          <w:sz w:val="20"/>
          <w:lang w:val="es-CR"/>
        </w:rPr>
      </w:pPr>
    </w:p>
    <w:p w14:paraId="65EEB1BD" w14:textId="08ADB22D" w:rsidR="00116DF6" w:rsidRPr="006A0A3F" w:rsidRDefault="00116DF6" w:rsidP="00116DF6">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cs="Verdana"/>
          <w:sz w:val="20"/>
          <w:szCs w:val="20"/>
        </w:rPr>
        <w:t xml:space="preserve">En este sentido, </w:t>
      </w:r>
      <w:r w:rsidR="005B442D" w:rsidRPr="006A0A3F">
        <w:rPr>
          <w:rFonts w:ascii="Verdana" w:hAnsi="Verdana"/>
          <w:sz w:val="20"/>
          <w:szCs w:val="20"/>
        </w:rPr>
        <w:t>el Estado señaló</w:t>
      </w:r>
      <w:r w:rsidR="002B459F" w:rsidRPr="006A0A3F">
        <w:rPr>
          <w:rFonts w:ascii="Verdana" w:hAnsi="Verdana"/>
          <w:sz w:val="20"/>
          <w:szCs w:val="20"/>
        </w:rPr>
        <w:t xml:space="preserve"> en sus alegatos finales</w:t>
      </w:r>
      <w:r w:rsidR="005B442D" w:rsidRPr="006A0A3F">
        <w:rPr>
          <w:rFonts w:ascii="Verdana" w:hAnsi="Verdana"/>
          <w:sz w:val="20"/>
          <w:szCs w:val="20"/>
        </w:rPr>
        <w:t xml:space="preserve"> que en Venezuela existen regímenes separados para las relaciones de trabajo: que el régimen legal que imperaba en la relación jurídica que tenían las presuntas víctimas con el CNF era el previsto en la ley laboral, no tratándose de una relación de índole funcionarial que les otorgara la estabilidad propia que por ley poseen los funcionarios públicos de carrera ni le era aplicable su régimen disciplinario de faltas y sanciones administrativas</w:t>
      </w:r>
      <w:r w:rsidR="00F77E63" w:rsidRPr="006A0A3F">
        <w:rPr>
          <w:rFonts w:ascii="Verdana" w:hAnsi="Verdana"/>
          <w:sz w:val="20"/>
          <w:szCs w:val="20"/>
        </w:rPr>
        <w:t>, lo que hacía</w:t>
      </w:r>
      <w:r w:rsidR="005B442D" w:rsidRPr="006A0A3F">
        <w:rPr>
          <w:rFonts w:ascii="Verdana" w:hAnsi="Verdana"/>
          <w:sz w:val="20"/>
          <w:szCs w:val="20"/>
        </w:rPr>
        <w:t xml:space="preserve"> </w:t>
      </w:r>
      <w:r w:rsidR="00F77E63" w:rsidRPr="006A0A3F">
        <w:rPr>
          <w:rFonts w:ascii="Verdana" w:hAnsi="Verdana"/>
          <w:sz w:val="20"/>
          <w:szCs w:val="20"/>
        </w:rPr>
        <w:t>in</w:t>
      </w:r>
      <w:r w:rsidR="005B442D" w:rsidRPr="006A0A3F">
        <w:rPr>
          <w:rFonts w:ascii="Verdana" w:hAnsi="Verdana"/>
          <w:sz w:val="20"/>
          <w:szCs w:val="20"/>
        </w:rPr>
        <w:t>necesario instaurar un procedimiento administrativo para dar por terminado el vínculo contractual</w:t>
      </w:r>
      <w:r w:rsidR="00F77E63" w:rsidRPr="006A0A3F">
        <w:rPr>
          <w:rFonts w:ascii="Verdana" w:hAnsi="Verdana"/>
          <w:sz w:val="20"/>
          <w:szCs w:val="20"/>
        </w:rPr>
        <w:t xml:space="preserve"> existente</w:t>
      </w:r>
      <w:r w:rsidR="00B678B4" w:rsidRPr="006A0A3F">
        <w:rPr>
          <w:rFonts w:ascii="Verdana" w:hAnsi="Verdana"/>
          <w:sz w:val="20"/>
          <w:szCs w:val="20"/>
        </w:rPr>
        <w:t xml:space="preserve"> (</w:t>
      </w:r>
      <w:r w:rsidR="00B678B4" w:rsidRPr="006A0A3F">
        <w:rPr>
          <w:rFonts w:ascii="Verdana" w:hAnsi="Verdana"/>
          <w:i/>
          <w:sz w:val="20"/>
          <w:szCs w:val="20"/>
        </w:rPr>
        <w:t xml:space="preserve">supra </w:t>
      </w:r>
      <w:r w:rsidR="000C58FC">
        <w:rPr>
          <w:rFonts w:ascii="Verdana" w:hAnsi="Verdana"/>
          <w:sz w:val="20"/>
          <w:szCs w:val="20"/>
        </w:rPr>
        <w:t>párr. 107</w:t>
      </w:r>
      <w:r w:rsidR="00B678B4" w:rsidRPr="006A0A3F">
        <w:rPr>
          <w:rFonts w:ascii="Verdana" w:hAnsi="Verdana"/>
          <w:sz w:val="20"/>
          <w:szCs w:val="20"/>
        </w:rPr>
        <w:t>)</w:t>
      </w:r>
      <w:r w:rsidR="00F77E63" w:rsidRPr="006A0A3F">
        <w:rPr>
          <w:rFonts w:ascii="Verdana" w:hAnsi="Verdana"/>
          <w:sz w:val="20"/>
          <w:szCs w:val="20"/>
        </w:rPr>
        <w:t>.</w:t>
      </w:r>
    </w:p>
    <w:p w14:paraId="32DF943E" w14:textId="77777777" w:rsidR="005B442D" w:rsidRPr="006A0A3F" w:rsidRDefault="005B442D" w:rsidP="00116DF6">
      <w:pPr>
        <w:pBdr>
          <w:top w:val="nil"/>
        </w:pBdr>
        <w:autoSpaceDE w:val="0"/>
        <w:autoSpaceDN w:val="0"/>
        <w:adjustRightInd w:val="0"/>
        <w:spacing w:after="0" w:line="240" w:lineRule="auto"/>
        <w:jc w:val="both"/>
        <w:rPr>
          <w:rFonts w:ascii="Verdana" w:hAnsi="Verdana" w:cs="Verdana"/>
          <w:sz w:val="20"/>
          <w:szCs w:val="20"/>
        </w:rPr>
      </w:pPr>
    </w:p>
    <w:p w14:paraId="352D90A6" w14:textId="50F9A263" w:rsidR="002B459F" w:rsidRPr="006A0A3F" w:rsidRDefault="002B459F" w:rsidP="002B459F">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sz w:val="20"/>
          <w:szCs w:val="20"/>
        </w:rPr>
        <w:t>De tal modo, las partes han tenido amplia posibilidad de hacer referencia al alcance de los derechos que involucran los hechos analizados</w:t>
      </w:r>
      <w:r w:rsidRPr="006A0A3F">
        <w:rPr>
          <w:rFonts w:ascii="Verdana" w:hAnsi="Verdana"/>
          <w:sz w:val="20"/>
          <w:szCs w:val="20"/>
          <w:vertAlign w:val="superscript"/>
        </w:rPr>
        <w:footnoteReference w:id="265"/>
      </w:r>
      <w:r w:rsidRPr="006A0A3F">
        <w:rPr>
          <w:rFonts w:ascii="Verdana" w:hAnsi="Verdana"/>
          <w:sz w:val="20"/>
          <w:szCs w:val="20"/>
        </w:rPr>
        <w:t xml:space="preserve"> y la pretensión de las presuntas víctimas también se deriva del marco fáctico presentado por la Comisión</w:t>
      </w:r>
      <w:r w:rsidRPr="006A0A3F">
        <w:rPr>
          <w:rStyle w:val="FootnoteReference"/>
          <w:rFonts w:ascii="Verdana" w:hAnsi="Verdana"/>
          <w:sz w:val="20"/>
          <w:szCs w:val="20"/>
        </w:rPr>
        <w:footnoteReference w:id="266"/>
      </w:r>
      <w:r w:rsidRPr="006A0A3F">
        <w:rPr>
          <w:rFonts w:ascii="Verdana" w:hAnsi="Verdana"/>
          <w:sz w:val="20"/>
          <w:szCs w:val="20"/>
        </w:rPr>
        <w:t xml:space="preserve">, pues efectivamente es un hecho no controvertido que las presuntas víctimas tenían una relación de carácter laboral con el </w:t>
      </w:r>
      <w:r w:rsidR="009374A8" w:rsidRPr="006A0A3F">
        <w:rPr>
          <w:rFonts w:ascii="Verdana" w:hAnsi="Verdana"/>
          <w:sz w:val="20"/>
          <w:szCs w:val="20"/>
        </w:rPr>
        <w:t>Consejo Nacional de Fronteras</w:t>
      </w:r>
      <w:r w:rsidRPr="006A0A3F">
        <w:rPr>
          <w:rFonts w:ascii="Verdana" w:hAnsi="Verdana"/>
          <w:sz w:val="20"/>
          <w:szCs w:val="20"/>
        </w:rPr>
        <w:t>.</w:t>
      </w:r>
    </w:p>
    <w:p w14:paraId="4973708E" w14:textId="77777777" w:rsidR="002B459F" w:rsidRPr="006A0A3F" w:rsidRDefault="002B459F" w:rsidP="002B459F">
      <w:pPr>
        <w:pBdr>
          <w:top w:val="nil"/>
        </w:pBdr>
        <w:autoSpaceDE w:val="0"/>
        <w:autoSpaceDN w:val="0"/>
        <w:adjustRightInd w:val="0"/>
        <w:spacing w:after="0" w:line="240" w:lineRule="auto"/>
        <w:jc w:val="both"/>
        <w:rPr>
          <w:rFonts w:ascii="Verdana" w:hAnsi="Verdana" w:cs="Verdana"/>
          <w:sz w:val="20"/>
          <w:szCs w:val="20"/>
        </w:rPr>
      </w:pPr>
    </w:p>
    <w:p w14:paraId="704B9D48" w14:textId="4F1EDA7A" w:rsidR="00116DF6" w:rsidRPr="006A0A3F" w:rsidRDefault="00116DF6" w:rsidP="00AE23AC">
      <w:pPr>
        <w:numPr>
          <w:ilvl w:val="0"/>
          <w:numId w:val="4"/>
        </w:numPr>
        <w:pBdr>
          <w:top w:val="nil"/>
        </w:pBdr>
        <w:autoSpaceDE w:val="0"/>
        <w:autoSpaceDN w:val="0"/>
        <w:adjustRightInd w:val="0"/>
        <w:spacing w:after="0" w:line="240" w:lineRule="auto"/>
        <w:ind w:left="0" w:firstLine="0"/>
        <w:jc w:val="both"/>
        <w:rPr>
          <w:rFonts w:ascii="Verdana" w:hAnsi="Verdana" w:cs="Verdana"/>
          <w:sz w:val="20"/>
          <w:szCs w:val="20"/>
        </w:rPr>
      </w:pPr>
      <w:r w:rsidRPr="006A0A3F">
        <w:rPr>
          <w:rFonts w:ascii="Verdana" w:hAnsi="Verdana"/>
          <w:sz w:val="20"/>
          <w:szCs w:val="20"/>
        </w:rPr>
        <w:t>Asimismo, el Tribunal nota que</w:t>
      </w:r>
      <w:r w:rsidR="009037B4" w:rsidRPr="006A0A3F">
        <w:rPr>
          <w:rFonts w:ascii="Verdana" w:hAnsi="Verdana"/>
          <w:sz w:val="20"/>
          <w:szCs w:val="20"/>
        </w:rPr>
        <w:t xml:space="preserve"> el ordenamiento jurídico interno</w:t>
      </w:r>
      <w:r w:rsidRPr="006A0A3F">
        <w:rPr>
          <w:rFonts w:ascii="Verdana" w:hAnsi="Verdana"/>
          <w:sz w:val="20"/>
          <w:szCs w:val="20"/>
        </w:rPr>
        <w:t>, tanto</w:t>
      </w:r>
      <w:r w:rsidR="00472836">
        <w:rPr>
          <w:rFonts w:ascii="Verdana" w:hAnsi="Verdana"/>
          <w:sz w:val="20"/>
          <w:szCs w:val="20"/>
        </w:rPr>
        <w:t xml:space="preserve"> </w:t>
      </w:r>
      <w:r w:rsidR="0008685D">
        <w:rPr>
          <w:rFonts w:ascii="Verdana" w:hAnsi="Verdana"/>
          <w:sz w:val="20"/>
          <w:szCs w:val="20"/>
        </w:rPr>
        <w:t xml:space="preserve">en </w:t>
      </w:r>
      <w:r w:rsidR="00472836">
        <w:rPr>
          <w:rFonts w:ascii="Verdana" w:hAnsi="Verdana"/>
          <w:sz w:val="20"/>
          <w:szCs w:val="20"/>
        </w:rPr>
        <w:t>el art</w:t>
      </w:r>
      <w:r w:rsidR="0008685D">
        <w:rPr>
          <w:rFonts w:ascii="Verdana" w:hAnsi="Verdana"/>
          <w:sz w:val="20"/>
          <w:szCs w:val="20"/>
        </w:rPr>
        <w:t>ículo</w:t>
      </w:r>
      <w:r w:rsidR="00472836">
        <w:rPr>
          <w:rFonts w:ascii="Verdana" w:hAnsi="Verdana"/>
          <w:sz w:val="20"/>
          <w:szCs w:val="20"/>
        </w:rPr>
        <w:t xml:space="preserve"> 87 de</w:t>
      </w:r>
      <w:r w:rsidRPr="006A0A3F">
        <w:rPr>
          <w:rFonts w:ascii="Verdana" w:hAnsi="Verdana"/>
          <w:sz w:val="20"/>
          <w:szCs w:val="20"/>
        </w:rPr>
        <w:t xml:space="preserve"> la </w:t>
      </w:r>
      <w:r w:rsidRPr="006A0A3F">
        <w:rPr>
          <w:rFonts w:ascii="Verdana" w:hAnsi="Verdana" w:cs="Arial Narrow"/>
          <w:color w:val="000000"/>
          <w:sz w:val="20"/>
          <w:szCs w:val="20"/>
          <w:lang w:eastAsia="es-MX"/>
        </w:rPr>
        <w:t>Constitución Política de la Repú</w:t>
      </w:r>
      <w:r w:rsidR="00472836">
        <w:rPr>
          <w:rFonts w:ascii="Verdana" w:hAnsi="Verdana" w:cs="Arial Narrow"/>
          <w:color w:val="000000"/>
          <w:sz w:val="20"/>
          <w:szCs w:val="20"/>
          <w:lang w:eastAsia="es-MX"/>
        </w:rPr>
        <w:t xml:space="preserve">blica Bolivariana de Venezuela como </w:t>
      </w:r>
      <w:r w:rsidR="0008685D">
        <w:rPr>
          <w:rFonts w:ascii="Verdana" w:hAnsi="Verdana" w:cs="Arial Narrow"/>
          <w:color w:val="000000"/>
          <w:sz w:val="20"/>
          <w:szCs w:val="20"/>
          <w:lang w:eastAsia="es-MX"/>
        </w:rPr>
        <w:t xml:space="preserve">en </w:t>
      </w:r>
      <w:r w:rsidRPr="006A0A3F">
        <w:rPr>
          <w:rFonts w:ascii="Verdana" w:hAnsi="Verdana" w:cs="Arial Narrow"/>
          <w:color w:val="000000"/>
          <w:sz w:val="20"/>
          <w:szCs w:val="20"/>
          <w:lang w:eastAsia="es-MX"/>
        </w:rPr>
        <w:t xml:space="preserve">la </w:t>
      </w:r>
      <w:r w:rsidR="00472836">
        <w:rPr>
          <w:rFonts w:ascii="Verdana" w:hAnsi="Verdana" w:cs="Arial Narrow"/>
          <w:color w:val="000000"/>
          <w:sz w:val="20"/>
          <w:szCs w:val="20"/>
          <w:lang w:eastAsia="es-MX"/>
        </w:rPr>
        <w:t>L</w:t>
      </w:r>
      <w:r w:rsidRPr="006A0A3F">
        <w:rPr>
          <w:rFonts w:ascii="Verdana" w:hAnsi="Verdana" w:cs="Arial Narrow"/>
          <w:color w:val="000000"/>
          <w:sz w:val="20"/>
          <w:szCs w:val="20"/>
          <w:lang w:eastAsia="es-MX"/>
        </w:rPr>
        <w:t xml:space="preserve">ey </w:t>
      </w:r>
      <w:r w:rsidR="00472836">
        <w:rPr>
          <w:rFonts w:ascii="Verdana" w:hAnsi="Verdana" w:cs="Arial Narrow"/>
          <w:color w:val="000000"/>
          <w:sz w:val="20"/>
          <w:szCs w:val="20"/>
          <w:lang w:eastAsia="es-MX"/>
        </w:rPr>
        <w:t>Orgánica del Trabajo entonces vigente</w:t>
      </w:r>
      <w:r w:rsidR="0008685D">
        <w:rPr>
          <w:rFonts w:ascii="Verdana" w:hAnsi="Verdana" w:cs="Arial Narrow"/>
          <w:color w:val="000000"/>
          <w:sz w:val="20"/>
          <w:szCs w:val="20"/>
          <w:lang w:eastAsia="es-MX"/>
        </w:rPr>
        <w:t>, reconocía</w:t>
      </w:r>
      <w:r w:rsidRPr="006A0A3F">
        <w:rPr>
          <w:rFonts w:ascii="Verdana" w:hAnsi="Verdana" w:cs="Arial Narrow"/>
          <w:color w:val="000000"/>
          <w:sz w:val="20"/>
          <w:szCs w:val="20"/>
          <w:lang w:eastAsia="es-MX"/>
        </w:rPr>
        <w:t xml:space="preserve"> explícitamente </w:t>
      </w:r>
      <w:r w:rsidR="002B459F" w:rsidRPr="006A0A3F">
        <w:rPr>
          <w:rFonts w:ascii="Verdana" w:hAnsi="Verdana" w:cs="Arial Narrow"/>
          <w:color w:val="000000"/>
          <w:sz w:val="20"/>
          <w:szCs w:val="20"/>
          <w:lang w:eastAsia="es-MX"/>
        </w:rPr>
        <w:t>el</w:t>
      </w:r>
      <w:r w:rsidRPr="006A0A3F">
        <w:rPr>
          <w:rFonts w:ascii="Verdana" w:hAnsi="Verdana" w:cs="Arial Narrow"/>
          <w:color w:val="000000"/>
          <w:sz w:val="20"/>
          <w:szCs w:val="20"/>
          <w:lang w:eastAsia="es-MX"/>
        </w:rPr>
        <w:t xml:space="preserve"> derecho al trabajo.</w:t>
      </w:r>
    </w:p>
    <w:p w14:paraId="4E637B4C" w14:textId="77777777" w:rsidR="00116DF6" w:rsidRPr="006A0A3F" w:rsidRDefault="00116DF6" w:rsidP="00116DF6">
      <w:pPr>
        <w:pStyle w:val="ListParagraph"/>
        <w:rPr>
          <w:rFonts w:ascii="Verdana" w:hAnsi="Verdana" w:cs="Verdana"/>
          <w:sz w:val="20"/>
          <w:lang w:val="es-CR"/>
        </w:rPr>
      </w:pPr>
    </w:p>
    <w:p w14:paraId="49BB7C99" w14:textId="379DA04A" w:rsidR="00116DF6" w:rsidRPr="006A0A3F" w:rsidRDefault="00116DF6" w:rsidP="005B4A20">
      <w:pPr>
        <w:numPr>
          <w:ilvl w:val="0"/>
          <w:numId w:val="4"/>
        </w:numPr>
        <w:pBdr>
          <w:top w:val="nil"/>
        </w:pBdr>
        <w:autoSpaceDE w:val="0"/>
        <w:autoSpaceDN w:val="0"/>
        <w:adjustRightInd w:val="0"/>
        <w:spacing w:after="0" w:line="240" w:lineRule="auto"/>
        <w:ind w:left="0" w:firstLine="0"/>
        <w:jc w:val="both"/>
        <w:rPr>
          <w:rFonts w:ascii="Verdana" w:hAnsi="Verdana"/>
          <w:bCs/>
          <w:color w:val="000000"/>
          <w:sz w:val="20"/>
          <w:szCs w:val="20"/>
        </w:rPr>
      </w:pPr>
      <w:r w:rsidRPr="006A0A3F">
        <w:rPr>
          <w:rFonts w:ascii="Verdana" w:hAnsi="Verdana"/>
          <w:sz w:val="20"/>
          <w:szCs w:val="20"/>
        </w:rPr>
        <w:t xml:space="preserve">En vista de lo anterior, esta Corte tiene competencia —a la luz de la Convención </w:t>
      </w:r>
      <w:r w:rsidRPr="006A0A3F">
        <w:rPr>
          <w:rFonts w:ascii="Verdana" w:hAnsi="Verdana" w:cs="Arial Narrow"/>
          <w:color w:val="000000"/>
          <w:sz w:val="20"/>
          <w:szCs w:val="20"/>
          <w:lang w:eastAsia="es-MX"/>
        </w:rPr>
        <w:t>Americana</w:t>
      </w:r>
      <w:r w:rsidRPr="006A0A3F">
        <w:rPr>
          <w:rFonts w:ascii="Verdana" w:hAnsi="Verdana"/>
          <w:sz w:val="20"/>
          <w:szCs w:val="20"/>
        </w:rPr>
        <w:t xml:space="preserve"> y con base en el principio </w:t>
      </w:r>
      <w:proofErr w:type="spellStart"/>
      <w:r w:rsidRPr="006A0A3F">
        <w:rPr>
          <w:rFonts w:ascii="Verdana" w:hAnsi="Verdana"/>
          <w:i/>
          <w:sz w:val="20"/>
          <w:szCs w:val="20"/>
        </w:rPr>
        <w:t>iura</w:t>
      </w:r>
      <w:proofErr w:type="spellEnd"/>
      <w:r w:rsidRPr="006A0A3F">
        <w:rPr>
          <w:rFonts w:ascii="Verdana" w:hAnsi="Verdana"/>
          <w:i/>
          <w:sz w:val="20"/>
          <w:szCs w:val="20"/>
        </w:rPr>
        <w:t xml:space="preserve"> </w:t>
      </w:r>
      <w:proofErr w:type="spellStart"/>
      <w:r w:rsidRPr="006A0A3F">
        <w:rPr>
          <w:rFonts w:ascii="Verdana" w:hAnsi="Verdana"/>
          <w:i/>
          <w:sz w:val="20"/>
          <w:szCs w:val="20"/>
        </w:rPr>
        <w:t>novit</w:t>
      </w:r>
      <w:proofErr w:type="spellEnd"/>
      <w:r w:rsidRPr="006A0A3F">
        <w:rPr>
          <w:rFonts w:ascii="Verdana" w:hAnsi="Verdana"/>
          <w:i/>
          <w:sz w:val="20"/>
          <w:szCs w:val="20"/>
        </w:rPr>
        <w:t xml:space="preserve"> curia</w:t>
      </w:r>
      <w:r w:rsidR="002B459F" w:rsidRPr="006A0A3F">
        <w:rPr>
          <w:rFonts w:ascii="Verdana" w:hAnsi="Verdana"/>
          <w:sz w:val="20"/>
          <w:szCs w:val="20"/>
        </w:rPr>
        <w:t xml:space="preserve">– </w:t>
      </w:r>
      <w:r w:rsidRPr="006A0A3F">
        <w:rPr>
          <w:rFonts w:ascii="Verdana" w:hAnsi="Verdana"/>
          <w:sz w:val="20"/>
          <w:szCs w:val="20"/>
        </w:rPr>
        <w:t>para estudiar la posible violación de las normas de la Convención que no han sido alegadas en los escritos presentados ante ella, en la inteligencia de que las partes han tenido la oportunidad de expresar sus respectivas posiciones en relación c</w:t>
      </w:r>
      <w:r w:rsidR="005B4A20" w:rsidRPr="006A0A3F">
        <w:rPr>
          <w:rFonts w:ascii="Verdana" w:hAnsi="Verdana"/>
          <w:sz w:val="20"/>
          <w:szCs w:val="20"/>
        </w:rPr>
        <w:t>on los hechos que las sustentan</w:t>
      </w:r>
      <w:r w:rsidR="005B4A20" w:rsidRPr="006A0A3F">
        <w:rPr>
          <w:rStyle w:val="FootnoteReference"/>
          <w:rFonts w:ascii="Verdana" w:hAnsi="Verdana"/>
          <w:sz w:val="20"/>
          <w:szCs w:val="20"/>
        </w:rPr>
        <w:footnoteReference w:id="267"/>
      </w:r>
      <w:r w:rsidRPr="006A0A3F">
        <w:rPr>
          <w:rFonts w:ascii="Verdana" w:hAnsi="Verdana"/>
          <w:sz w:val="20"/>
          <w:szCs w:val="20"/>
        </w:rPr>
        <w:t>.</w:t>
      </w:r>
      <w:r w:rsidR="005B4A20" w:rsidRPr="006A0A3F">
        <w:rPr>
          <w:rFonts w:ascii="Verdana" w:hAnsi="Verdana"/>
          <w:bCs/>
          <w:color w:val="000000"/>
          <w:sz w:val="20"/>
          <w:szCs w:val="20"/>
        </w:rPr>
        <w:t xml:space="preserve"> </w:t>
      </w:r>
      <w:r w:rsidRPr="006A0A3F">
        <w:rPr>
          <w:rFonts w:ascii="Verdana" w:hAnsi="Verdana"/>
          <w:bCs/>
          <w:color w:val="000000"/>
          <w:sz w:val="20"/>
          <w:szCs w:val="20"/>
        </w:rPr>
        <w:t>Por ello, para efectos del presente caso, a la luz del artículo 29 de la Convención Americana</w:t>
      </w:r>
      <w:r w:rsidRPr="006A0A3F">
        <w:rPr>
          <w:rStyle w:val="FootnoteReference"/>
          <w:rFonts w:ascii="Verdana" w:hAnsi="Verdana" w:cs="Helvetica"/>
          <w:sz w:val="20"/>
          <w:szCs w:val="20"/>
        </w:rPr>
        <w:footnoteReference w:id="268"/>
      </w:r>
      <w:r w:rsidRPr="006A0A3F">
        <w:rPr>
          <w:rFonts w:ascii="Verdana" w:hAnsi="Verdana"/>
          <w:bCs/>
          <w:color w:val="000000"/>
          <w:sz w:val="20"/>
          <w:szCs w:val="20"/>
        </w:rPr>
        <w:t>, el Tribunal</w:t>
      </w:r>
      <w:r w:rsidRPr="006A0A3F">
        <w:rPr>
          <w:rFonts w:ascii="Verdana" w:hAnsi="Verdana" w:cs="Verdana"/>
          <w:sz w:val="20"/>
          <w:szCs w:val="20"/>
          <w:lang w:eastAsia="es-MX"/>
        </w:rPr>
        <w:t xml:space="preserve"> procederá a examinar en este capítulo el</w:t>
      </w:r>
      <w:r w:rsidRPr="006A0A3F">
        <w:rPr>
          <w:rFonts w:ascii="Verdana" w:hAnsi="Verdana"/>
          <w:bCs/>
          <w:color w:val="000000"/>
          <w:sz w:val="20"/>
          <w:szCs w:val="20"/>
        </w:rPr>
        <w:t xml:space="preserve"> alcance del derecho a</w:t>
      </w:r>
      <w:r w:rsidR="005B4A20" w:rsidRPr="006A0A3F">
        <w:rPr>
          <w:rFonts w:ascii="Verdana" w:hAnsi="Verdana"/>
          <w:bCs/>
          <w:color w:val="000000"/>
          <w:sz w:val="20"/>
          <w:szCs w:val="20"/>
        </w:rPr>
        <w:t>l trabajo</w:t>
      </w:r>
      <w:r w:rsidRPr="006A0A3F">
        <w:rPr>
          <w:rFonts w:ascii="Verdana" w:hAnsi="Verdana"/>
          <w:bCs/>
          <w:color w:val="000000"/>
          <w:sz w:val="20"/>
          <w:szCs w:val="20"/>
        </w:rPr>
        <w:t>, de conformidad con el artículo 26 de la Convención Americana.</w:t>
      </w:r>
    </w:p>
    <w:p w14:paraId="04671DA9" w14:textId="77777777" w:rsidR="00116DF6" w:rsidRPr="006A0A3F" w:rsidRDefault="00116DF6" w:rsidP="005B4A20">
      <w:pPr>
        <w:pBdr>
          <w:top w:val="nil"/>
        </w:pBdr>
        <w:autoSpaceDE w:val="0"/>
        <w:autoSpaceDN w:val="0"/>
        <w:adjustRightInd w:val="0"/>
        <w:spacing w:after="0" w:line="240" w:lineRule="auto"/>
        <w:jc w:val="both"/>
        <w:rPr>
          <w:rFonts w:ascii="Verdana" w:hAnsi="Verdana" w:cs="Verdana"/>
          <w:sz w:val="20"/>
          <w:szCs w:val="20"/>
        </w:rPr>
      </w:pPr>
    </w:p>
    <w:p w14:paraId="0B0721FC" w14:textId="70633205" w:rsidR="003731F3" w:rsidRPr="006A0A3F" w:rsidRDefault="005B4A20" w:rsidP="005B4A20">
      <w:pPr>
        <w:numPr>
          <w:ilvl w:val="0"/>
          <w:numId w:val="4"/>
        </w:numPr>
        <w:pBdr>
          <w:top w:val="nil"/>
        </w:pBdr>
        <w:autoSpaceDE w:val="0"/>
        <w:autoSpaceDN w:val="0"/>
        <w:adjustRightInd w:val="0"/>
        <w:spacing w:after="0" w:line="240" w:lineRule="auto"/>
        <w:ind w:left="0" w:firstLine="0"/>
        <w:jc w:val="both"/>
        <w:rPr>
          <w:rFonts w:ascii="Verdana" w:hAnsi="Verdana"/>
          <w:bCs/>
          <w:color w:val="000000"/>
          <w:sz w:val="20"/>
          <w:szCs w:val="20"/>
        </w:rPr>
      </w:pPr>
      <w:r w:rsidRPr="006A0A3F">
        <w:rPr>
          <w:rFonts w:ascii="Verdana" w:hAnsi="Verdana"/>
          <w:bCs/>
          <w:color w:val="000000"/>
          <w:sz w:val="20"/>
          <w:szCs w:val="20"/>
        </w:rPr>
        <w:t>Consecuentemente</w:t>
      </w:r>
      <w:r w:rsidR="003731F3" w:rsidRPr="006A0A3F">
        <w:rPr>
          <w:rFonts w:ascii="Verdana" w:hAnsi="Verdana"/>
          <w:bCs/>
          <w:color w:val="000000"/>
          <w:sz w:val="20"/>
          <w:szCs w:val="20"/>
        </w:rPr>
        <w:t xml:space="preserve">, la Corte reitera lo </w:t>
      </w:r>
      <w:r w:rsidRPr="006A0A3F">
        <w:rPr>
          <w:rFonts w:ascii="Verdana" w:hAnsi="Verdana"/>
          <w:bCs/>
          <w:color w:val="000000"/>
          <w:sz w:val="20"/>
          <w:szCs w:val="20"/>
        </w:rPr>
        <w:t xml:space="preserve">considerado en el referido caso </w:t>
      </w:r>
      <w:r w:rsidRPr="006A0A3F">
        <w:rPr>
          <w:rFonts w:ascii="Verdana" w:hAnsi="Verdana"/>
          <w:i/>
          <w:sz w:val="20"/>
          <w:szCs w:val="20"/>
        </w:rPr>
        <w:t>Lagos del Campo Vs. Perú</w:t>
      </w:r>
      <w:r w:rsidRPr="006A0A3F">
        <w:rPr>
          <w:rFonts w:ascii="Verdana" w:hAnsi="Verdana"/>
          <w:bCs/>
          <w:color w:val="000000"/>
          <w:sz w:val="20"/>
          <w:szCs w:val="20"/>
        </w:rPr>
        <w:t xml:space="preserve"> y </w:t>
      </w:r>
      <w:r w:rsidR="003731F3" w:rsidRPr="006A0A3F">
        <w:rPr>
          <w:rFonts w:ascii="Verdana" w:hAnsi="Verdana"/>
          <w:bCs/>
          <w:color w:val="000000"/>
          <w:sz w:val="20"/>
          <w:szCs w:val="20"/>
        </w:rPr>
        <w:t xml:space="preserve">en el caso </w:t>
      </w:r>
      <w:r w:rsidR="003731F3" w:rsidRPr="006A0A3F">
        <w:rPr>
          <w:rFonts w:ascii="Verdana" w:hAnsi="Verdana"/>
          <w:bCs/>
          <w:i/>
          <w:color w:val="000000"/>
          <w:sz w:val="20"/>
          <w:szCs w:val="20"/>
        </w:rPr>
        <w:t>Trabajadores Cesados de Petroperú y otros Vs. Perú</w:t>
      </w:r>
      <w:r w:rsidR="003731F3" w:rsidRPr="006A0A3F">
        <w:rPr>
          <w:rFonts w:ascii="Verdana" w:hAnsi="Verdana"/>
          <w:bCs/>
          <w:color w:val="000000"/>
          <w:sz w:val="20"/>
          <w:szCs w:val="20"/>
        </w:rPr>
        <w:t xml:space="preserve">, </w:t>
      </w:r>
      <w:r w:rsidR="005A4796" w:rsidRPr="006A0A3F">
        <w:rPr>
          <w:rFonts w:ascii="Verdana" w:hAnsi="Verdana"/>
          <w:bCs/>
          <w:color w:val="000000"/>
          <w:sz w:val="20"/>
          <w:szCs w:val="20"/>
        </w:rPr>
        <w:t>en los cuales señaló</w:t>
      </w:r>
      <w:r w:rsidR="003731F3" w:rsidRPr="006A0A3F">
        <w:rPr>
          <w:rFonts w:ascii="Verdana" w:hAnsi="Verdana"/>
          <w:sz w:val="20"/>
          <w:szCs w:val="20"/>
        </w:rPr>
        <w:t xml:space="preserve"> lo siguiente</w:t>
      </w:r>
      <w:r w:rsidR="005A4796" w:rsidRPr="006A0A3F">
        <w:rPr>
          <w:rStyle w:val="FootnoteReference"/>
          <w:rFonts w:ascii="Verdana" w:hAnsi="Verdana"/>
          <w:sz w:val="20"/>
          <w:szCs w:val="20"/>
        </w:rPr>
        <w:footnoteReference w:id="269"/>
      </w:r>
      <w:r w:rsidR="003731F3" w:rsidRPr="006A0A3F">
        <w:rPr>
          <w:rFonts w:ascii="Verdana" w:hAnsi="Verdana"/>
          <w:sz w:val="20"/>
          <w:szCs w:val="20"/>
        </w:rPr>
        <w:t xml:space="preserve">: </w:t>
      </w:r>
    </w:p>
    <w:p w14:paraId="2BAF7273" w14:textId="77777777" w:rsidR="003731F3" w:rsidRPr="006A0A3F" w:rsidRDefault="003731F3" w:rsidP="003731F3">
      <w:pPr>
        <w:contextualSpacing/>
        <w:jc w:val="both"/>
        <w:rPr>
          <w:rFonts w:ascii="Verdana" w:hAnsi="Verdana"/>
          <w:bCs/>
          <w:color w:val="000000"/>
          <w:sz w:val="20"/>
          <w:szCs w:val="20"/>
        </w:rPr>
      </w:pPr>
    </w:p>
    <w:p w14:paraId="66EE9B75"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lastRenderedPageBreak/>
        <w:t xml:space="preserve">141. Esta Corte ha reiterado la interdependencia e indivisibilidad existente entre los derechos civiles y políticos, y los económicos, sociales y culturales, puesto que deben ser entendidos integralmente y de forma conglobada como derechos humanos, sin jerarquía entre sí y exigibles en todos los casos ante aquellas autoridades que resulten competentes para ello. </w:t>
      </w:r>
    </w:p>
    <w:p w14:paraId="6ACEC6D8" w14:textId="77777777" w:rsidR="003731F3" w:rsidRPr="006A0A3F" w:rsidRDefault="003731F3" w:rsidP="005A4796">
      <w:pPr>
        <w:ind w:left="567"/>
        <w:contextualSpacing/>
        <w:jc w:val="both"/>
        <w:rPr>
          <w:rFonts w:ascii="Verdana" w:hAnsi="Verdana"/>
          <w:sz w:val="16"/>
          <w:szCs w:val="16"/>
        </w:rPr>
      </w:pPr>
    </w:p>
    <w:p w14:paraId="19AF4987"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142. Tal como fue señalado en el </w:t>
      </w:r>
      <w:r w:rsidRPr="006A0A3F">
        <w:rPr>
          <w:rFonts w:ascii="Verdana" w:hAnsi="Verdana"/>
          <w:i/>
          <w:sz w:val="16"/>
          <w:szCs w:val="16"/>
        </w:rPr>
        <w:t>Caso Acevedo Buendía y otros Vs. Perú</w:t>
      </w:r>
      <w:r w:rsidRPr="006A0A3F">
        <w:rPr>
          <w:rFonts w:ascii="Verdana" w:hAnsi="Verdana"/>
          <w:sz w:val="16"/>
          <w:szCs w:val="16"/>
        </w:rPr>
        <w:t xml:space="preserve">, este Tribunal tiene el derecho a resolver cualquier controversia relativa a su jurisdicción. En este mismo sentido, el Tribunal ha señalado anteriormente que los términos amplios en que está redactada la Convención indican que la Corte ejerce una jurisdicción plena sobre todos sus artículos y disposiciones. Asimismo, resulta pertinente notar que si bien el artículo 26 se encuentra en el capítulo III de la Convención, titulado “Derechos Económicos, Sociales y Culturales”, se ubica también, en la Parte I de dicho instrumento, titulado “Deberes de los Estados y Derechos Protegidos” y, por ende, está sujeto a las obligaciones generales contenidas en los artículos 1.1 y 2 señalados en el capítulo I (titulado “Enumeración de Deberes”), así como lo están los artículos 3 al 25 señalados en el capítulo II (titulado “Derechos Civiles y Políticos”). </w:t>
      </w:r>
    </w:p>
    <w:p w14:paraId="74A479A9" w14:textId="77777777" w:rsidR="003731F3" w:rsidRPr="006A0A3F" w:rsidRDefault="003731F3" w:rsidP="005A4796">
      <w:pPr>
        <w:ind w:left="567"/>
        <w:contextualSpacing/>
        <w:jc w:val="both"/>
        <w:rPr>
          <w:rFonts w:ascii="Verdana" w:hAnsi="Verdana"/>
          <w:sz w:val="16"/>
          <w:szCs w:val="16"/>
        </w:rPr>
      </w:pPr>
    </w:p>
    <w:p w14:paraId="64DC3C62"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143. Respecto a los derechos laborales específicos protegidos por el artículo 26 de la Convención Americana, la Corte observa que los términos del mismo indican que son aquellos derechos que se derivan de las normas económicas, sociales y sobre educación, ciencia y cultura contenidas en la Carta de la OEA. Ahora bien, los artículos 45.b y c, 46 y 34.g de la Carta establecen que “[e]l trabajo es un derecho y un deber social” y que ese debe prestarse con “salarios justos, oportunidades de empleo y condiciones de trabajo aceptables para todos”. Asimismo, señalan que el derecho de los trabajadores y trabajadoras a “asociarse libremente para la defensa y promoción de sus intereses”. Además, indican que los Estados deben “armonizar la legislación social” para la protección de tales derechos. Desde su Opinión Consultiva OC-10/89, la Corte señaló que: […]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p>
    <w:p w14:paraId="70055C55" w14:textId="77777777" w:rsidR="003731F3" w:rsidRPr="006A0A3F" w:rsidRDefault="003731F3" w:rsidP="005A4796">
      <w:pPr>
        <w:ind w:left="567"/>
        <w:contextualSpacing/>
        <w:jc w:val="both"/>
        <w:rPr>
          <w:rFonts w:ascii="Verdana" w:hAnsi="Verdana"/>
          <w:sz w:val="16"/>
          <w:szCs w:val="16"/>
        </w:rPr>
      </w:pPr>
    </w:p>
    <w:p w14:paraId="18B415D4"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144. En este sentido, el artículo XIV de la Declaración Americana dispone que “[t]oda persona tiene derecho al trabajo en condiciones dignas y a seguir libremente su vocación […]”. Tal disposición resulta relevante para definir el alcance del artículo 26, dado que “la Declaración Americana, constituye, en lo pertinente y en relación con la Carta de la Organización, una fuente de obligaciones internacionales”. Asimismo, el artículo 29.d de la Convención Americana dispone expresamente que “[n]</w:t>
      </w:r>
      <w:proofErr w:type="spellStart"/>
      <w:r w:rsidRPr="006A0A3F">
        <w:rPr>
          <w:rFonts w:ascii="Verdana" w:hAnsi="Verdana"/>
          <w:sz w:val="16"/>
          <w:szCs w:val="16"/>
        </w:rPr>
        <w:t>inguna</w:t>
      </w:r>
      <w:proofErr w:type="spellEnd"/>
      <w:r w:rsidRPr="006A0A3F">
        <w:rPr>
          <w:rFonts w:ascii="Verdana" w:hAnsi="Verdana"/>
          <w:sz w:val="16"/>
          <w:szCs w:val="16"/>
        </w:rPr>
        <w:t xml:space="preserve"> disposición de la presente Convención puede ser interpretada en el sentido de: […] d) excluir o limitar el efecto que puedan producir la Declaración Americana de Derechos y Deberes del Hombre y otros actos internacionales de la misma naturaleza”. </w:t>
      </w:r>
    </w:p>
    <w:p w14:paraId="4FB61DB0" w14:textId="77777777" w:rsidR="003731F3" w:rsidRPr="006A0A3F" w:rsidRDefault="003731F3" w:rsidP="005A4796">
      <w:pPr>
        <w:ind w:left="567"/>
        <w:contextualSpacing/>
        <w:jc w:val="both"/>
        <w:rPr>
          <w:rFonts w:ascii="Verdana" w:hAnsi="Verdana"/>
          <w:sz w:val="16"/>
          <w:szCs w:val="16"/>
        </w:rPr>
      </w:pPr>
    </w:p>
    <w:p w14:paraId="189DC135"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145. Además de la derivación del derecho al trabajo a partir de una interpretación del artículo 26 en relación con la Carta de la OEA, junto con la Declaración Americana, el derecho al trabajo está reconocido explícitamente en diversas leyes internas de los Estados de la región, así como un vasto </w:t>
      </w:r>
      <w:r w:rsidRPr="006A0A3F">
        <w:rPr>
          <w:rFonts w:ascii="Verdana" w:hAnsi="Verdana"/>
          <w:i/>
          <w:sz w:val="16"/>
          <w:szCs w:val="16"/>
        </w:rPr>
        <w:t>corpus iuris</w:t>
      </w:r>
      <w:r w:rsidRPr="006A0A3F">
        <w:rPr>
          <w:rFonts w:ascii="Verdana" w:hAnsi="Verdana"/>
          <w:sz w:val="16"/>
          <w:szCs w:val="16"/>
        </w:rPr>
        <w:t xml:space="preserve"> internacional; </w:t>
      </w:r>
      <w:r w:rsidRPr="006A0A3F">
        <w:rPr>
          <w:rFonts w:ascii="Verdana" w:hAnsi="Verdana"/>
          <w:i/>
          <w:sz w:val="16"/>
          <w:szCs w:val="16"/>
        </w:rPr>
        <w:t xml:space="preserve">inter </w:t>
      </w:r>
      <w:proofErr w:type="spellStart"/>
      <w:r w:rsidRPr="006A0A3F">
        <w:rPr>
          <w:rFonts w:ascii="Verdana" w:hAnsi="Verdana"/>
          <w:i/>
          <w:sz w:val="16"/>
          <w:szCs w:val="16"/>
        </w:rPr>
        <w:t>alia</w:t>
      </w:r>
      <w:proofErr w:type="spellEnd"/>
      <w:r w:rsidRPr="006A0A3F">
        <w:rPr>
          <w:rFonts w:ascii="Verdana" w:hAnsi="Verdana"/>
          <w:sz w:val="16"/>
          <w:szCs w:val="16"/>
        </w:rPr>
        <w:t xml:space="preserve">: el artículo 6 del Pacto Internacional de Derechos Económicos, Sociales y Culturales, el artículo 23 de la Declaración Universal de Derechos Humanos, los artículos 7 y 8 de la Carta Social de las Américas, los artículos 6 y 7 del Protocolo Adicional a la Convención Americana sobre Derechos Económicos, Sociales y Culturales, el artículo 11 de la Convención sobre la Eliminación de Todas las Formas de Discriminación contra la Mujer, el artículo 32.1 de la Convención sobre los Derechos del Niño, así como el artículo 1 de la Carta Social Europea y el artículo 15 de la Carta Africana sobre los Derechos Humanos y de los Pueblos. </w:t>
      </w:r>
    </w:p>
    <w:p w14:paraId="7709C0AD" w14:textId="77777777" w:rsidR="003731F3" w:rsidRPr="006A0A3F" w:rsidRDefault="003731F3" w:rsidP="005A4796">
      <w:pPr>
        <w:ind w:left="567"/>
        <w:contextualSpacing/>
        <w:jc w:val="both"/>
        <w:rPr>
          <w:rFonts w:ascii="Verdana" w:hAnsi="Verdana"/>
          <w:sz w:val="16"/>
          <w:szCs w:val="16"/>
        </w:rPr>
      </w:pPr>
    </w:p>
    <w:p w14:paraId="4C31B66A"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146. Por tanto, al analizar el contenido y alcance del artículo 26 de la Convención en el presente caso, la Corte tomará en cuenta, a la luz de las reglas generales de interpretación establecidas en el artículo 29 b, c, y d de la misma, la aludida protección a la estabilidad laboral aplicable al caso concreto. </w:t>
      </w:r>
    </w:p>
    <w:p w14:paraId="2A2FED3B" w14:textId="77777777" w:rsidR="003731F3" w:rsidRPr="006A0A3F" w:rsidRDefault="003731F3" w:rsidP="005A4796">
      <w:pPr>
        <w:ind w:left="567"/>
        <w:contextualSpacing/>
        <w:jc w:val="both"/>
        <w:rPr>
          <w:rFonts w:ascii="Verdana" w:hAnsi="Verdana"/>
          <w:sz w:val="16"/>
          <w:szCs w:val="16"/>
        </w:rPr>
      </w:pPr>
    </w:p>
    <w:p w14:paraId="0BACB96B"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147. En este sentido, el Comité de Derechos Económicos, Sociales y Culturales, en su Observación General No. 18 sobre el derecho al trabajo, expresó que este mismo “implica el derecho a no ser privado injustamente del empleo”. Asimismo, ha señalado que el “incumplimiento de la obligación de proteger se produce cuando los Estados Partes se abstienen de adoptar todas las medidas adecuadas para proteger a las personas sometidas a su jurisdicción contra las vulneraciones del derecho al trabajo imputables a terceros”, lo cual incluye “el hecho de no proteger a los trabajadores frente al despido improcedente”. </w:t>
      </w:r>
    </w:p>
    <w:p w14:paraId="7C51EE32" w14:textId="77777777" w:rsidR="003731F3" w:rsidRPr="006A0A3F" w:rsidRDefault="003731F3" w:rsidP="005A4796">
      <w:pPr>
        <w:ind w:left="567"/>
        <w:contextualSpacing/>
        <w:jc w:val="both"/>
        <w:rPr>
          <w:rFonts w:ascii="Verdana" w:hAnsi="Verdana"/>
          <w:sz w:val="16"/>
          <w:szCs w:val="16"/>
        </w:rPr>
      </w:pPr>
    </w:p>
    <w:p w14:paraId="6E2BFA6F"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148. A manera ilustrativa, el Convenio 158 de la Organización International del Trabajo (en adelante OIT), sobre la terminación de la relación de trabajo (1982), dispone que el derecho al trabajo incluye la legalidad del despido en su artículo 4 e impone, en particular, la necesidad de ofrecer motivos válidos para el despido, así como el </w:t>
      </w:r>
      <w:r w:rsidRPr="006A0A3F">
        <w:rPr>
          <w:rFonts w:ascii="Verdana" w:hAnsi="Verdana"/>
          <w:sz w:val="16"/>
          <w:szCs w:val="16"/>
        </w:rPr>
        <w:lastRenderedPageBreak/>
        <w:t xml:space="preserve">derecho a recursos jurídicos efectivos en caso de despido improcedente. En similar sentido se encuentra lo dispuesto en la Recomendación No. 143 de la OIT sobre representantes de los trabajadores que requiere de adoptar medidas apropiadas y recursos accesibles para la tutela de los representantes de los trabajadores […]. </w:t>
      </w:r>
    </w:p>
    <w:p w14:paraId="28336159" w14:textId="77777777" w:rsidR="003731F3" w:rsidRPr="006A0A3F" w:rsidRDefault="003731F3" w:rsidP="005A4796">
      <w:pPr>
        <w:ind w:left="567"/>
        <w:contextualSpacing/>
        <w:jc w:val="both"/>
        <w:rPr>
          <w:rFonts w:ascii="Verdana" w:hAnsi="Verdana"/>
          <w:sz w:val="16"/>
          <w:szCs w:val="16"/>
        </w:rPr>
      </w:pPr>
    </w:p>
    <w:p w14:paraId="562A51E5"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149. Como correlato de lo anterior, se deprende que las obligaciones del Estado en cuanto a la protección del derecho a la estabilidad laboral, en el ámbito privado, se traduce en principio en los siguientes deberes: a) adoptar las medidas adecuadas para la debida regulación y fiscalización de dicho derecho; b) proteger al trabajador y trabajadora, a través de sus órganos competentes, contra el despido injustificado; c) en caso de despido injustificado, remediar la situación (ya sea, a través de la reinstalación o, en su caso, mediante la indemnización y otras prestaciones previstas en la legislación nacional). Por ende, d) el Estado debe disponer de mecanismos efectivos de reclamo frente a una situación de despido injustificado, a fin de garantizar el acceso a la justicia y la tutela judicial efectiva de tales derechos […]. </w:t>
      </w:r>
    </w:p>
    <w:p w14:paraId="61232058" w14:textId="77777777" w:rsidR="005A4796" w:rsidRPr="006A0A3F" w:rsidRDefault="005A4796" w:rsidP="005A4796">
      <w:pPr>
        <w:ind w:left="567"/>
        <w:contextualSpacing/>
        <w:jc w:val="both"/>
        <w:rPr>
          <w:rFonts w:ascii="Verdana" w:hAnsi="Verdana"/>
          <w:sz w:val="16"/>
          <w:szCs w:val="16"/>
        </w:rPr>
      </w:pPr>
    </w:p>
    <w:p w14:paraId="3094B1BB"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 xml:space="preserve">150. Cabe precisar que la estabilidad laboral no consiste en una permanencia irrestricta en el puesto de trabajo, sino de respetar este derecho, entre otras medidas, otorgando debidas garantías de protección al trabajador a fin de que, en caso de despido se realice éste bajo causas justificadas, lo cual implica que el empleador acredite las razones suficientes para imponer dicha sanción con las debidas garantías, y frente a ello el trabajador pueda recurrir tal decisión ante las autoridades internas, quienes verifiquen que las causales imputadas no sean arbitrarias o contrarias a derecho. […] </w:t>
      </w:r>
    </w:p>
    <w:p w14:paraId="53733038" w14:textId="77777777" w:rsidR="003731F3" w:rsidRPr="006A0A3F" w:rsidRDefault="003731F3" w:rsidP="005A4796">
      <w:pPr>
        <w:ind w:left="567"/>
        <w:contextualSpacing/>
        <w:jc w:val="both"/>
        <w:rPr>
          <w:rFonts w:ascii="Verdana" w:hAnsi="Verdana"/>
          <w:sz w:val="16"/>
          <w:szCs w:val="16"/>
        </w:rPr>
      </w:pPr>
    </w:p>
    <w:p w14:paraId="050DB3A8" w14:textId="77777777" w:rsidR="003731F3" w:rsidRPr="006A0A3F" w:rsidRDefault="003731F3" w:rsidP="005A4796">
      <w:pPr>
        <w:ind w:left="567"/>
        <w:contextualSpacing/>
        <w:jc w:val="both"/>
        <w:rPr>
          <w:rFonts w:ascii="Verdana" w:hAnsi="Verdana"/>
          <w:sz w:val="16"/>
          <w:szCs w:val="16"/>
        </w:rPr>
      </w:pPr>
      <w:r w:rsidRPr="006A0A3F">
        <w:rPr>
          <w:rFonts w:ascii="Verdana" w:hAnsi="Verdana"/>
          <w:sz w:val="16"/>
          <w:szCs w:val="16"/>
        </w:rPr>
        <w:t>154. Finalmente, cabe señalar que la Corte ha establecido previamente su competencia para conocer y resolver controversias relativas al artículo 26 de la Convención Americana, como parte integrante de los derechos enumerados en la misma, respecto de los cuales el artículo 1.1 confiere obligaciones generales de respeto y garantía a los Estados […]. Asimismo, la Corte ha dispuesto importantes desarrollos jurisprudenciales en la materia, a la luz de diversos artículos convencionales. En atención a estos precedentes, con esta Sentencia se desarrolla y concreta una condena específica por la violación del artículo 26 de la Convención Americana sobre Derechos Humanos, dispuesto en el Capítulo III, titulado Derechos Económicos, Sociales y Culturales de este tratado.</w:t>
      </w:r>
    </w:p>
    <w:p w14:paraId="347E8184" w14:textId="77777777" w:rsidR="00442F6B" w:rsidRPr="006A0A3F" w:rsidRDefault="00442F6B" w:rsidP="00AC20C5">
      <w:pPr>
        <w:suppressAutoHyphens/>
        <w:spacing w:after="0" w:line="240" w:lineRule="auto"/>
        <w:jc w:val="both"/>
        <w:rPr>
          <w:rFonts w:ascii="Verdana" w:eastAsia="Times New Roman" w:hAnsi="Verdana" w:cs="Tahoma"/>
          <w:sz w:val="20"/>
          <w:szCs w:val="20"/>
        </w:rPr>
      </w:pPr>
    </w:p>
    <w:p w14:paraId="55ADFDD2" w14:textId="23C54FC2" w:rsidR="006B5B04" w:rsidRPr="006A0A3F" w:rsidRDefault="00E2432F" w:rsidP="001532F1">
      <w:pPr>
        <w:numPr>
          <w:ilvl w:val="0"/>
          <w:numId w:val="4"/>
        </w:numPr>
        <w:pBdr>
          <w:top w:val="nil"/>
        </w:pBdr>
        <w:autoSpaceDE w:val="0"/>
        <w:autoSpaceDN w:val="0"/>
        <w:adjustRightInd w:val="0"/>
        <w:spacing w:after="0" w:line="240" w:lineRule="auto"/>
        <w:ind w:left="0" w:firstLine="0"/>
        <w:jc w:val="both"/>
        <w:rPr>
          <w:rFonts w:ascii="Verdana" w:eastAsia="Cambria" w:hAnsi="Verdana" w:cs="Cambria"/>
          <w:color w:val="000000"/>
          <w:sz w:val="20"/>
          <w:szCs w:val="20"/>
          <w:u w:color="000000"/>
          <w:lang w:eastAsia="es-ES"/>
        </w:rPr>
      </w:pPr>
      <w:r w:rsidRPr="006A0A3F">
        <w:rPr>
          <w:rFonts w:ascii="Verdana" w:eastAsia="Cambria" w:hAnsi="Verdana" w:cs="Cambria"/>
          <w:color w:val="000000"/>
          <w:sz w:val="20"/>
          <w:szCs w:val="20"/>
          <w:u w:color="000000"/>
          <w:lang w:eastAsia="es-ES"/>
        </w:rPr>
        <w:t xml:space="preserve">En el presente caso, </w:t>
      </w:r>
      <w:r w:rsidR="001532F1" w:rsidRPr="006A0A3F">
        <w:rPr>
          <w:rFonts w:ascii="Verdana" w:hAnsi="Verdana"/>
          <w:sz w:val="20"/>
        </w:rPr>
        <w:t xml:space="preserve">la Corte concluyó que la terminación arbitraria de la relación laboral de las presuntas víctimas con el Consejo Nacional de Fronteras constituyó una forma de desviación de poder, pues se utilizó una cláusula establecida en su contrato como velo de legalidad para encubrir la verdadera finalidad de tal medida, a saber: una represalia en su contra por haber ejercido legítimamente sus derechos de participación política y libertad de expresión. </w:t>
      </w:r>
      <w:r w:rsidR="001532F1" w:rsidRPr="006A0A3F">
        <w:rPr>
          <w:rFonts w:ascii="Verdana" w:hAnsi="Verdana"/>
          <w:spacing w:val="-3"/>
          <w:sz w:val="20"/>
        </w:rPr>
        <w:t xml:space="preserve">Es decir, ellas fueron objeto de discriminación política mediante un despido arbitrario, el cual ocurrió en un contexto de denuncias de despidos semejantes y de otras formas de represalia para quienes habían decidido ejercer sus libertades al firmar por la solicitud de referendo. Así, su despido tenía la intención encubierta de acallar y desincentivar la disidencia política, pues fue instrumentalizado para que otras personas se vieran amedrentadas de participar políticamente y de expresar sus ideas y opiniones. Además de lo anterior, </w:t>
      </w:r>
      <w:r w:rsidRPr="006A0A3F">
        <w:rPr>
          <w:rFonts w:ascii="Verdana" w:eastAsia="Cambria" w:hAnsi="Verdana" w:cs="Cambria"/>
          <w:color w:val="000000"/>
          <w:sz w:val="20"/>
          <w:szCs w:val="20"/>
          <w:u w:color="000000"/>
          <w:lang w:eastAsia="es-ES"/>
        </w:rPr>
        <w:t xml:space="preserve">este Tribunal </w:t>
      </w:r>
      <w:r w:rsidR="001532F1" w:rsidRPr="006A0A3F">
        <w:rPr>
          <w:rFonts w:ascii="Verdana" w:eastAsia="Cambria" w:hAnsi="Verdana" w:cs="Cambria"/>
          <w:color w:val="000000"/>
          <w:sz w:val="20"/>
          <w:szCs w:val="20"/>
          <w:u w:color="000000"/>
          <w:lang w:eastAsia="es-ES"/>
        </w:rPr>
        <w:t xml:space="preserve">ha </w:t>
      </w:r>
      <w:r w:rsidRPr="006A0A3F">
        <w:rPr>
          <w:rFonts w:ascii="Verdana" w:eastAsia="Cambria" w:hAnsi="Verdana" w:cs="Cambria"/>
          <w:color w:val="000000"/>
          <w:sz w:val="20"/>
          <w:szCs w:val="20"/>
          <w:u w:color="000000"/>
          <w:lang w:eastAsia="es-ES"/>
        </w:rPr>
        <w:t>considera</w:t>
      </w:r>
      <w:r w:rsidR="001532F1" w:rsidRPr="006A0A3F">
        <w:rPr>
          <w:rFonts w:ascii="Verdana" w:eastAsia="Cambria" w:hAnsi="Verdana" w:cs="Cambria"/>
          <w:color w:val="000000"/>
          <w:sz w:val="20"/>
          <w:szCs w:val="20"/>
          <w:u w:color="000000"/>
          <w:lang w:eastAsia="es-ES"/>
        </w:rPr>
        <w:t>do</w:t>
      </w:r>
      <w:r w:rsidRPr="006A0A3F">
        <w:rPr>
          <w:rFonts w:ascii="Verdana" w:eastAsia="Cambria" w:hAnsi="Verdana" w:cs="Cambria"/>
          <w:color w:val="000000"/>
          <w:sz w:val="20"/>
          <w:szCs w:val="20"/>
          <w:u w:color="000000"/>
          <w:lang w:eastAsia="es-ES"/>
        </w:rPr>
        <w:t xml:space="preserve"> que</w:t>
      </w:r>
      <w:r w:rsidR="001532F1" w:rsidRPr="006A0A3F">
        <w:rPr>
          <w:rFonts w:ascii="Verdana" w:eastAsia="Cambria" w:hAnsi="Verdana" w:cs="Cambria"/>
          <w:color w:val="000000"/>
          <w:sz w:val="20"/>
          <w:szCs w:val="20"/>
          <w:u w:color="000000"/>
          <w:lang w:eastAsia="es-ES"/>
        </w:rPr>
        <w:t xml:space="preserve"> </w:t>
      </w:r>
      <w:r w:rsidRPr="006A0A3F">
        <w:rPr>
          <w:rFonts w:ascii="Verdana" w:eastAsia="Cambria" w:hAnsi="Verdana" w:cs="Cambria"/>
          <w:color w:val="000000"/>
          <w:sz w:val="20"/>
          <w:szCs w:val="20"/>
          <w:u w:color="000000"/>
          <w:lang w:eastAsia="es-ES"/>
        </w:rPr>
        <w:t xml:space="preserve">el derecho al </w:t>
      </w:r>
      <w:r w:rsidRPr="006A0A3F">
        <w:rPr>
          <w:rFonts w:ascii="Verdana" w:hAnsi="Verdana"/>
          <w:bCs/>
          <w:color w:val="000000"/>
          <w:sz w:val="20"/>
          <w:szCs w:val="20"/>
        </w:rPr>
        <w:t>trabajo</w:t>
      </w:r>
      <w:r w:rsidR="001532F1" w:rsidRPr="006A0A3F">
        <w:rPr>
          <w:rFonts w:ascii="Verdana" w:eastAsia="Cambria" w:hAnsi="Verdana" w:cs="Cambria"/>
          <w:color w:val="000000"/>
          <w:sz w:val="20"/>
          <w:szCs w:val="20"/>
          <w:u w:color="000000"/>
          <w:lang w:eastAsia="es-ES"/>
        </w:rPr>
        <w:t xml:space="preserve"> incluye la obligación del Estado de </w:t>
      </w:r>
      <w:r w:rsidRPr="006A0A3F">
        <w:rPr>
          <w:rFonts w:ascii="Verdana" w:eastAsia="Cambria" w:hAnsi="Verdana" w:cs="Cambria"/>
          <w:color w:val="000000"/>
          <w:sz w:val="20"/>
          <w:szCs w:val="20"/>
          <w:u w:color="000000"/>
          <w:lang w:eastAsia="es-ES"/>
        </w:rPr>
        <w:t xml:space="preserve">garantizar </w:t>
      </w:r>
      <w:r w:rsidR="001532F1" w:rsidRPr="006A0A3F">
        <w:rPr>
          <w:rFonts w:ascii="Verdana" w:eastAsia="Cambria" w:hAnsi="Verdana" w:cs="Cambria"/>
          <w:color w:val="000000"/>
          <w:sz w:val="20"/>
          <w:szCs w:val="20"/>
          <w:u w:color="000000"/>
          <w:lang w:eastAsia="es-ES"/>
        </w:rPr>
        <w:t xml:space="preserve">los </w:t>
      </w:r>
      <w:r w:rsidRPr="006A0A3F">
        <w:rPr>
          <w:rFonts w:ascii="Verdana" w:eastAsia="Cambria" w:hAnsi="Verdana" w:cs="Cambria"/>
          <w:color w:val="000000"/>
          <w:sz w:val="20"/>
          <w:szCs w:val="20"/>
          <w:u w:color="000000"/>
          <w:lang w:eastAsia="es-ES"/>
        </w:rPr>
        <w:t>derecho</w:t>
      </w:r>
      <w:r w:rsidR="001532F1" w:rsidRPr="006A0A3F">
        <w:rPr>
          <w:rFonts w:ascii="Verdana" w:eastAsia="Cambria" w:hAnsi="Verdana" w:cs="Cambria"/>
          <w:color w:val="000000"/>
          <w:sz w:val="20"/>
          <w:szCs w:val="20"/>
          <w:u w:color="000000"/>
          <w:lang w:eastAsia="es-ES"/>
        </w:rPr>
        <w:t>s</w:t>
      </w:r>
      <w:r w:rsidRPr="006A0A3F">
        <w:rPr>
          <w:rFonts w:ascii="Verdana" w:eastAsia="Cambria" w:hAnsi="Verdana" w:cs="Cambria"/>
          <w:color w:val="000000"/>
          <w:sz w:val="20"/>
          <w:szCs w:val="20"/>
          <w:u w:color="000000"/>
          <w:lang w:eastAsia="es-ES"/>
        </w:rPr>
        <w:t xml:space="preserve"> de acceso a la justicia y a la tutela judicial efectiva, tanto en el ámbito público como en el ámbito privado de las relaciones laborales</w:t>
      </w:r>
      <w:r w:rsidRPr="006A0A3F">
        <w:rPr>
          <w:rStyle w:val="FootnoteReference"/>
          <w:rFonts w:ascii="Verdana" w:eastAsia="Cambria" w:hAnsi="Verdana" w:cs="Cambria"/>
          <w:color w:val="000000"/>
          <w:sz w:val="20"/>
          <w:szCs w:val="20"/>
          <w:u w:color="000000"/>
          <w:lang w:eastAsia="es-ES"/>
        </w:rPr>
        <w:footnoteReference w:id="270"/>
      </w:r>
      <w:r w:rsidR="001532F1" w:rsidRPr="006A0A3F">
        <w:rPr>
          <w:rFonts w:ascii="Verdana" w:eastAsia="Cambria" w:hAnsi="Verdana" w:cs="Cambria"/>
          <w:color w:val="000000"/>
          <w:sz w:val="20"/>
          <w:szCs w:val="20"/>
          <w:u w:color="000000"/>
          <w:lang w:eastAsia="es-ES"/>
        </w:rPr>
        <w:t>. Según fue constatado, e</w:t>
      </w:r>
      <w:r w:rsidRPr="006A0A3F">
        <w:rPr>
          <w:rFonts w:ascii="Verdana" w:eastAsia="Cambria" w:hAnsi="Verdana" w:cs="Cambria"/>
          <w:color w:val="000000"/>
          <w:sz w:val="20"/>
          <w:szCs w:val="20"/>
          <w:u w:color="000000"/>
          <w:lang w:eastAsia="es-ES"/>
        </w:rPr>
        <w:t xml:space="preserve">n </w:t>
      </w:r>
      <w:r w:rsidR="00D723D8" w:rsidRPr="006A0A3F">
        <w:rPr>
          <w:rFonts w:ascii="Verdana" w:eastAsia="Cambria" w:hAnsi="Verdana" w:cs="Cambria"/>
          <w:color w:val="000000"/>
          <w:sz w:val="20"/>
          <w:szCs w:val="20"/>
          <w:u w:color="000000"/>
          <w:lang w:eastAsia="es-ES"/>
        </w:rPr>
        <w:t>este caso el Estado no garantizó a</w:t>
      </w:r>
      <w:r w:rsidRPr="006A0A3F">
        <w:rPr>
          <w:rFonts w:ascii="Verdana" w:eastAsia="Cambria" w:hAnsi="Verdana" w:cs="Cambria"/>
          <w:color w:val="000000"/>
          <w:sz w:val="20"/>
          <w:szCs w:val="20"/>
          <w:u w:color="000000"/>
          <w:lang w:eastAsia="es-ES"/>
        </w:rPr>
        <w:t xml:space="preserve"> </w:t>
      </w:r>
      <w:r w:rsidR="00D723D8" w:rsidRPr="006A0A3F">
        <w:rPr>
          <w:rFonts w:ascii="Verdana" w:eastAsia="Cambria" w:hAnsi="Verdana" w:cs="Cambria"/>
          <w:color w:val="000000"/>
          <w:sz w:val="20"/>
          <w:szCs w:val="20"/>
          <w:u w:color="000000"/>
          <w:lang w:eastAsia="es-ES"/>
        </w:rPr>
        <w:t xml:space="preserve">las presuntas víctimas </w:t>
      </w:r>
      <w:r w:rsidR="001532F1" w:rsidRPr="006A0A3F">
        <w:rPr>
          <w:rFonts w:ascii="Verdana" w:eastAsia="Cambria" w:hAnsi="Verdana" w:cs="Cambria"/>
          <w:color w:val="000000"/>
          <w:sz w:val="20"/>
          <w:szCs w:val="20"/>
          <w:u w:color="000000"/>
          <w:lang w:eastAsia="es-ES"/>
        </w:rPr>
        <w:t xml:space="preserve">estos derechos </w:t>
      </w:r>
      <w:r w:rsidR="00C75EE0" w:rsidRPr="006A0A3F">
        <w:rPr>
          <w:rFonts w:ascii="Verdana" w:eastAsia="Cambria" w:hAnsi="Verdana" w:cs="Cambria"/>
          <w:color w:val="000000"/>
          <w:sz w:val="20"/>
          <w:szCs w:val="20"/>
          <w:u w:color="000000"/>
          <w:lang w:eastAsia="es-ES"/>
        </w:rPr>
        <w:t>ante su despido arbitrario</w:t>
      </w:r>
      <w:r w:rsidR="00D723D8" w:rsidRPr="006A0A3F">
        <w:rPr>
          <w:rFonts w:ascii="Verdana" w:eastAsia="Cambria" w:hAnsi="Verdana" w:cs="Cambria"/>
          <w:color w:val="000000"/>
          <w:sz w:val="20"/>
          <w:szCs w:val="20"/>
          <w:u w:color="000000"/>
          <w:lang w:eastAsia="es-ES"/>
        </w:rPr>
        <w:t xml:space="preserve">. </w:t>
      </w:r>
    </w:p>
    <w:p w14:paraId="73B25BA6" w14:textId="77777777" w:rsidR="006B5B04" w:rsidRPr="006A0A3F" w:rsidRDefault="006B5B04" w:rsidP="006B5B04">
      <w:pPr>
        <w:pBdr>
          <w:top w:val="nil"/>
        </w:pBdr>
        <w:autoSpaceDE w:val="0"/>
        <w:autoSpaceDN w:val="0"/>
        <w:adjustRightInd w:val="0"/>
        <w:spacing w:after="0" w:line="240" w:lineRule="auto"/>
        <w:jc w:val="both"/>
        <w:rPr>
          <w:rFonts w:ascii="Verdana" w:eastAsia="Cambria" w:hAnsi="Verdana" w:cs="Cambria"/>
          <w:b/>
          <w:color w:val="000000"/>
          <w:sz w:val="20"/>
          <w:szCs w:val="20"/>
          <w:highlight w:val="yellow"/>
          <w:u w:color="000000"/>
          <w:lang w:eastAsia="es-ES"/>
        </w:rPr>
      </w:pPr>
    </w:p>
    <w:p w14:paraId="2C3885F1" w14:textId="4A62A7C5" w:rsidR="00E2432F" w:rsidRPr="006A0A3F" w:rsidRDefault="00D723D8" w:rsidP="00D723D8">
      <w:pPr>
        <w:numPr>
          <w:ilvl w:val="0"/>
          <w:numId w:val="4"/>
        </w:numPr>
        <w:pBdr>
          <w:top w:val="nil"/>
        </w:pBdr>
        <w:autoSpaceDE w:val="0"/>
        <w:autoSpaceDN w:val="0"/>
        <w:adjustRightInd w:val="0"/>
        <w:spacing w:after="0" w:line="240" w:lineRule="auto"/>
        <w:ind w:left="0" w:firstLine="0"/>
        <w:jc w:val="both"/>
        <w:rPr>
          <w:rFonts w:ascii="Verdana" w:eastAsia="Cambria" w:hAnsi="Verdana" w:cs="Cambria"/>
          <w:color w:val="000000"/>
          <w:sz w:val="20"/>
          <w:szCs w:val="20"/>
          <w:u w:color="000000"/>
          <w:lang w:eastAsia="es-ES"/>
        </w:rPr>
      </w:pPr>
      <w:r w:rsidRPr="006A0A3F">
        <w:rPr>
          <w:rFonts w:ascii="Verdana" w:eastAsia="Cambria" w:hAnsi="Verdana" w:cs="Cambria"/>
          <w:color w:val="000000"/>
          <w:sz w:val="20"/>
          <w:szCs w:val="20"/>
          <w:u w:color="000000"/>
          <w:lang w:eastAsia="es-ES"/>
        </w:rPr>
        <w:t>En consecuencia,</w:t>
      </w:r>
      <w:r w:rsidR="00E2432F" w:rsidRPr="006A0A3F">
        <w:rPr>
          <w:rFonts w:ascii="Verdana" w:eastAsia="Cambria" w:hAnsi="Verdana" w:cs="Cambria"/>
          <w:color w:val="000000"/>
          <w:sz w:val="20"/>
          <w:szCs w:val="20"/>
          <w:u w:color="000000"/>
          <w:lang w:eastAsia="es-ES"/>
        </w:rPr>
        <w:t xml:space="preserve"> la Corte </w:t>
      </w:r>
      <w:r w:rsidR="006B5B04" w:rsidRPr="006A0A3F">
        <w:rPr>
          <w:rFonts w:ascii="Verdana" w:eastAsia="Cambria" w:hAnsi="Verdana" w:cs="Cambria"/>
          <w:color w:val="000000"/>
          <w:sz w:val="20"/>
          <w:szCs w:val="20"/>
          <w:u w:color="000000"/>
          <w:lang w:eastAsia="es-ES"/>
        </w:rPr>
        <w:t>declara</w:t>
      </w:r>
      <w:r w:rsidR="00E2432F" w:rsidRPr="006A0A3F">
        <w:rPr>
          <w:rFonts w:ascii="Verdana" w:eastAsia="Cambria" w:hAnsi="Verdana" w:cs="Cambria"/>
          <w:color w:val="000000"/>
          <w:sz w:val="20"/>
          <w:szCs w:val="20"/>
          <w:u w:color="000000"/>
          <w:lang w:eastAsia="es-ES"/>
        </w:rPr>
        <w:t xml:space="preserve"> que el Estado es responsable </w:t>
      </w:r>
      <w:r w:rsidR="00127CB8" w:rsidRPr="006A0A3F">
        <w:rPr>
          <w:rFonts w:ascii="Verdana" w:eastAsia="Cambria" w:hAnsi="Verdana" w:cs="Cambria"/>
          <w:color w:val="000000"/>
          <w:sz w:val="20"/>
          <w:szCs w:val="20"/>
          <w:u w:color="000000"/>
          <w:lang w:eastAsia="es-ES"/>
        </w:rPr>
        <w:t xml:space="preserve">por </w:t>
      </w:r>
      <w:r w:rsidR="00E2432F" w:rsidRPr="006A0A3F">
        <w:rPr>
          <w:rFonts w:ascii="Verdana" w:eastAsia="Cambria" w:hAnsi="Verdana" w:cs="Cambria"/>
          <w:color w:val="000000"/>
          <w:sz w:val="20"/>
          <w:szCs w:val="20"/>
          <w:u w:color="000000"/>
          <w:lang w:eastAsia="es-ES"/>
        </w:rPr>
        <w:t xml:space="preserve">la violación del </w:t>
      </w:r>
      <w:r w:rsidR="00E57EF1" w:rsidRPr="006A0A3F">
        <w:rPr>
          <w:rFonts w:ascii="Verdana" w:eastAsia="Cambria" w:hAnsi="Verdana" w:cs="Cambria"/>
          <w:color w:val="000000"/>
          <w:sz w:val="20"/>
          <w:szCs w:val="20"/>
          <w:u w:color="000000"/>
          <w:lang w:eastAsia="es-ES"/>
        </w:rPr>
        <w:t xml:space="preserve">derecho al trabajo, reconocido en el </w:t>
      </w:r>
      <w:r w:rsidR="00E2432F" w:rsidRPr="006A0A3F">
        <w:rPr>
          <w:rFonts w:ascii="Verdana" w:eastAsia="Cambria" w:hAnsi="Verdana" w:cs="Cambria"/>
          <w:color w:val="000000"/>
          <w:sz w:val="20"/>
          <w:szCs w:val="20"/>
          <w:u w:color="000000"/>
          <w:lang w:eastAsia="es-ES"/>
        </w:rPr>
        <w:t xml:space="preserve">artículo 26 de la Convención, en relación con </w:t>
      </w:r>
      <w:r w:rsidR="006B5B04" w:rsidRPr="006A0A3F">
        <w:rPr>
          <w:rFonts w:ascii="Verdana" w:eastAsia="Cambria" w:hAnsi="Verdana" w:cs="Cambria"/>
          <w:color w:val="000000"/>
          <w:sz w:val="20"/>
          <w:szCs w:val="20"/>
          <w:u w:color="000000"/>
          <w:lang w:eastAsia="es-ES"/>
        </w:rPr>
        <w:t xml:space="preserve">los derechos a la participación política, a la libertad de expresión y de acceso a la justicia, así como con el principio de no discriminación, </w:t>
      </w:r>
      <w:r w:rsidR="00092061">
        <w:rPr>
          <w:rFonts w:ascii="Verdana" w:eastAsia="Cambria" w:hAnsi="Verdana" w:cs="Cambria"/>
          <w:color w:val="000000"/>
          <w:sz w:val="20"/>
          <w:szCs w:val="20"/>
          <w:u w:color="000000"/>
          <w:lang w:eastAsia="es-ES"/>
        </w:rPr>
        <w:t>reconocidos en</w:t>
      </w:r>
      <w:r w:rsidR="006B5B04" w:rsidRPr="006A0A3F">
        <w:rPr>
          <w:rFonts w:ascii="Verdana" w:eastAsia="Cambria" w:hAnsi="Verdana" w:cs="Cambria"/>
          <w:color w:val="000000"/>
          <w:sz w:val="20"/>
          <w:szCs w:val="20"/>
          <w:u w:color="000000"/>
          <w:lang w:eastAsia="es-ES"/>
        </w:rPr>
        <w:t xml:space="preserve"> los </w:t>
      </w:r>
      <w:r w:rsidR="00E2432F" w:rsidRPr="006A0A3F">
        <w:rPr>
          <w:rFonts w:ascii="Verdana" w:eastAsia="Cambria" w:hAnsi="Verdana" w:cs="Cambria"/>
          <w:color w:val="000000"/>
          <w:sz w:val="20"/>
          <w:szCs w:val="20"/>
          <w:u w:color="000000"/>
          <w:lang w:eastAsia="es-ES"/>
        </w:rPr>
        <w:t>artículo</w:t>
      </w:r>
      <w:r w:rsidR="006B5B04" w:rsidRPr="006A0A3F">
        <w:rPr>
          <w:rFonts w:ascii="Verdana" w:eastAsia="Cambria" w:hAnsi="Verdana" w:cs="Cambria"/>
          <w:color w:val="000000"/>
          <w:sz w:val="20"/>
          <w:szCs w:val="20"/>
          <w:u w:color="000000"/>
          <w:lang w:eastAsia="es-ES"/>
        </w:rPr>
        <w:t>s</w:t>
      </w:r>
      <w:r w:rsidR="00E2432F" w:rsidRPr="006A0A3F">
        <w:rPr>
          <w:rFonts w:ascii="Verdana" w:eastAsia="Cambria" w:hAnsi="Verdana" w:cs="Cambria"/>
          <w:color w:val="000000"/>
          <w:sz w:val="20"/>
          <w:szCs w:val="20"/>
          <w:u w:color="000000"/>
          <w:lang w:eastAsia="es-ES"/>
        </w:rPr>
        <w:t xml:space="preserve"> </w:t>
      </w:r>
      <w:r w:rsidR="006B5B04" w:rsidRPr="006A0A3F">
        <w:rPr>
          <w:rFonts w:ascii="Verdana" w:eastAsia="Cambria" w:hAnsi="Verdana" w:cs="Cambria"/>
          <w:color w:val="000000"/>
          <w:sz w:val="20"/>
          <w:szCs w:val="20"/>
          <w:u w:color="000000"/>
          <w:lang w:eastAsia="es-ES"/>
        </w:rPr>
        <w:t xml:space="preserve">23.1, 13.1, 8.1, 25.1 y </w:t>
      </w:r>
      <w:r w:rsidR="00E2432F" w:rsidRPr="006A0A3F">
        <w:rPr>
          <w:rFonts w:ascii="Verdana" w:eastAsia="Cambria" w:hAnsi="Verdana" w:cs="Cambria"/>
          <w:color w:val="000000"/>
          <w:sz w:val="20"/>
          <w:szCs w:val="20"/>
          <w:u w:color="000000"/>
          <w:lang w:eastAsia="es-ES"/>
        </w:rPr>
        <w:t>1.1</w:t>
      </w:r>
      <w:r w:rsidR="006B5B04" w:rsidRPr="006A0A3F">
        <w:rPr>
          <w:rFonts w:ascii="Verdana" w:eastAsia="Cambria" w:hAnsi="Verdana" w:cs="Cambria"/>
          <w:color w:val="000000"/>
          <w:sz w:val="20"/>
          <w:szCs w:val="20"/>
          <w:u w:color="000000"/>
          <w:lang w:eastAsia="es-ES"/>
        </w:rPr>
        <w:t xml:space="preserve"> de aquel </w:t>
      </w:r>
      <w:r w:rsidR="00E2432F" w:rsidRPr="006A0A3F">
        <w:rPr>
          <w:rFonts w:ascii="Verdana" w:eastAsia="Cambria" w:hAnsi="Verdana" w:cs="Cambria"/>
          <w:color w:val="000000"/>
          <w:sz w:val="20"/>
          <w:szCs w:val="20"/>
          <w:u w:color="000000"/>
          <w:lang w:eastAsia="es-ES"/>
        </w:rPr>
        <w:t xml:space="preserve">instrumento, en </w:t>
      </w:r>
      <w:r w:rsidRPr="006A0A3F">
        <w:rPr>
          <w:rFonts w:ascii="Verdana" w:hAnsi="Verdana"/>
          <w:sz w:val="20"/>
          <w:szCs w:val="20"/>
        </w:rPr>
        <w:t xml:space="preserve">perjuicio </w:t>
      </w:r>
      <w:r w:rsidR="00127CB8" w:rsidRPr="006A0A3F">
        <w:rPr>
          <w:rFonts w:ascii="Verdana" w:hAnsi="Verdana"/>
          <w:sz w:val="20"/>
          <w:szCs w:val="20"/>
        </w:rPr>
        <w:t xml:space="preserve">de </w:t>
      </w:r>
      <w:r w:rsidRPr="006A0A3F">
        <w:rPr>
          <w:rFonts w:ascii="Verdana" w:hAnsi="Verdana"/>
          <w:sz w:val="20"/>
          <w:szCs w:val="20"/>
        </w:rPr>
        <w:t xml:space="preserve">Rocío San Miguel Sosa, </w:t>
      </w:r>
      <w:proofErr w:type="spellStart"/>
      <w:r w:rsidRPr="006A0A3F">
        <w:rPr>
          <w:rFonts w:ascii="Verdana" w:hAnsi="Verdana"/>
          <w:sz w:val="20"/>
          <w:szCs w:val="20"/>
        </w:rPr>
        <w:t>Magally</w:t>
      </w:r>
      <w:proofErr w:type="spellEnd"/>
      <w:r w:rsidRPr="006A0A3F">
        <w:rPr>
          <w:rFonts w:ascii="Verdana" w:hAnsi="Verdana"/>
          <w:sz w:val="20"/>
          <w:szCs w:val="20"/>
        </w:rPr>
        <w:t xml:space="preserve"> Chang Girón y Thais Coromoto Peña</w:t>
      </w:r>
      <w:r w:rsidRPr="006A0A3F">
        <w:rPr>
          <w:rFonts w:ascii="Verdana" w:eastAsia="Cambria" w:hAnsi="Verdana" w:cs="Cambria"/>
          <w:color w:val="000000"/>
          <w:sz w:val="20"/>
          <w:szCs w:val="20"/>
          <w:u w:color="000000"/>
          <w:lang w:eastAsia="es-ES"/>
        </w:rPr>
        <w:t>.</w:t>
      </w:r>
    </w:p>
    <w:p w14:paraId="77E65C86" w14:textId="77777777" w:rsidR="006A0A3F" w:rsidRDefault="006A0A3F" w:rsidP="006A0A3F">
      <w:pPr>
        <w:pBdr>
          <w:top w:val="nil"/>
        </w:pBdr>
        <w:autoSpaceDE w:val="0"/>
        <w:autoSpaceDN w:val="0"/>
        <w:adjustRightInd w:val="0"/>
        <w:spacing w:after="0" w:line="240" w:lineRule="auto"/>
        <w:jc w:val="both"/>
        <w:rPr>
          <w:rFonts w:ascii="Verdana" w:eastAsia="Times New Roman" w:hAnsi="Verdana" w:cs="Tahoma"/>
          <w:sz w:val="20"/>
          <w:szCs w:val="20"/>
        </w:rPr>
      </w:pPr>
    </w:p>
    <w:p w14:paraId="4DB3CC4F" w14:textId="77777777" w:rsidR="00EF11CF" w:rsidRPr="006A0A3F" w:rsidRDefault="00EF11CF" w:rsidP="006A0A3F">
      <w:pPr>
        <w:pBdr>
          <w:top w:val="nil"/>
        </w:pBdr>
        <w:autoSpaceDE w:val="0"/>
        <w:autoSpaceDN w:val="0"/>
        <w:adjustRightInd w:val="0"/>
        <w:spacing w:after="0" w:line="240" w:lineRule="auto"/>
        <w:jc w:val="both"/>
        <w:rPr>
          <w:rFonts w:ascii="Verdana" w:eastAsia="Times New Roman" w:hAnsi="Verdana" w:cs="Tahoma"/>
          <w:sz w:val="20"/>
          <w:szCs w:val="20"/>
        </w:rPr>
      </w:pPr>
    </w:p>
    <w:p w14:paraId="73670E6E" w14:textId="68693C49" w:rsidR="00AC20C5" w:rsidRPr="006A0A3F" w:rsidRDefault="00AC20C5" w:rsidP="00AC20C5">
      <w:pPr>
        <w:pStyle w:val="Heading1"/>
        <w:spacing w:before="0" w:after="0" w:line="240" w:lineRule="auto"/>
        <w:jc w:val="center"/>
        <w:rPr>
          <w:rFonts w:ascii="Verdana" w:hAnsi="Verdana" w:cs="Verdana"/>
          <w:b w:val="0"/>
          <w:bCs w:val="0"/>
          <w:caps/>
          <w:snapToGrid w:val="0"/>
          <w:sz w:val="20"/>
          <w:szCs w:val="20"/>
          <w:lang w:val="es-CR"/>
        </w:rPr>
      </w:pPr>
      <w:bookmarkStart w:id="45" w:name="_Toc476251464"/>
      <w:bookmarkStart w:id="46" w:name="_Toc505877004"/>
      <w:r w:rsidRPr="006A0A3F">
        <w:rPr>
          <w:rFonts w:ascii="Verdana" w:hAnsi="Verdana" w:cs="Verdana"/>
          <w:caps/>
          <w:snapToGrid w:val="0"/>
          <w:sz w:val="20"/>
          <w:szCs w:val="20"/>
          <w:lang w:val="es-CR" w:eastAsia="es-ES"/>
        </w:rPr>
        <w:lastRenderedPageBreak/>
        <w:t>VIII</w:t>
      </w:r>
      <w:r w:rsidRPr="006A0A3F">
        <w:rPr>
          <w:rFonts w:ascii="Verdana" w:hAnsi="Verdana" w:cs="Verdana"/>
          <w:caps/>
          <w:snapToGrid w:val="0"/>
          <w:sz w:val="20"/>
          <w:szCs w:val="20"/>
          <w:lang w:val="es-CR" w:eastAsia="es-ES"/>
        </w:rPr>
        <w:br/>
        <w:t>REPARACIONES</w:t>
      </w:r>
      <w:bookmarkEnd w:id="45"/>
      <w:bookmarkEnd w:id="46"/>
    </w:p>
    <w:p w14:paraId="53A198F9" w14:textId="26F158EC" w:rsidR="00AC20C5" w:rsidRPr="006A0A3F" w:rsidRDefault="00AC20C5" w:rsidP="00AC20C5">
      <w:pPr>
        <w:jc w:val="center"/>
        <w:rPr>
          <w:rFonts w:ascii="Verdana" w:hAnsi="Verdana"/>
          <w:b/>
          <w:smallCaps/>
          <w:snapToGrid w:val="0"/>
          <w:sz w:val="20"/>
          <w:lang w:eastAsia="es-ES"/>
        </w:rPr>
      </w:pPr>
      <w:r w:rsidRPr="006A0A3F">
        <w:rPr>
          <w:rFonts w:ascii="Verdana" w:hAnsi="Verdana" w:cs="Tahoma"/>
          <w:b/>
          <w:smallCaps/>
          <w:sz w:val="20"/>
        </w:rPr>
        <w:t xml:space="preserve"> (</w:t>
      </w:r>
      <w:r w:rsidRPr="006A0A3F">
        <w:rPr>
          <w:rFonts w:ascii="Verdana" w:hAnsi="Verdana"/>
          <w:b/>
          <w:smallCaps/>
          <w:snapToGrid w:val="0"/>
          <w:sz w:val="20"/>
          <w:lang w:eastAsia="es-ES"/>
        </w:rPr>
        <w:t>Aplicación del artículo 63.1 de la Convención Americana</w:t>
      </w:r>
      <w:r w:rsidR="007C51D0" w:rsidRPr="006A0A3F">
        <w:rPr>
          <w:rStyle w:val="FootnoteReference"/>
          <w:rFonts w:ascii="Verdana" w:hAnsi="Verdana"/>
          <w:bCs/>
          <w:spacing w:val="-2"/>
          <w:sz w:val="20"/>
          <w:szCs w:val="20"/>
        </w:rPr>
        <w:footnoteReference w:id="271"/>
      </w:r>
      <w:r w:rsidRPr="006A0A3F">
        <w:rPr>
          <w:rFonts w:ascii="Verdana" w:hAnsi="Verdana"/>
          <w:b/>
          <w:smallCaps/>
          <w:snapToGrid w:val="0"/>
          <w:sz w:val="20"/>
          <w:lang w:eastAsia="es-ES"/>
        </w:rPr>
        <w:t>)</w:t>
      </w:r>
    </w:p>
    <w:p w14:paraId="14FF0BC7" w14:textId="77777777" w:rsidR="00DC6019" w:rsidRPr="006A0A3F" w:rsidRDefault="00DC6019" w:rsidP="00946751">
      <w:pPr>
        <w:pBdr>
          <w:top w:val="nil"/>
        </w:pBdr>
        <w:autoSpaceDE w:val="0"/>
        <w:autoSpaceDN w:val="0"/>
        <w:adjustRightInd w:val="0"/>
        <w:spacing w:after="0" w:line="240" w:lineRule="auto"/>
        <w:jc w:val="both"/>
        <w:rPr>
          <w:rFonts w:ascii="Verdana" w:hAnsi="Verdana"/>
          <w:sz w:val="20"/>
        </w:rPr>
      </w:pPr>
    </w:p>
    <w:p w14:paraId="79765F4C" w14:textId="06207801" w:rsidR="00AC20C5" w:rsidRPr="006A0A3F" w:rsidRDefault="00AC20C5" w:rsidP="00946751">
      <w:pPr>
        <w:numPr>
          <w:ilvl w:val="0"/>
          <w:numId w:val="4"/>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6A0A3F">
        <w:rPr>
          <w:rFonts w:ascii="Verdana" w:hAnsi="Verdana"/>
          <w:sz w:val="20"/>
        </w:rPr>
        <w:t>Con base en lo dispuesto en el artículo 63.1 de la Convención Americana, la Corte ha indicado que toda violación</w:t>
      </w:r>
      <w:r w:rsidRPr="006A0A3F">
        <w:rPr>
          <w:rFonts w:ascii="Verdana" w:hAnsi="Verdana"/>
          <w:spacing w:val="-2"/>
          <w:sz w:val="20"/>
          <w:szCs w:val="20"/>
        </w:rPr>
        <w:t xml:space="preserve">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6A0A3F">
        <w:rPr>
          <w:rStyle w:val="FootnoteReference"/>
          <w:rFonts w:ascii="Verdana" w:hAnsi="Verdana"/>
          <w:spacing w:val="-2"/>
          <w:sz w:val="20"/>
          <w:szCs w:val="20"/>
        </w:rPr>
        <w:footnoteReference w:id="272"/>
      </w:r>
      <w:r w:rsidRPr="006A0A3F">
        <w:rPr>
          <w:rFonts w:ascii="Verdana" w:hAnsi="Verdana"/>
          <w:spacing w:val="-2"/>
          <w:sz w:val="20"/>
          <w:szCs w:val="20"/>
        </w:rPr>
        <w:t>.</w:t>
      </w:r>
    </w:p>
    <w:p w14:paraId="4D32D474" w14:textId="77777777" w:rsidR="00AC20C5" w:rsidRPr="006A0A3F" w:rsidRDefault="00AC20C5" w:rsidP="00946751">
      <w:pPr>
        <w:pBdr>
          <w:top w:val="nil"/>
        </w:pBdr>
        <w:autoSpaceDE w:val="0"/>
        <w:autoSpaceDN w:val="0"/>
        <w:adjustRightInd w:val="0"/>
        <w:spacing w:after="0" w:line="240" w:lineRule="auto"/>
        <w:jc w:val="both"/>
        <w:rPr>
          <w:rFonts w:ascii="Verdana" w:hAnsi="Verdana"/>
          <w:spacing w:val="-2"/>
          <w:sz w:val="20"/>
          <w:szCs w:val="20"/>
        </w:rPr>
      </w:pPr>
    </w:p>
    <w:p w14:paraId="7DCBB4E0" w14:textId="120655F5" w:rsidR="00946751" w:rsidRPr="006A0A3F" w:rsidRDefault="00E70E3A" w:rsidP="00946751">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pacing w:val="-2"/>
          <w:sz w:val="20"/>
          <w:szCs w:val="20"/>
        </w:rPr>
        <w:t>L</w:t>
      </w:r>
      <w:r w:rsidR="00946751" w:rsidRPr="006A0A3F">
        <w:rPr>
          <w:rFonts w:ascii="Verdana" w:hAnsi="Verdana"/>
          <w:spacing w:val="-2"/>
          <w:sz w:val="20"/>
          <w:szCs w:val="20"/>
        </w:rPr>
        <w:t>as reparaciones deben tener un nexo causal con los hechos del caso, las violaciones</w:t>
      </w:r>
      <w:r w:rsidR="00946751" w:rsidRPr="006A0A3F">
        <w:rPr>
          <w:rFonts w:ascii="Verdana" w:hAnsi="Verdana"/>
          <w:sz w:val="20"/>
          <w:szCs w:val="20"/>
          <w:lang w:bidi="en-US"/>
        </w:rPr>
        <w:t xml:space="preserve"> declaradas, los daños acreditados, así como con las medidas solicitadas para reparar l</w:t>
      </w:r>
      <w:r w:rsidR="00946751" w:rsidRPr="006A0A3F">
        <w:rPr>
          <w:rFonts w:ascii="Verdana" w:hAnsi="Verdana"/>
          <w:sz w:val="20"/>
          <w:szCs w:val="20"/>
        </w:rPr>
        <w:t>o</w:t>
      </w:r>
      <w:r w:rsidR="00946751" w:rsidRPr="006A0A3F">
        <w:rPr>
          <w:rFonts w:ascii="Verdana" w:hAnsi="Verdana"/>
          <w:sz w:val="20"/>
          <w:szCs w:val="20"/>
          <w:lang w:bidi="en-US"/>
        </w:rPr>
        <w:t>s daños respectivos, cuya concurrencia debe observar el Tribunal para pronunciarse debidamente y conforme a derecho</w:t>
      </w:r>
      <w:r w:rsidR="00946751" w:rsidRPr="006A0A3F">
        <w:rPr>
          <w:rFonts w:ascii="Verdana" w:hAnsi="Verdana"/>
          <w:sz w:val="20"/>
          <w:szCs w:val="20"/>
          <w:vertAlign w:val="superscript"/>
          <w:lang w:bidi="en-US"/>
        </w:rPr>
        <w:footnoteReference w:id="273"/>
      </w:r>
      <w:r w:rsidR="00946751" w:rsidRPr="006A0A3F">
        <w:rPr>
          <w:rFonts w:ascii="Verdana" w:hAnsi="Verdana"/>
          <w:sz w:val="20"/>
          <w:szCs w:val="20"/>
          <w:lang w:bidi="en-US"/>
        </w:rPr>
        <w:t>.</w:t>
      </w:r>
      <w:r w:rsidR="00946751" w:rsidRPr="006A0A3F">
        <w:rPr>
          <w:rFonts w:ascii="Verdana" w:hAnsi="Verdana"/>
          <w:sz w:val="20"/>
          <w:szCs w:val="20"/>
        </w:rPr>
        <w:t xml:space="preserve"> </w:t>
      </w:r>
    </w:p>
    <w:p w14:paraId="0AE6F522" w14:textId="77777777" w:rsidR="00946751" w:rsidRPr="006A0A3F" w:rsidRDefault="00946751" w:rsidP="00E70E3A">
      <w:pPr>
        <w:pBdr>
          <w:top w:val="nil"/>
        </w:pBdr>
        <w:autoSpaceDE w:val="0"/>
        <w:autoSpaceDN w:val="0"/>
        <w:adjustRightInd w:val="0"/>
        <w:spacing w:after="0" w:line="240" w:lineRule="auto"/>
        <w:jc w:val="both"/>
        <w:rPr>
          <w:rFonts w:ascii="Verdana" w:hAnsi="Verdana"/>
          <w:sz w:val="20"/>
          <w:szCs w:val="20"/>
          <w:lang w:bidi="en-US"/>
        </w:rPr>
      </w:pPr>
    </w:p>
    <w:p w14:paraId="5956C14A" w14:textId="23E587C6" w:rsidR="00946751" w:rsidRPr="006A0A3F" w:rsidRDefault="00946751" w:rsidP="00E70E3A">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lang w:bidi="en-US"/>
        </w:rPr>
        <w:t>La reparación del daño ocasionado por la infracción de una obligación internacional requiere, siempre</w:t>
      </w:r>
      <w:r w:rsidRPr="006A0A3F">
        <w:rPr>
          <w:rFonts w:ascii="Verdana" w:hAnsi="Verdana"/>
          <w:sz w:val="20"/>
          <w:szCs w:val="20"/>
        </w:rPr>
        <w:t xml:space="preserve"> que sea posible, la plena restitución</w:t>
      </w:r>
      <w:r w:rsidR="00E70E3A" w:rsidRPr="006A0A3F">
        <w:rPr>
          <w:rFonts w:ascii="Verdana" w:hAnsi="Verdana"/>
          <w:sz w:val="20"/>
          <w:szCs w:val="20"/>
        </w:rPr>
        <w:t xml:space="preserve"> </w:t>
      </w:r>
      <w:r w:rsidR="00E70E3A" w:rsidRPr="006A0A3F">
        <w:rPr>
          <w:rFonts w:ascii="Verdana" w:hAnsi="Verdana"/>
          <w:bCs/>
          <w:spacing w:val="-2"/>
          <w:sz w:val="20"/>
          <w:szCs w:val="20"/>
        </w:rPr>
        <w:t>(</w:t>
      </w:r>
      <w:proofErr w:type="spellStart"/>
      <w:r w:rsidR="00E70E3A" w:rsidRPr="006A0A3F">
        <w:rPr>
          <w:rFonts w:ascii="Verdana" w:hAnsi="Verdana"/>
          <w:bCs/>
          <w:i/>
          <w:spacing w:val="-2"/>
          <w:sz w:val="20"/>
          <w:szCs w:val="20"/>
        </w:rPr>
        <w:t>restitutio</w:t>
      </w:r>
      <w:proofErr w:type="spellEnd"/>
      <w:r w:rsidR="00E70E3A" w:rsidRPr="006A0A3F">
        <w:rPr>
          <w:rFonts w:ascii="Verdana" w:hAnsi="Verdana"/>
          <w:bCs/>
          <w:i/>
          <w:spacing w:val="-2"/>
          <w:sz w:val="20"/>
          <w:szCs w:val="20"/>
        </w:rPr>
        <w:t xml:space="preserve"> in </w:t>
      </w:r>
      <w:proofErr w:type="spellStart"/>
      <w:r w:rsidR="00E70E3A" w:rsidRPr="006A0A3F">
        <w:rPr>
          <w:rFonts w:ascii="Verdana" w:hAnsi="Verdana"/>
          <w:bCs/>
          <w:i/>
          <w:spacing w:val="-2"/>
          <w:sz w:val="20"/>
          <w:szCs w:val="20"/>
        </w:rPr>
        <w:t>integrum</w:t>
      </w:r>
      <w:proofErr w:type="spellEnd"/>
      <w:r w:rsidR="00E70E3A" w:rsidRPr="006A0A3F">
        <w:rPr>
          <w:rFonts w:ascii="Verdana" w:hAnsi="Verdana"/>
          <w:bCs/>
          <w:spacing w:val="-2"/>
          <w:sz w:val="20"/>
          <w:szCs w:val="20"/>
        </w:rPr>
        <w:t>)</w:t>
      </w:r>
      <w:r w:rsidRPr="006A0A3F">
        <w:rPr>
          <w:rFonts w:ascii="Verdana" w:hAnsi="Verdana"/>
          <w:sz w:val="20"/>
          <w:szCs w:val="20"/>
        </w:rPr>
        <w:t xml:space="preserve">, que consiste en el restablecimiento de la situación anterior. De no ser esto factible, </w:t>
      </w:r>
      <w:r w:rsidR="00E70E3A" w:rsidRPr="006A0A3F">
        <w:rPr>
          <w:rFonts w:ascii="Verdana" w:hAnsi="Verdana"/>
          <w:bCs/>
          <w:spacing w:val="-2"/>
          <w:sz w:val="20"/>
          <w:szCs w:val="20"/>
        </w:rPr>
        <w:t xml:space="preserve">como ocurre en la mayoría de los casos de violaciones a derechos humanos, </w:t>
      </w:r>
      <w:r w:rsidRPr="006A0A3F">
        <w:rPr>
          <w:rFonts w:ascii="Verdana" w:hAnsi="Verdana"/>
          <w:sz w:val="20"/>
          <w:szCs w:val="20"/>
        </w:rPr>
        <w:t xml:space="preserve">el Tribunal determinará </w:t>
      </w:r>
      <w:r w:rsidRPr="006A0A3F">
        <w:rPr>
          <w:rFonts w:ascii="Verdana" w:hAnsi="Verdana"/>
          <w:sz w:val="20"/>
          <w:szCs w:val="20"/>
          <w:lang w:bidi="en-US"/>
        </w:rPr>
        <w:t>medidas</w:t>
      </w:r>
      <w:r w:rsidRPr="006A0A3F">
        <w:rPr>
          <w:rFonts w:ascii="Verdana" w:hAnsi="Verdana"/>
          <w:sz w:val="20"/>
          <w:szCs w:val="20"/>
        </w:rPr>
        <w:t xml:space="preserve"> para garantizar los derechos conculcado</w:t>
      </w:r>
      <w:r w:rsidRPr="006A0A3F">
        <w:rPr>
          <w:rFonts w:ascii="Verdana" w:hAnsi="Verdana"/>
          <w:sz w:val="20"/>
          <w:szCs w:val="20"/>
          <w:lang w:bidi="en-US"/>
        </w:rPr>
        <w:t>s</w:t>
      </w:r>
      <w:r w:rsidRPr="006A0A3F">
        <w:rPr>
          <w:rFonts w:ascii="Verdana" w:hAnsi="Verdana"/>
          <w:sz w:val="20"/>
          <w:szCs w:val="20"/>
        </w:rPr>
        <w:t xml:space="preserve"> y reparar las consecuencias que las infracciones produjeron</w:t>
      </w:r>
      <w:r w:rsidRPr="006A0A3F">
        <w:rPr>
          <w:rFonts w:ascii="Verdana" w:eastAsia="MS Mincho" w:hAnsi="Verdana"/>
          <w:sz w:val="20"/>
          <w:szCs w:val="20"/>
          <w:vertAlign w:val="superscript"/>
        </w:rPr>
        <w:footnoteReference w:id="274"/>
      </w:r>
      <w:r w:rsidRPr="006A0A3F">
        <w:rPr>
          <w:rFonts w:ascii="Verdana" w:hAnsi="Verdana"/>
          <w:sz w:val="20"/>
          <w:szCs w:val="20"/>
        </w:rPr>
        <w:t xml:space="preserve">. </w:t>
      </w:r>
    </w:p>
    <w:p w14:paraId="4305BEB7" w14:textId="77777777" w:rsidR="00AC20C5" w:rsidRPr="006A0A3F" w:rsidRDefault="00AC20C5" w:rsidP="00E70E3A">
      <w:pPr>
        <w:pBdr>
          <w:top w:val="nil"/>
        </w:pBdr>
        <w:autoSpaceDE w:val="0"/>
        <w:autoSpaceDN w:val="0"/>
        <w:adjustRightInd w:val="0"/>
        <w:spacing w:after="0" w:line="240" w:lineRule="auto"/>
        <w:jc w:val="both"/>
        <w:rPr>
          <w:rFonts w:ascii="Verdana" w:hAnsi="Verdana"/>
          <w:bCs/>
          <w:spacing w:val="-2"/>
          <w:sz w:val="20"/>
          <w:szCs w:val="20"/>
        </w:rPr>
      </w:pPr>
    </w:p>
    <w:p w14:paraId="6057816F" w14:textId="4450E581" w:rsidR="00E70E3A" w:rsidRPr="006A0A3F" w:rsidRDefault="00E86169" w:rsidP="00E70E3A">
      <w:pPr>
        <w:numPr>
          <w:ilvl w:val="0"/>
          <w:numId w:val="4"/>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6A0A3F">
        <w:rPr>
          <w:rFonts w:ascii="Verdana" w:hAnsi="Verdana"/>
          <w:bCs/>
          <w:spacing w:val="-2"/>
          <w:sz w:val="20"/>
          <w:szCs w:val="20"/>
        </w:rPr>
        <w:t>El Estado</w:t>
      </w:r>
      <w:r w:rsidR="00E70E3A" w:rsidRPr="006A0A3F">
        <w:rPr>
          <w:rFonts w:ascii="Verdana" w:hAnsi="Verdana"/>
          <w:bCs/>
          <w:spacing w:val="-2"/>
          <w:sz w:val="20"/>
          <w:szCs w:val="20"/>
        </w:rPr>
        <w:t xml:space="preserve"> no presentó, salvo en unos aspectos </w:t>
      </w:r>
      <w:r w:rsidR="00C122AC" w:rsidRPr="006A0A3F">
        <w:rPr>
          <w:rFonts w:ascii="Verdana" w:hAnsi="Verdana"/>
          <w:bCs/>
          <w:spacing w:val="-2"/>
          <w:sz w:val="20"/>
          <w:szCs w:val="20"/>
        </w:rPr>
        <w:t>particulares</w:t>
      </w:r>
      <w:r w:rsidR="00E70E3A" w:rsidRPr="006A0A3F">
        <w:rPr>
          <w:rFonts w:ascii="Verdana" w:hAnsi="Verdana"/>
          <w:bCs/>
          <w:spacing w:val="-2"/>
          <w:sz w:val="20"/>
          <w:szCs w:val="20"/>
        </w:rPr>
        <w:t>, alegatos específicos sobre las pretensiones en materia de reparaciones. No obstante, a</w:t>
      </w:r>
      <w:r w:rsidRPr="006A0A3F">
        <w:rPr>
          <w:rFonts w:ascii="Verdana" w:hAnsi="Verdana"/>
          <w:bCs/>
          <w:spacing w:val="-2"/>
          <w:sz w:val="20"/>
          <w:szCs w:val="20"/>
        </w:rPr>
        <w:t xml:space="preserve">legó </w:t>
      </w:r>
      <w:r w:rsidR="00E70E3A" w:rsidRPr="006A0A3F">
        <w:rPr>
          <w:rFonts w:ascii="Verdana" w:hAnsi="Verdana"/>
          <w:bCs/>
          <w:spacing w:val="-2"/>
          <w:sz w:val="20"/>
          <w:szCs w:val="20"/>
        </w:rPr>
        <w:t xml:space="preserve">en términos generales </w:t>
      </w:r>
      <w:r w:rsidRPr="006A0A3F">
        <w:rPr>
          <w:rFonts w:ascii="Verdana" w:hAnsi="Verdana"/>
          <w:bCs/>
          <w:spacing w:val="-2"/>
          <w:sz w:val="20"/>
          <w:szCs w:val="20"/>
        </w:rPr>
        <w:t>que no</w:t>
      </w:r>
      <w:r w:rsidRPr="006A0A3F">
        <w:rPr>
          <w:rFonts w:ascii="Verdana" w:hAnsi="Verdana" w:cs="Times New Roman"/>
          <w:sz w:val="20"/>
          <w:szCs w:val="20"/>
          <w:lang w:bidi="en-US"/>
        </w:rPr>
        <w:t xml:space="preserve"> resulta procedente establecer reparación alguna a favor de las presuntas víctimas</w:t>
      </w:r>
      <w:r w:rsidR="00E70E3A" w:rsidRPr="006A0A3F">
        <w:rPr>
          <w:rFonts w:ascii="Verdana" w:hAnsi="Verdana" w:cs="Times New Roman"/>
          <w:sz w:val="20"/>
          <w:szCs w:val="20"/>
          <w:lang w:bidi="en-US"/>
        </w:rPr>
        <w:t>,</w:t>
      </w:r>
      <w:r w:rsidRPr="006A0A3F">
        <w:rPr>
          <w:rFonts w:ascii="Verdana" w:hAnsi="Verdana" w:cs="Times New Roman"/>
          <w:sz w:val="20"/>
          <w:szCs w:val="20"/>
          <w:lang w:bidi="en-US"/>
        </w:rPr>
        <w:t xml:space="preserve"> </w:t>
      </w:r>
      <w:r w:rsidR="00A30ED4" w:rsidRPr="006A0A3F">
        <w:rPr>
          <w:rFonts w:ascii="Verdana" w:hAnsi="Verdana" w:cs="Times New Roman"/>
          <w:sz w:val="20"/>
          <w:szCs w:val="20"/>
          <w:lang w:bidi="en-US"/>
        </w:rPr>
        <w:t xml:space="preserve">porque </w:t>
      </w:r>
      <w:r w:rsidRPr="006A0A3F">
        <w:rPr>
          <w:rFonts w:ascii="Verdana" w:hAnsi="Verdana" w:cs="Times New Roman"/>
          <w:sz w:val="20"/>
          <w:szCs w:val="20"/>
          <w:lang w:bidi="en-US"/>
        </w:rPr>
        <w:t xml:space="preserve">las violaciones </w:t>
      </w:r>
      <w:r w:rsidR="00E70E3A" w:rsidRPr="006A0A3F">
        <w:rPr>
          <w:rFonts w:ascii="Verdana" w:hAnsi="Verdana" w:cs="Times New Roman"/>
          <w:sz w:val="20"/>
          <w:szCs w:val="20"/>
          <w:lang w:bidi="en-US"/>
        </w:rPr>
        <w:t xml:space="preserve">de derechos </w:t>
      </w:r>
      <w:r w:rsidRPr="006A0A3F">
        <w:rPr>
          <w:rFonts w:ascii="Verdana" w:hAnsi="Verdana" w:cs="Times New Roman"/>
          <w:sz w:val="20"/>
          <w:szCs w:val="20"/>
          <w:lang w:bidi="en-US"/>
        </w:rPr>
        <w:t xml:space="preserve">alegadas por la Comisión y </w:t>
      </w:r>
      <w:r w:rsidR="00E70E3A" w:rsidRPr="006A0A3F">
        <w:rPr>
          <w:rFonts w:ascii="Verdana" w:hAnsi="Verdana" w:cs="Times New Roman"/>
          <w:sz w:val="20"/>
          <w:szCs w:val="20"/>
          <w:lang w:bidi="en-US"/>
        </w:rPr>
        <w:t xml:space="preserve">el representante no </w:t>
      </w:r>
      <w:r w:rsidRPr="006A0A3F">
        <w:rPr>
          <w:rFonts w:ascii="Verdana" w:hAnsi="Verdana" w:cs="Times New Roman"/>
          <w:sz w:val="20"/>
          <w:szCs w:val="20"/>
          <w:lang w:bidi="en-US"/>
        </w:rPr>
        <w:t>fueron debidamente probadas.</w:t>
      </w:r>
    </w:p>
    <w:p w14:paraId="5527DAA6" w14:textId="77777777" w:rsidR="00E70E3A" w:rsidRPr="006A0A3F" w:rsidRDefault="00E70E3A" w:rsidP="00E70E3A">
      <w:pPr>
        <w:pBdr>
          <w:top w:val="nil"/>
        </w:pBdr>
        <w:autoSpaceDE w:val="0"/>
        <w:autoSpaceDN w:val="0"/>
        <w:adjustRightInd w:val="0"/>
        <w:spacing w:after="0" w:line="240" w:lineRule="auto"/>
        <w:jc w:val="both"/>
        <w:rPr>
          <w:rFonts w:ascii="Verdana" w:hAnsi="Verdana" w:cs="Times New Roman"/>
          <w:sz w:val="20"/>
          <w:szCs w:val="20"/>
          <w:lang w:bidi="en-US"/>
        </w:rPr>
      </w:pPr>
    </w:p>
    <w:p w14:paraId="4E724FC4" w14:textId="016BD72E" w:rsidR="00AC20C5" w:rsidRPr="006A0A3F" w:rsidRDefault="00AC20C5" w:rsidP="00E70E3A">
      <w:pPr>
        <w:numPr>
          <w:ilvl w:val="0"/>
          <w:numId w:val="4"/>
        </w:numPr>
        <w:pBdr>
          <w:top w:val="nil"/>
        </w:pBdr>
        <w:autoSpaceDE w:val="0"/>
        <w:autoSpaceDN w:val="0"/>
        <w:adjustRightInd w:val="0"/>
        <w:spacing w:after="0" w:line="240" w:lineRule="auto"/>
        <w:ind w:left="0" w:firstLine="0"/>
        <w:jc w:val="both"/>
        <w:rPr>
          <w:rFonts w:ascii="Verdana" w:hAnsi="Verdana" w:cs="Times New Roman"/>
          <w:sz w:val="20"/>
          <w:szCs w:val="20"/>
          <w:lang w:bidi="en-US"/>
        </w:rPr>
      </w:pPr>
      <w:r w:rsidRPr="006A0A3F">
        <w:rPr>
          <w:rFonts w:ascii="Verdana" w:hAnsi="Verdana" w:cs="Times New Roman"/>
          <w:sz w:val="20"/>
          <w:szCs w:val="20"/>
          <w:lang w:bidi="en-US"/>
        </w:rPr>
        <w:t>En consideraci</w:t>
      </w:r>
      <w:r w:rsidRPr="006A0A3F">
        <w:rPr>
          <w:rFonts w:ascii="Verdana" w:hAnsi="Verdana"/>
          <w:spacing w:val="-2"/>
          <w:sz w:val="20"/>
          <w:szCs w:val="20"/>
        </w:rPr>
        <w:t>ón de l</w:t>
      </w:r>
      <w:r w:rsidR="00E70E3A" w:rsidRPr="006A0A3F">
        <w:rPr>
          <w:rFonts w:ascii="Verdana" w:hAnsi="Verdana"/>
          <w:spacing w:val="-2"/>
          <w:sz w:val="20"/>
          <w:szCs w:val="20"/>
        </w:rPr>
        <w:t xml:space="preserve">as violaciones declaradas en el </w:t>
      </w:r>
      <w:r w:rsidRPr="006A0A3F">
        <w:rPr>
          <w:rFonts w:ascii="Verdana" w:hAnsi="Verdana"/>
          <w:spacing w:val="-2"/>
          <w:sz w:val="20"/>
          <w:szCs w:val="20"/>
        </w:rPr>
        <w:t>capítulo anterior, el Tribunal procederá a analizar las pretensiones presentadas por la Comisión y los representantes de la víctima, así como los argumentos del Estado, a la luz de los criterios fijados en la jurisprudencia de la Corte en relación con la naturaleza y alcance de la obligación de reparar, con el objeto de disponer las medidas dirigidas a reparar los daños ocasionados a la</w:t>
      </w:r>
      <w:r w:rsidR="00C61250" w:rsidRPr="006A0A3F">
        <w:rPr>
          <w:rFonts w:ascii="Verdana" w:hAnsi="Verdana"/>
          <w:spacing w:val="-2"/>
          <w:sz w:val="20"/>
          <w:szCs w:val="20"/>
        </w:rPr>
        <w:t>s</w:t>
      </w:r>
      <w:r w:rsidRPr="006A0A3F">
        <w:rPr>
          <w:rFonts w:ascii="Verdana" w:hAnsi="Verdana"/>
          <w:spacing w:val="-2"/>
          <w:sz w:val="20"/>
          <w:szCs w:val="20"/>
        </w:rPr>
        <w:t xml:space="preserve"> víctima</w:t>
      </w:r>
      <w:r w:rsidR="00C61250" w:rsidRPr="006A0A3F">
        <w:rPr>
          <w:rFonts w:ascii="Verdana" w:hAnsi="Verdana"/>
          <w:spacing w:val="-2"/>
          <w:sz w:val="20"/>
          <w:szCs w:val="20"/>
        </w:rPr>
        <w:t>s</w:t>
      </w:r>
      <w:r w:rsidR="00035F47" w:rsidRPr="006A0A3F">
        <w:rPr>
          <w:rStyle w:val="FootnoteReference"/>
          <w:rFonts w:ascii="Verdana" w:hAnsi="Verdana"/>
          <w:spacing w:val="-2"/>
          <w:sz w:val="20"/>
          <w:szCs w:val="20"/>
        </w:rPr>
        <w:footnoteReference w:id="275"/>
      </w:r>
      <w:r w:rsidRPr="006A0A3F">
        <w:rPr>
          <w:rFonts w:ascii="Verdana" w:hAnsi="Verdana"/>
          <w:spacing w:val="-2"/>
          <w:sz w:val="20"/>
          <w:szCs w:val="20"/>
        </w:rPr>
        <w:t>.</w:t>
      </w:r>
    </w:p>
    <w:p w14:paraId="2BC00A3B" w14:textId="77777777" w:rsidR="00AC20C5" w:rsidRDefault="00AC20C5" w:rsidP="00AC20C5">
      <w:pPr>
        <w:autoSpaceDE w:val="0"/>
        <w:autoSpaceDN w:val="0"/>
        <w:adjustRightInd w:val="0"/>
        <w:spacing w:after="0" w:line="240" w:lineRule="auto"/>
        <w:ind w:right="49"/>
        <w:contextualSpacing/>
        <w:jc w:val="both"/>
        <w:rPr>
          <w:rFonts w:ascii="Verdana" w:hAnsi="Verdana" w:cs="Times New Roman"/>
          <w:sz w:val="20"/>
          <w:szCs w:val="20"/>
          <w:lang w:bidi="en-US"/>
        </w:rPr>
      </w:pPr>
    </w:p>
    <w:p w14:paraId="1E65BCAE" w14:textId="77777777" w:rsidR="00AE7BAC" w:rsidRPr="006A0A3F" w:rsidRDefault="00AE7BAC" w:rsidP="00AC20C5">
      <w:pPr>
        <w:autoSpaceDE w:val="0"/>
        <w:autoSpaceDN w:val="0"/>
        <w:adjustRightInd w:val="0"/>
        <w:spacing w:after="0" w:line="240" w:lineRule="auto"/>
        <w:ind w:right="49"/>
        <w:contextualSpacing/>
        <w:jc w:val="both"/>
        <w:rPr>
          <w:rFonts w:ascii="Verdana" w:hAnsi="Verdana" w:cs="Times New Roman"/>
          <w:sz w:val="20"/>
          <w:szCs w:val="20"/>
          <w:lang w:bidi="en-US"/>
        </w:rPr>
      </w:pPr>
    </w:p>
    <w:p w14:paraId="01553288" w14:textId="41423016" w:rsidR="00AC20C5" w:rsidRPr="006A0A3F" w:rsidRDefault="00AC20C5" w:rsidP="00AB56AF">
      <w:pPr>
        <w:pStyle w:val="Heading2"/>
        <w:numPr>
          <w:ilvl w:val="0"/>
          <w:numId w:val="15"/>
        </w:numPr>
        <w:rPr>
          <w:rFonts w:ascii="Verdana" w:hAnsi="Verdana"/>
          <w:i/>
          <w:sz w:val="20"/>
          <w:lang w:val="es-CR"/>
        </w:rPr>
      </w:pPr>
      <w:bookmarkStart w:id="47" w:name="_Toc476251465"/>
      <w:bookmarkStart w:id="48" w:name="_Toc505877005"/>
      <w:r w:rsidRPr="006A0A3F">
        <w:rPr>
          <w:rFonts w:ascii="Verdana" w:hAnsi="Verdana"/>
          <w:i/>
          <w:sz w:val="20"/>
          <w:lang w:val="es-CR"/>
        </w:rPr>
        <w:t>Parte lesionada</w:t>
      </w:r>
      <w:bookmarkEnd w:id="47"/>
      <w:bookmarkEnd w:id="48"/>
    </w:p>
    <w:p w14:paraId="3C804E9E" w14:textId="77777777" w:rsidR="00AC20C5" w:rsidRPr="006A0A3F" w:rsidRDefault="00AC20C5" w:rsidP="00E70E3A">
      <w:pPr>
        <w:pBdr>
          <w:top w:val="nil"/>
        </w:pBdr>
        <w:autoSpaceDE w:val="0"/>
        <w:autoSpaceDN w:val="0"/>
        <w:adjustRightInd w:val="0"/>
        <w:spacing w:after="0" w:line="240" w:lineRule="auto"/>
        <w:jc w:val="both"/>
        <w:rPr>
          <w:rFonts w:ascii="Verdana" w:hAnsi="Verdana"/>
          <w:spacing w:val="-2"/>
          <w:sz w:val="20"/>
          <w:szCs w:val="20"/>
        </w:rPr>
      </w:pPr>
    </w:p>
    <w:p w14:paraId="3A885A6E" w14:textId="0D94A2A1" w:rsidR="00E86169" w:rsidRPr="006A0A3F" w:rsidRDefault="00AC20C5" w:rsidP="00577D60">
      <w:pPr>
        <w:numPr>
          <w:ilvl w:val="0"/>
          <w:numId w:val="4"/>
        </w:numPr>
        <w:pBdr>
          <w:top w:val="nil"/>
        </w:pBdr>
        <w:autoSpaceDE w:val="0"/>
        <w:autoSpaceDN w:val="0"/>
        <w:adjustRightInd w:val="0"/>
        <w:spacing w:after="0" w:line="240" w:lineRule="auto"/>
        <w:ind w:left="0" w:firstLine="0"/>
        <w:jc w:val="both"/>
        <w:rPr>
          <w:rFonts w:ascii="Verdana" w:eastAsia="Calibri" w:hAnsi="Verdana" w:cs="Times New Roman"/>
          <w:sz w:val="20"/>
          <w:szCs w:val="20"/>
        </w:rPr>
      </w:pPr>
      <w:r w:rsidRPr="006A0A3F">
        <w:rPr>
          <w:rFonts w:ascii="Verdana" w:hAnsi="Verdana"/>
          <w:spacing w:val="-2"/>
          <w:sz w:val="20"/>
          <w:szCs w:val="20"/>
        </w:rPr>
        <w:t>El Tribunal</w:t>
      </w:r>
      <w:r w:rsidRPr="006A0A3F">
        <w:rPr>
          <w:rFonts w:ascii="Verdana" w:hAnsi="Verdana"/>
          <w:sz w:val="20"/>
          <w:szCs w:val="20"/>
        </w:rPr>
        <w:t xml:space="preserve"> </w:t>
      </w:r>
      <w:r w:rsidRPr="006A0A3F">
        <w:rPr>
          <w:rFonts w:ascii="Verdana" w:hAnsi="Verdana"/>
          <w:spacing w:val="-2"/>
          <w:sz w:val="20"/>
          <w:szCs w:val="20"/>
        </w:rPr>
        <w:t>considera</w:t>
      </w:r>
      <w:r w:rsidRPr="006A0A3F">
        <w:rPr>
          <w:rFonts w:ascii="Verdana" w:eastAsia="Calibri" w:hAnsi="Verdana" w:cs="Times New Roman"/>
          <w:sz w:val="20"/>
          <w:szCs w:val="20"/>
        </w:rPr>
        <w:t xml:space="preserve"> como “parte lesionada”</w:t>
      </w:r>
      <w:r w:rsidRPr="006A0A3F">
        <w:rPr>
          <w:rFonts w:ascii="Verdana" w:hAnsi="Verdana"/>
          <w:sz w:val="20"/>
          <w:szCs w:val="20"/>
        </w:rPr>
        <w:t xml:space="preserve">, en los términos del artículo 63.1 de la Convención, </w:t>
      </w:r>
      <w:r w:rsidRPr="006A0A3F">
        <w:rPr>
          <w:rFonts w:ascii="Verdana" w:eastAsia="Calibri" w:hAnsi="Verdana" w:cs="Times New Roman"/>
          <w:sz w:val="20"/>
          <w:szCs w:val="20"/>
        </w:rPr>
        <w:t>a</w:t>
      </w:r>
      <w:r w:rsidR="0017003B" w:rsidRPr="006A0A3F">
        <w:rPr>
          <w:rFonts w:ascii="Verdana" w:eastAsia="Calibri" w:hAnsi="Verdana" w:cs="Times New Roman"/>
          <w:sz w:val="20"/>
          <w:szCs w:val="20"/>
        </w:rPr>
        <w:t xml:space="preserve"> </w:t>
      </w:r>
      <w:r w:rsidR="00E70E3A" w:rsidRPr="006A0A3F">
        <w:rPr>
          <w:rFonts w:ascii="Verdana" w:eastAsia="Calibri" w:hAnsi="Verdana" w:cs="Times New Roman"/>
          <w:sz w:val="20"/>
          <w:szCs w:val="20"/>
        </w:rPr>
        <w:t xml:space="preserve">las señoras </w:t>
      </w:r>
      <w:r w:rsidR="0017003B" w:rsidRPr="006A0A3F">
        <w:rPr>
          <w:rFonts w:ascii="Verdana" w:hAnsi="Verdana"/>
          <w:spacing w:val="-2"/>
          <w:sz w:val="20"/>
          <w:szCs w:val="20"/>
        </w:rPr>
        <w:t xml:space="preserve">Rocío San Miguel Sosa, </w:t>
      </w:r>
      <w:proofErr w:type="spellStart"/>
      <w:r w:rsidR="0017003B" w:rsidRPr="006A0A3F">
        <w:rPr>
          <w:rFonts w:ascii="Verdana" w:hAnsi="Verdana"/>
          <w:spacing w:val="-2"/>
          <w:sz w:val="20"/>
          <w:szCs w:val="20"/>
        </w:rPr>
        <w:t>Magally</w:t>
      </w:r>
      <w:proofErr w:type="spellEnd"/>
      <w:r w:rsidR="0017003B" w:rsidRPr="006A0A3F">
        <w:rPr>
          <w:rFonts w:ascii="Verdana" w:hAnsi="Verdana"/>
          <w:spacing w:val="-2"/>
          <w:sz w:val="20"/>
          <w:szCs w:val="20"/>
        </w:rPr>
        <w:t xml:space="preserve"> Chang Girón y Thais Coromoto Peña</w:t>
      </w:r>
      <w:r w:rsidRPr="006A0A3F">
        <w:rPr>
          <w:rFonts w:ascii="Verdana" w:eastAsia="Calibri" w:hAnsi="Verdana" w:cs="Times New Roman"/>
          <w:sz w:val="20"/>
          <w:szCs w:val="20"/>
        </w:rPr>
        <w:t>.</w:t>
      </w:r>
      <w:bookmarkEnd w:id="0"/>
      <w:bookmarkEnd w:id="1"/>
    </w:p>
    <w:p w14:paraId="0B104469" w14:textId="77777777" w:rsidR="00E34234" w:rsidRPr="006A0A3F" w:rsidRDefault="00E34234" w:rsidP="00E86169">
      <w:pPr>
        <w:autoSpaceDE w:val="0"/>
        <w:autoSpaceDN w:val="0"/>
        <w:adjustRightInd w:val="0"/>
        <w:spacing w:after="0" w:line="240" w:lineRule="auto"/>
        <w:ind w:right="49"/>
        <w:contextualSpacing/>
        <w:jc w:val="both"/>
        <w:rPr>
          <w:rFonts w:ascii="Verdana" w:eastAsia="Calibri" w:hAnsi="Verdana" w:cs="Times New Roman"/>
          <w:sz w:val="20"/>
          <w:szCs w:val="20"/>
        </w:rPr>
      </w:pPr>
    </w:p>
    <w:p w14:paraId="53F5D361" w14:textId="77777777" w:rsidR="003A706B" w:rsidRPr="006A0A3F" w:rsidRDefault="003A706B" w:rsidP="003A706B">
      <w:pPr>
        <w:autoSpaceDE w:val="0"/>
        <w:autoSpaceDN w:val="0"/>
        <w:adjustRightInd w:val="0"/>
        <w:spacing w:after="0" w:line="240" w:lineRule="auto"/>
        <w:ind w:right="49"/>
        <w:contextualSpacing/>
        <w:jc w:val="both"/>
        <w:rPr>
          <w:rFonts w:ascii="Verdana" w:eastAsia="Calibri" w:hAnsi="Verdana" w:cs="Times New Roman"/>
          <w:sz w:val="20"/>
          <w:szCs w:val="20"/>
        </w:rPr>
      </w:pPr>
    </w:p>
    <w:p w14:paraId="18BB0044" w14:textId="77777777" w:rsidR="003A706B" w:rsidRPr="006A0A3F" w:rsidRDefault="003A706B" w:rsidP="003A706B">
      <w:pPr>
        <w:pStyle w:val="Heading2"/>
        <w:numPr>
          <w:ilvl w:val="0"/>
          <w:numId w:val="15"/>
        </w:numPr>
        <w:rPr>
          <w:rFonts w:ascii="Verdana" w:hAnsi="Verdana"/>
          <w:i/>
          <w:sz w:val="20"/>
          <w:lang w:val="es-CR"/>
        </w:rPr>
      </w:pPr>
      <w:bookmarkStart w:id="49" w:name="_Toc502316141"/>
      <w:bookmarkStart w:id="50" w:name="_Toc499306115"/>
      <w:bookmarkStart w:id="51" w:name="_Toc505877006"/>
      <w:r w:rsidRPr="006A0A3F">
        <w:rPr>
          <w:rFonts w:ascii="Verdana" w:hAnsi="Verdana"/>
          <w:i/>
          <w:sz w:val="20"/>
          <w:lang w:val="es-CR"/>
        </w:rPr>
        <w:lastRenderedPageBreak/>
        <w:t>Obligación de investigar</w:t>
      </w:r>
      <w:bookmarkEnd w:id="49"/>
      <w:bookmarkEnd w:id="50"/>
      <w:bookmarkEnd w:id="51"/>
      <w:r w:rsidRPr="006A0A3F">
        <w:rPr>
          <w:rFonts w:ascii="Verdana" w:hAnsi="Verdana"/>
          <w:i/>
          <w:sz w:val="20"/>
          <w:lang w:val="es-CR"/>
        </w:rPr>
        <w:t xml:space="preserve"> </w:t>
      </w:r>
    </w:p>
    <w:p w14:paraId="5905E3E1" w14:textId="77777777" w:rsidR="003A706B" w:rsidRPr="006A0A3F" w:rsidRDefault="003A706B" w:rsidP="003A706B">
      <w:pPr>
        <w:autoSpaceDE w:val="0"/>
        <w:autoSpaceDN w:val="0"/>
        <w:adjustRightInd w:val="0"/>
        <w:spacing w:after="0" w:line="240" w:lineRule="auto"/>
        <w:jc w:val="both"/>
        <w:rPr>
          <w:rFonts w:ascii="Verdana" w:hAnsi="Verdana"/>
          <w:spacing w:val="-2"/>
          <w:sz w:val="20"/>
          <w:szCs w:val="20"/>
        </w:rPr>
      </w:pPr>
    </w:p>
    <w:p w14:paraId="10553350" w14:textId="5354D332" w:rsidR="003A706B" w:rsidRPr="006A0A3F" w:rsidRDefault="003A706B" w:rsidP="003A706B">
      <w:pPr>
        <w:numPr>
          <w:ilvl w:val="0"/>
          <w:numId w:val="4"/>
        </w:numPr>
        <w:pBdr>
          <w:top w:val="nil"/>
        </w:pBdr>
        <w:autoSpaceDE w:val="0"/>
        <w:autoSpaceDN w:val="0"/>
        <w:adjustRightInd w:val="0"/>
        <w:spacing w:after="0" w:line="240" w:lineRule="auto"/>
        <w:ind w:left="0" w:firstLine="0"/>
        <w:jc w:val="both"/>
        <w:rPr>
          <w:rFonts w:ascii="Verdana" w:eastAsia="Calibri" w:hAnsi="Verdana" w:cs="Times New Roman"/>
          <w:sz w:val="20"/>
          <w:szCs w:val="20"/>
        </w:rPr>
      </w:pPr>
      <w:r w:rsidRPr="006A0A3F">
        <w:rPr>
          <w:rFonts w:ascii="Verdana" w:hAnsi="Verdana"/>
          <w:spacing w:val="-2"/>
          <w:sz w:val="20"/>
          <w:szCs w:val="20"/>
        </w:rPr>
        <w:t xml:space="preserve">La </w:t>
      </w:r>
      <w:r w:rsidRPr="006A0A3F">
        <w:rPr>
          <w:rFonts w:ascii="Verdana" w:hAnsi="Verdana"/>
          <w:b/>
          <w:sz w:val="20"/>
          <w:szCs w:val="20"/>
        </w:rPr>
        <w:t>Comisión</w:t>
      </w:r>
      <w:r w:rsidRPr="006A0A3F">
        <w:rPr>
          <w:rFonts w:ascii="Verdana" w:hAnsi="Verdana"/>
          <w:sz w:val="20"/>
          <w:szCs w:val="20"/>
        </w:rPr>
        <w:t xml:space="preserve"> solicitó a la Corte que ordene al Estado llevar a cabo los procedimientos penales, administrativos o de otra </w:t>
      </w:r>
      <w:r w:rsidRPr="006A0A3F">
        <w:rPr>
          <w:rFonts w:ascii="Verdana" w:eastAsia="Calibri" w:hAnsi="Verdana" w:cs="Times New Roman"/>
          <w:sz w:val="20"/>
          <w:szCs w:val="20"/>
        </w:rPr>
        <w:t>índole</w:t>
      </w:r>
      <w:r w:rsidRPr="006A0A3F">
        <w:rPr>
          <w:rFonts w:ascii="Verdana" w:hAnsi="Verdana"/>
          <w:sz w:val="20"/>
          <w:szCs w:val="20"/>
        </w:rPr>
        <w:t xml:space="preserve"> que correspondan, relacionados con las violaciones de derechos humanos declaradas, de manera imparcial, efectiva y dentro de un plazo razonable, con el objeto de esclarecer los hechos en forma completa y establecer las respectivas responsabilidades. </w:t>
      </w:r>
      <w:r w:rsidRPr="006A0A3F">
        <w:rPr>
          <w:rFonts w:ascii="Verdana" w:hAnsi="Verdana"/>
          <w:b/>
          <w:sz w:val="20"/>
          <w:szCs w:val="20"/>
        </w:rPr>
        <w:t>El representante</w:t>
      </w:r>
      <w:r w:rsidRPr="006A0A3F">
        <w:rPr>
          <w:rFonts w:ascii="Verdana" w:hAnsi="Verdana"/>
          <w:sz w:val="20"/>
          <w:szCs w:val="20"/>
        </w:rPr>
        <w:t xml:space="preserve"> hizo una solicitud similar a modo de garantía de no repetición</w:t>
      </w:r>
      <w:r w:rsidRPr="006A0A3F">
        <w:rPr>
          <w:rStyle w:val="FootnoteReference"/>
          <w:rFonts w:ascii="Verdana" w:hAnsi="Verdana"/>
          <w:sz w:val="20"/>
          <w:szCs w:val="20"/>
        </w:rPr>
        <w:footnoteReference w:id="276"/>
      </w:r>
      <w:r w:rsidRPr="006A0A3F">
        <w:rPr>
          <w:rFonts w:ascii="Verdana" w:hAnsi="Verdana"/>
          <w:sz w:val="20"/>
          <w:szCs w:val="20"/>
        </w:rPr>
        <w:t>.</w:t>
      </w:r>
    </w:p>
    <w:p w14:paraId="2F9E348B" w14:textId="77777777" w:rsidR="003A706B" w:rsidRPr="006A0A3F" w:rsidRDefault="003A706B" w:rsidP="003A706B">
      <w:pPr>
        <w:autoSpaceDE w:val="0"/>
        <w:autoSpaceDN w:val="0"/>
        <w:adjustRightInd w:val="0"/>
        <w:spacing w:after="0" w:line="240" w:lineRule="auto"/>
        <w:jc w:val="both"/>
        <w:rPr>
          <w:rFonts w:ascii="Verdana" w:hAnsi="Verdana"/>
          <w:sz w:val="20"/>
          <w:szCs w:val="20"/>
        </w:rPr>
      </w:pPr>
    </w:p>
    <w:p w14:paraId="63527FFA" w14:textId="77777777" w:rsidR="003A706B" w:rsidRPr="006A0A3F" w:rsidRDefault="003A706B" w:rsidP="003A706B">
      <w:pPr>
        <w:numPr>
          <w:ilvl w:val="0"/>
          <w:numId w:val="4"/>
        </w:numPr>
        <w:pBdr>
          <w:top w:val="nil"/>
        </w:pBdr>
        <w:autoSpaceDE w:val="0"/>
        <w:autoSpaceDN w:val="0"/>
        <w:adjustRightInd w:val="0"/>
        <w:spacing w:after="0" w:line="240" w:lineRule="auto"/>
        <w:ind w:left="0" w:firstLine="0"/>
        <w:jc w:val="both"/>
        <w:rPr>
          <w:rFonts w:ascii="Verdana" w:eastAsia="Calibri" w:hAnsi="Verdana" w:cs="Times New Roman"/>
          <w:sz w:val="20"/>
          <w:szCs w:val="20"/>
        </w:rPr>
      </w:pPr>
      <w:r w:rsidRPr="006A0A3F">
        <w:rPr>
          <w:rFonts w:ascii="Verdana" w:hAnsi="Verdana"/>
          <w:sz w:val="20"/>
          <w:szCs w:val="20"/>
        </w:rPr>
        <w:t>La</w:t>
      </w:r>
      <w:r w:rsidRPr="006A0A3F">
        <w:rPr>
          <w:rFonts w:ascii="Verdana" w:hAnsi="Verdana"/>
          <w:b/>
          <w:sz w:val="20"/>
          <w:szCs w:val="20"/>
        </w:rPr>
        <w:t xml:space="preserve"> Corte</w:t>
      </w:r>
      <w:r w:rsidRPr="006A0A3F">
        <w:rPr>
          <w:rFonts w:ascii="Verdana" w:hAnsi="Verdana"/>
          <w:sz w:val="20"/>
          <w:szCs w:val="20"/>
        </w:rPr>
        <w:t xml:space="preserve"> ha considerado que toda violación a los derechos humanos supone una cierta gravedad por su propia naturaleza, porque implica el incumplimiento de determinados deberes de respeto y garantía de los derechos y libertades a cargo del Estado en perjuicio de las personas</w:t>
      </w:r>
      <w:r w:rsidRPr="006A0A3F">
        <w:rPr>
          <w:rStyle w:val="FootnoteReference"/>
          <w:rFonts w:ascii="Verdana" w:hAnsi="Verdana"/>
          <w:sz w:val="20"/>
          <w:szCs w:val="20"/>
        </w:rPr>
        <w:footnoteReference w:id="277"/>
      </w:r>
      <w:r w:rsidRPr="006A0A3F">
        <w:rPr>
          <w:rFonts w:ascii="Verdana" w:hAnsi="Verdana"/>
          <w:sz w:val="20"/>
          <w:szCs w:val="20"/>
        </w:rPr>
        <w:t xml:space="preserve">. Sin embargo, </w:t>
      </w:r>
      <w:r w:rsidRPr="006A0A3F">
        <w:rPr>
          <w:rFonts w:ascii="Verdana" w:eastAsia="Calibri" w:hAnsi="Verdana" w:cs="Times New Roman"/>
          <w:sz w:val="20"/>
          <w:szCs w:val="20"/>
        </w:rPr>
        <w:t>ello</w:t>
      </w:r>
      <w:r w:rsidRPr="006A0A3F">
        <w:rPr>
          <w:rFonts w:ascii="Verdana" w:hAnsi="Verdana"/>
          <w:sz w:val="20"/>
          <w:szCs w:val="20"/>
        </w:rPr>
        <w:t xml:space="preserve"> no debe confundirse con lo que a lo largo de su jurisprudencia ha considerado como “violaciones graves a los derechos humanos”, las cuales tienen una connotación y consecuencias propias</w:t>
      </w:r>
      <w:r w:rsidRPr="006A0A3F">
        <w:rPr>
          <w:rStyle w:val="FootnoteReference"/>
          <w:rFonts w:ascii="Verdana" w:hAnsi="Verdana"/>
          <w:sz w:val="20"/>
          <w:szCs w:val="20"/>
        </w:rPr>
        <w:footnoteReference w:id="278"/>
      </w:r>
      <w:r w:rsidRPr="006A0A3F">
        <w:rPr>
          <w:rFonts w:ascii="Verdana" w:hAnsi="Verdana"/>
          <w:sz w:val="20"/>
          <w:szCs w:val="20"/>
        </w:rPr>
        <w:t>. Asimismo, resulta inadecuado pretender que, en todo caso que le sea sometido, por tratarse de violaciones de derechos humanos, automáticamente corresponde a la Corte ordenar al Estado que se investigue y, en su caso, procese y sancione a los responsables de determinados hechos. En cada caso corresponde valorar las circunstancias particulares de los hechos, los alcances de la responsabilidad del Estado y los efectos que a nivel interno tendría tal orden del Tribunal, particularmente si ello implica reabrir procesos internos que han llegado a decisiones definitivas o con carácter de cosa juzgada y no haya prueba o indicios de que estos resultados sean producto de la apariencia, el fraude o de una voluntad de perpetuar una situación de impunidad</w:t>
      </w:r>
      <w:r w:rsidRPr="006A0A3F">
        <w:rPr>
          <w:rStyle w:val="FootnoteReference"/>
          <w:rFonts w:ascii="Verdana" w:hAnsi="Verdana"/>
          <w:sz w:val="20"/>
          <w:szCs w:val="20"/>
        </w:rPr>
        <w:footnoteReference w:id="279"/>
      </w:r>
      <w:r w:rsidRPr="006A0A3F">
        <w:rPr>
          <w:rFonts w:ascii="Verdana" w:hAnsi="Verdana"/>
          <w:sz w:val="20"/>
          <w:szCs w:val="20"/>
        </w:rPr>
        <w:t>.</w:t>
      </w:r>
    </w:p>
    <w:p w14:paraId="6F047E99" w14:textId="77777777" w:rsidR="003A706B" w:rsidRPr="006A0A3F" w:rsidRDefault="003A706B" w:rsidP="003A706B">
      <w:pPr>
        <w:autoSpaceDE w:val="0"/>
        <w:autoSpaceDN w:val="0"/>
        <w:adjustRightInd w:val="0"/>
        <w:spacing w:after="0" w:line="240" w:lineRule="auto"/>
        <w:jc w:val="both"/>
        <w:rPr>
          <w:rFonts w:ascii="Verdana" w:hAnsi="Verdana"/>
          <w:sz w:val="20"/>
          <w:szCs w:val="20"/>
        </w:rPr>
      </w:pPr>
    </w:p>
    <w:p w14:paraId="1A799930" w14:textId="14A4EFA8" w:rsidR="003A706B" w:rsidRPr="006A0A3F" w:rsidRDefault="003A706B" w:rsidP="003A706B">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lo pertinente al presente caso, la Corte observa que si bien las presuntas víctimas  denunciaron los hechos como una “desviación de poder” y violación de derechos constitucionales, el Ministerio Público y los tribunales del Estado estimaron que el asunto debatido se ubicaba en el ámbito de una relación laboral y que, además, los hechos denunciados no revestían el carácter de delitos, decretando, consecuentemente, el </w:t>
      </w:r>
      <w:r w:rsidR="004137B6">
        <w:rPr>
          <w:rFonts w:ascii="Verdana" w:hAnsi="Verdana"/>
          <w:sz w:val="20"/>
          <w:szCs w:val="20"/>
        </w:rPr>
        <w:t>sobreseimiento correspondiente</w:t>
      </w:r>
      <w:r w:rsidRPr="006A0A3F">
        <w:rPr>
          <w:rFonts w:ascii="Verdana" w:hAnsi="Verdana"/>
          <w:sz w:val="20"/>
          <w:szCs w:val="20"/>
        </w:rPr>
        <w:t xml:space="preserve">. La Corte asimismo constata que, de esa forma, la jurisdicción nacional del Estado eludió referirse a lo reclamado en autos, optando, en cambio, por avalar, bajo el amparo de una aparente legalidad, que se empleara una relación laboral a fin de, en definitiva, sancionar a personas que prestaban sus servicios para el Estado por expresar su opinión política mediante su participación en la convocatoria de un referendo revocatorio. </w:t>
      </w:r>
    </w:p>
    <w:p w14:paraId="45F6859A" w14:textId="77777777" w:rsidR="003A706B" w:rsidRPr="006A0A3F" w:rsidRDefault="003A706B" w:rsidP="003A706B">
      <w:pPr>
        <w:autoSpaceDE w:val="0"/>
        <w:autoSpaceDN w:val="0"/>
        <w:adjustRightInd w:val="0"/>
        <w:spacing w:after="0" w:line="240" w:lineRule="auto"/>
        <w:jc w:val="both"/>
        <w:rPr>
          <w:rFonts w:ascii="Verdana" w:hAnsi="Verdana"/>
          <w:sz w:val="20"/>
          <w:szCs w:val="20"/>
        </w:rPr>
      </w:pPr>
    </w:p>
    <w:p w14:paraId="1D704382" w14:textId="757A5CE1" w:rsidR="003A706B" w:rsidRPr="006A0A3F" w:rsidRDefault="003A706B" w:rsidP="003A706B">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Al reiterar que no le corresponde determinar la relevancia penal de las conductas de los funcionarios que tuvieron participación en los hechos del presente caso, la Corte hace notar que la desviación de poder comprobada en autos no solo causó las violaciones de derechos declaradas y podría, en tanto tal, tener relevancia penal, disciplinaria o de otra índole</w:t>
      </w:r>
      <w:r w:rsidRPr="006A0A3F">
        <w:rPr>
          <w:rStyle w:val="FootnoteReference"/>
          <w:rFonts w:ascii="Verdana" w:hAnsi="Verdana"/>
          <w:sz w:val="20"/>
          <w:szCs w:val="20"/>
        </w:rPr>
        <w:footnoteReference w:id="280"/>
      </w:r>
      <w:r w:rsidRPr="006A0A3F">
        <w:rPr>
          <w:rFonts w:ascii="Verdana" w:hAnsi="Verdana"/>
          <w:sz w:val="20"/>
          <w:szCs w:val="20"/>
        </w:rPr>
        <w:t xml:space="preserve">, sino que ella no fue objeto, no obstante haber sido denunciada en tanto tal, de los procedimientos judiciales llevados a cabo en el Estado con relación a los hechos de la presente causa. De allí </w:t>
      </w:r>
      <w:r w:rsidRPr="006A0A3F">
        <w:rPr>
          <w:rFonts w:ascii="Verdana" w:hAnsi="Verdana"/>
          <w:sz w:val="20"/>
          <w:szCs w:val="20"/>
        </w:rPr>
        <w:lastRenderedPageBreak/>
        <w:t>que, en consecuencia, es procedente disponer que el Estado emprenda las investigaciones, en las vías que correspondan, para identificar y, en su caso, procesar y sancionar a los responsables de los hechos relevantes de la desviación de poder señalada en autos.</w:t>
      </w:r>
    </w:p>
    <w:p w14:paraId="59544C5C" w14:textId="77777777" w:rsidR="003A706B" w:rsidRPr="006A0A3F" w:rsidRDefault="003A706B" w:rsidP="00E86169">
      <w:pPr>
        <w:autoSpaceDE w:val="0"/>
        <w:autoSpaceDN w:val="0"/>
        <w:adjustRightInd w:val="0"/>
        <w:spacing w:after="0" w:line="240" w:lineRule="auto"/>
        <w:ind w:right="49"/>
        <w:contextualSpacing/>
        <w:jc w:val="both"/>
        <w:rPr>
          <w:rFonts w:ascii="Verdana" w:eastAsia="Calibri" w:hAnsi="Verdana" w:cs="Times New Roman"/>
          <w:sz w:val="20"/>
          <w:szCs w:val="20"/>
        </w:rPr>
      </w:pPr>
    </w:p>
    <w:p w14:paraId="4DA69793" w14:textId="77777777" w:rsidR="003A706B" w:rsidRPr="006A0A3F" w:rsidRDefault="003A706B" w:rsidP="00E86169">
      <w:pPr>
        <w:autoSpaceDE w:val="0"/>
        <w:autoSpaceDN w:val="0"/>
        <w:adjustRightInd w:val="0"/>
        <w:spacing w:after="0" w:line="240" w:lineRule="auto"/>
        <w:ind w:right="49"/>
        <w:contextualSpacing/>
        <w:jc w:val="both"/>
        <w:rPr>
          <w:rFonts w:ascii="Verdana" w:eastAsia="Calibri" w:hAnsi="Verdana" w:cs="Times New Roman"/>
          <w:sz w:val="20"/>
          <w:szCs w:val="20"/>
        </w:rPr>
      </w:pPr>
    </w:p>
    <w:p w14:paraId="660F3CFD" w14:textId="62D5335E" w:rsidR="00E86169" w:rsidRPr="006A0A3F" w:rsidRDefault="00BD3B9D" w:rsidP="00AB56AF">
      <w:pPr>
        <w:pStyle w:val="Heading2"/>
        <w:numPr>
          <w:ilvl w:val="0"/>
          <w:numId w:val="15"/>
        </w:numPr>
        <w:rPr>
          <w:rFonts w:ascii="Verdana" w:eastAsia="Calibri" w:hAnsi="Verdana"/>
          <w:i/>
          <w:sz w:val="20"/>
          <w:lang w:val="es-CR"/>
        </w:rPr>
      </w:pPr>
      <w:bookmarkStart w:id="52" w:name="_Toc476251466"/>
      <w:bookmarkStart w:id="53" w:name="_Toc505877007"/>
      <w:r w:rsidRPr="006A0A3F">
        <w:rPr>
          <w:rFonts w:ascii="Verdana" w:hAnsi="Verdana"/>
          <w:i/>
          <w:sz w:val="20"/>
          <w:lang w:val="es-CR"/>
        </w:rPr>
        <w:t>Medida</w:t>
      </w:r>
      <w:r w:rsidR="00E86169" w:rsidRPr="006A0A3F">
        <w:rPr>
          <w:rFonts w:ascii="Verdana" w:hAnsi="Verdana"/>
          <w:i/>
          <w:sz w:val="20"/>
          <w:lang w:val="es-CR"/>
        </w:rPr>
        <w:t xml:space="preserve"> de satisfacción</w:t>
      </w:r>
      <w:bookmarkEnd w:id="52"/>
      <w:bookmarkEnd w:id="53"/>
      <w:r w:rsidR="00E86169" w:rsidRPr="006A0A3F">
        <w:rPr>
          <w:rFonts w:ascii="Verdana" w:hAnsi="Verdana"/>
          <w:i/>
          <w:sz w:val="20"/>
          <w:lang w:val="es-CR"/>
        </w:rPr>
        <w:t xml:space="preserve"> </w:t>
      </w:r>
    </w:p>
    <w:p w14:paraId="71A3A1BB" w14:textId="77777777" w:rsidR="00E86169" w:rsidRPr="006A0A3F" w:rsidRDefault="00E86169" w:rsidP="00B0546D">
      <w:pPr>
        <w:pBdr>
          <w:top w:val="nil"/>
        </w:pBdr>
        <w:autoSpaceDE w:val="0"/>
        <w:autoSpaceDN w:val="0"/>
        <w:adjustRightInd w:val="0"/>
        <w:spacing w:after="0" w:line="240" w:lineRule="auto"/>
        <w:jc w:val="both"/>
        <w:rPr>
          <w:rFonts w:ascii="Verdana" w:hAnsi="Verdana"/>
          <w:sz w:val="20"/>
          <w:szCs w:val="20"/>
        </w:rPr>
      </w:pPr>
    </w:p>
    <w:p w14:paraId="39C4915F" w14:textId="2404EACA" w:rsidR="00E86169" w:rsidRPr="006A0A3F" w:rsidRDefault="00BD3B9D" w:rsidP="00431E22">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w:t>
      </w:r>
      <w:r w:rsidR="00431E22" w:rsidRPr="006A0A3F">
        <w:rPr>
          <w:rFonts w:ascii="Verdana" w:hAnsi="Verdana"/>
          <w:sz w:val="20"/>
        </w:rPr>
        <w:t>a</w:t>
      </w:r>
      <w:r w:rsidR="00E86169" w:rsidRPr="006A0A3F">
        <w:rPr>
          <w:rFonts w:ascii="Verdana" w:hAnsi="Verdana"/>
          <w:b/>
          <w:sz w:val="20"/>
        </w:rPr>
        <w:t xml:space="preserve"> </w:t>
      </w:r>
      <w:r w:rsidR="00E86169" w:rsidRPr="006A0A3F">
        <w:rPr>
          <w:rFonts w:ascii="Verdana" w:hAnsi="Verdana"/>
          <w:sz w:val="20"/>
        </w:rPr>
        <w:t>Corte dispone, como lo ha hecho en otros casos</w:t>
      </w:r>
      <w:r w:rsidR="00E86169" w:rsidRPr="006A0A3F">
        <w:rPr>
          <w:rStyle w:val="FootnoteReference"/>
          <w:rFonts w:ascii="Verdana" w:hAnsi="Verdana"/>
          <w:sz w:val="20"/>
        </w:rPr>
        <w:footnoteReference w:id="281"/>
      </w:r>
      <w:r w:rsidR="00E86169" w:rsidRPr="006A0A3F">
        <w:rPr>
          <w:rFonts w:ascii="Verdana" w:hAnsi="Verdana"/>
          <w:sz w:val="20"/>
        </w:rPr>
        <w:t xml:space="preserve">, que el Estado publique, en el plazo de seis meses, contado a partir de la notificación de la presente Sentencia: a) el resumen oficial de </w:t>
      </w:r>
      <w:r w:rsidR="00694A30" w:rsidRPr="006A0A3F">
        <w:rPr>
          <w:rFonts w:ascii="Verdana" w:hAnsi="Verdana"/>
          <w:sz w:val="20"/>
        </w:rPr>
        <w:t xml:space="preserve">esta </w:t>
      </w:r>
      <w:r w:rsidR="00E86169" w:rsidRPr="006A0A3F">
        <w:rPr>
          <w:rFonts w:ascii="Verdana" w:hAnsi="Verdana"/>
          <w:sz w:val="20"/>
        </w:rPr>
        <w:t xml:space="preserve">Sentencia elaborado por la Corte, por una sola vez, en el diario oficial en un tamaño de letra legible y adecuado; b) el resumen oficial de la presente Sentencia elaborado por la Corte, por una sola vez, en un diario de amplia circulación a nivel nacional en un tamaño de letra legible y adecuado; y c) la presente Sentencia en su integridad, disponible al menos por un período de un año, en un sitio </w:t>
      </w:r>
      <w:r w:rsidR="00E86169" w:rsidRPr="006A0A3F">
        <w:rPr>
          <w:rFonts w:ascii="Verdana" w:hAnsi="Verdana"/>
          <w:i/>
          <w:sz w:val="20"/>
        </w:rPr>
        <w:t>web</w:t>
      </w:r>
      <w:r w:rsidR="00E86169" w:rsidRPr="006A0A3F">
        <w:rPr>
          <w:rFonts w:ascii="Verdana" w:hAnsi="Verdana"/>
          <w:sz w:val="20"/>
        </w:rPr>
        <w:t xml:space="preserve"> oficial, de manera accesible al público</w:t>
      </w:r>
      <w:r w:rsidR="00BD75D0" w:rsidRPr="006A0A3F">
        <w:rPr>
          <w:rFonts w:ascii="Verdana" w:hAnsi="Verdana"/>
          <w:sz w:val="20"/>
        </w:rPr>
        <w:t xml:space="preserve"> </w:t>
      </w:r>
      <w:r w:rsidR="00BD75D0" w:rsidRPr="009F2D7D">
        <w:rPr>
          <w:rFonts w:ascii="Verdana" w:hAnsi="Verdana"/>
          <w:sz w:val="20"/>
          <w:szCs w:val="20"/>
        </w:rPr>
        <w:t>y desde la página de inicio del sitio web</w:t>
      </w:r>
      <w:r w:rsidR="00E86169" w:rsidRPr="009F2D7D">
        <w:rPr>
          <w:rFonts w:ascii="Verdana" w:hAnsi="Verdana"/>
          <w:sz w:val="20"/>
        </w:rPr>
        <w:t>.</w:t>
      </w:r>
    </w:p>
    <w:p w14:paraId="41584705" w14:textId="77777777" w:rsidR="008E2F8F" w:rsidRPr="006A0A3F" w:rsidRDefault="008E2F8F" w:rsidP="00BD75D0">
      <w:pPr>
        <w:pBdr>
          <w:top w:val="nil"/>
        </w:pBdr>
        <w:autoSpaceDE w:val="0"/>
        <w:autoSpaceDN w:val="0"/>
        <w:adjustRightInd w:val="0"/>
        <w:spacing w:after="0" w:line="240" w:lineRule="auto"/>
        <w:jc w:val="both"/>
        <w:rPr>
          <w:rFonts w:ascii="Verdana" w:hAnsi="Verdana"/>
          <w:sz w:val="20"/>
        </w:rPr>
      </w:pPr>
    </w:p>
    <w:p w14:paraId="21BDAF33" w14:textId="6EAD02CB" w:rsidR="00E86169" w:rsidRPr="006A0A3F" w:rsidRDefault="00E86169" w:rsidP="00BD75D0">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El Estado deberá informar de forma inmediata a este Tribunal una vez que proceda a realizar cada una de las publicaciones dispuestas, independientemente del plazo de un año para presentar su primer informe dispuesto en el punto resolutivo </w:t>
      </w:r>
      <w:r w:rsidR="0056488F" w:rsidRPr="006A0A3F">
        <w:rPr>
          <w:rFonts w:ascii="Verdana" w:hAnsi="Verdana"/>
          <w:sz w:val="20"/>
        </w:rPr>
        <w:t>14</w:t>
      </w:r>
      <w:r w:rsidRPr="006A0A3F">
        <w:rPr>
          <w:rFonts w:ascii="Verdana" w:hAnsi="Verdana"/>
          <w:sz w:val="20"/>
        </w:rPr>
        <w:t xml:space="preserve"> de la Sentencia</w:t>
      </w:r>
    </w:p>
    <w:p w14:paraId="259F8E83" w14:textId="77777777" w:rsidR="0035265A" w:rsidRPr="006A0A3F" w:rsidRDefault="0035265A" w:rsidP="0035265A">
      <w:pPr>
        <w:pBdr>
          <w:top w:val="nil"/>
        </w:pBdr>
        <w:autoSpaceDE w:val="0"/>
        <w:autoSpaceDN w:val="0"/>
        <w:adjustRightInd w:val="0"/>
        <w:spacing w:after="0" w:line="240" w:lineRule="auto"/>
        <w:jc w:val="both"/>
        <w:rPr>
          <w:rFonts w:ascii="Verdana" w:hAnsi="Verdana"/>
          <w:sz w:val="20"/>
          <w:szCs w:val="20"/>
        </w:rPr>
      </w:pPr>
    </w:p>
    <w:p w14:paraId="52A5AB94" w14:textId="77777777" w:rsidR="00E34234" w:rsidRPr="006A0A3F" w:rsidRDefault="00E34234" w:rsidP="0035265A">
      <w:pPr>
        <w:pBdr>
          <w:top w:val="nil"/>
        </w:pBdr>
        <w:autoSpaceDE w:val="0"/>
        <w:autoSpaceDN w:val="0"/>
        <w:adjustRightInd w:val="0"/>
        <w:spacing w:after="0" w:line="240" w:lineRule="auto"/>
        <w:jc w:val="both"/>
        <w:rPr>
          <w:rFonts w:ascii="Verdana" w:hAnsi="Verdana"/>
          <w:sz w:val="20"/>
          <w:szCs w:val="20"/>
        </w:rPr>
      </w:pPr>
    </w:p>
    <w:p w14:paraId="46C77F0F" w14:textId="77777777" w:rsidR="00E86169" w:rsidRPr="006A0A3F" w:rsidRDefault="00E86169" w:rsidP="00AB56AF">
      <w:pPr>
        <w:pStyle w:val="Heading2"/>
        <w:numPr>
          <w:ilvl w:val="0"/>
          <w:numId w:val="15"/>
        </w:numPr>
        <w:rPr>
          <w:rFonts w:ascii="Verdana" w:hAnsi="Verdana"/>
          <w:i/>
          <w:sz w:val="20"/>
          <w:lang w:val="es-CR"/>
        </w:rPr>
      </w:pPr>
      <w:bookmarkStart w:id="54" w:name="_Toc505877008"/>
      <w:r w:rsidRPr="006A0A3F">
        <w:rPr>
          <w:rFonts w:ascii="Verdana" w:hAnsi="Verdana"/>
          <w:i/>
          <w:sz w:val="20"/>
          <w:lang w:val="es-CR"/>
        </w:rPr>
        <w:t>Indemnizaciones compensatorias</w:t>
      </w:r>
      <w:bookmarkEnd w:id="54"/>
    </w:p>
    <w:p w14:paraId="6E624008" w14:textId="77777777" w:rsidR="00E86169" w:rsidRPr="006A0A3F" w:rsidRDefault="00E86169" w:rsidP="0035265A">
      <w:pPr>
        <w:pBdr>
          <w:top w:val="nil"/>
        </w:pBdr>
        <w:autoSpaceDE w:val="0"/>
        <w:autoSpaceDN w:val="0"/>
        <w:adjustRightInd w:val="0"/>
        <w:spacing w:after="0" w:line="240" w:lineRule="auto"/>
        <w:jc w:val="both"/>
        <w:rPr>
          <w:rFonts w:ascii="Verdana" w:hAnsi="Verdana"/>
          <w:sz w:val="20"/>
        </w:rPr>
      </w:pPr>
    </w:p>
    <w:p w14:paraId="7E6F3381" w14:textId="46D7AE05" w:rsidR="00E86169" w:rsidRPr="006A0A3F" w:rsidRDefault="0035265A" w:rsidP="00E86169">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La</w:t>
      </w:r>
      <w:r w:rsidRPr="006A0A3F">
        <w:rPr>
          <w:rFonts w:ascii="Verdana" w:hAnsi="Verdana"/>
          <w:b/>
          <w:sz w:val="20"/>
        </w:rPr>
        <w:t xml:space="preserve"> Comisión</w:t>
      </w:r>
      <w:r w:rsidRPr="006A0A3F">
        <w:rPr>
          <w:rFonts w:ascii="Verdana" w:hAnsi="Verdana"/>
          <w:sz w:val="20"/>
        </w:rPr>
        <w:t xml:space="preserve"> solicitó que se ordene al Estado </w:t>
      </w:r>
      <w:r w:rsidR="000868DF" w:rsidRPr="006A0A3F">
        <w:rPr>
          <w:rFonts w:ascii="Verdana" w:hAnsi="Verdana"/>
          <w:sz w:val="20"/>
        </w:rPr>
        <w:t>que repare</w:t>
      </w:r>
      <w:r w:rsidRPr="006A0A3F">
        <w:rPr>
          <w:rFonts w:ascii="Verdana" w:hAnsi="Verdana"/>
          <w:sz w:val="20"/>
        </w:rPr>
        <w:t xml:space="preserve"> adecuadamente </w:t>
      </w:r>
      <w:r w:rsidR="000868DF" w:rsidRPr="006A0A3F">
        <w:rPr>
          <w:rFonts w:ascii="Verdana" w:hAnsi="Verdana"/>
          <w:sz w:val="20"/>
        </w:rPr>
        <w:t>a las víctimas en los aspectos material y moral.</w:t>
      </w:r>
      <w:r w:rsidRPr="006A0A3F">
        <w:rPr>
          <w:rFonts w:ascii="Verdana" w:hAnsi="Verdana"/>
          <w:sz w:val="20"/>
        </w:rPr>
        <w:t xml:space="preserve"> </w:t>
      </w:r>
      <w:r w:rsidR="007247D3" w:rsidRPr="006A0A3F">
        <w:rPr>
          <w:rFonts w:ascii="Verdana" w:hAnsi="Verdana"/>
          <w:sz w:val="20"/>
        </w:rPr>
        <w:t xml:space="preserve">Además, </w:t>
      </w:r>
      <w:r w:rsidR="00C122AC" w:rsidRPr="006A0A3F">
        <w:rPr>
          <w:rFonts w:ascii="Verdana" w:hAnsi="Verdana"/>
          <w:sz w:val="20"/>
        </w:rPr>
        <w:t xml:space="preserve">la Comisión solicitó que, </w:t>
      </w:r>
      <w:r w:rsidR="007247D3" w:rsidRPr="006A0A3F">
        <w:rPr>
          <w:rFonts w:ascii="Verdana" w:hAnsi="Verdana"/>
          <w:sz w:val="20"/>
        </w:rPr>
        <w:t xml:space="preserve">en el supuesto </w:t>
      </w:r>
      <w:r w:rsidR="00A95680" w:rsidRPr="006A0A3F">
        <w:rPr>
          <w:rFonts w:ascii="Verdana" w:hAnsi="Verdana"/>
          <w:sz w:val="20"/>
        </w:rPr>
        <w:t>de</w:t>
      </w:r>
      <w:r w:rsidR="007247D3" w:rsidRPr="006A0A3F">
        <w:rPr>
          <w:rFonts w:ascii="Verdana" w:hAnsi="Verdana"/>
          <w:sz w:val="20"/>
        </w:rPr>
        <w:t xml:space="preserve"> que la reincorporación de las víctimas a la función pública no sea su voluntad o que existan razones objetivas que</w:t>
      </w:r>
      <w:r w:rsidR="00A95680" w:rsidRPr="006A0A3F">
        <w:rPr>
          <w:rFonts w:ascii="Verdana" w:hAnsi="Verdana"/>
          <w:sz w:val="20"/>
        </w:rPr>
        <w:t xml:space="preserve"> la</w:t>
      </w:r>
      <w:r w:rsidR="007247D3" w:rsidRPr="006A0A3F">
        <w:rPr>
          <w:rFonts w:ascii="Verdana" w:hAnsi="Verdana"/>
          <w:sz w:val="20"/>
        </w:rPr>
        <w:t xml:space="preserve"> impidan, </w:t>
      </w:r>
      <w:r w:rsidR="00A95680" w:rsidRPr="006A0A3F">
        <w:rPr>
          <w:rFonts w:ascii="Verdana" w:hAnsi="Verdana"/>
          <w:sz w:val="20"/>
        </w:rPr>
        <w:t>se ordene a</w:t>
      </w:r>
      <w:r w:rsidR="007247D3" w:rsidRPr="006A0A3F">
        <w:rPr>
          <w:rFonts w:ascii="Verdana" w:hAnsi="Verdana"/>
          <w:sz w:val="20"/>
        </w:rPr>
        <w:t xml:space="preserve">l Estado </w:t>
      </w:r>
      <w:r w:rsidR="00A95680" w:rsidRPr="006A0A3F">
        <w:rPr>
          <w:rFonts w:ascii="Verdana" w:hAnsi="Verdana"/>
          <w:sz w:val="20"/>
        </w:rPr>
        <w:t xml:space="preserve">pagar </w:t>
      </w:r>
      <w:r w:rsidR="007247D3" w:rsidRPr="006A0A3F">
        <w:rPr>
          <w:rFonts w:ascii="Verdana" w:hAnsi="Verdana"/>
          <w:sz w:val="20"/>
        </w:rPr>
        <w:t>una indemnización por este motivo independiente de las reparaciones relativas al daño material y moral</w:t>
      </w:r>
      <w:r w:rsidR="00A95680" w:rsidRPr="006A0A3F">
        <w:rPr>
          <w:rFonts w:ascii="Verdana" w:hAnsi="Verdana"/>
          <w:sz w:val="20"/>
        </w:rPr>
        <w:t xml:space="preserve">. </w:t>
      </w:r>
      <w:r w:rsidR="007247D3" w:rsidRPr="006A0A3F">
        <w:rPr>
          <w:rFonts w:ascii="Verdana" w:hAnsi="Verdana"/>
          <w:sz w:val="20"/>
        </w:rPr>
        <w:t>Por su parte, e</w:t>
      </w:r>
      <w:r w:rsidR="00E86169" w:rsidRPr="006A0A3F">
        <w:rPr>
          <w:rFonts w:ascii="Verdana" w:hAnsi="Verdana"/>
          <w:sz w:val="20"/>
        </w:rPr>
        <w:t>l</w:t>
      </w:r>
      <w:r w:rsidRPr="006A0A3F">
        <w:rPr>
          <w:rFonts w:ascii="Verdana" w:hAnsi="Verdana"/>
          <w:b/>
          <w:sz w:val="20"/>
        </w:rPr>
        <w:t xml:space="preserve"> r</w:t>
      </w:r>
      <w:r w:rsidR="00E86169" w:rsidRPr="006A0A3F">
        <w:rPr>
          <w:rFonts w:ascii="Verdana" w:hAnsi="Verdana"/>
          <w:b/>
          <w:sz w:val="20"/>
        </w:rPr>
        <w:t>epresentante</w:t>
      </w:r>
      <w:r w:rsidR="00E86169" w:rsidRPr="006A0A3F">
        <w:rPr>
          <w:rFonts w:ascii="Verdana" w:hAnsi="Verdana"/>
          <w:sz w:val="20"/>
        </w:rPr>
        <w:t xml:space="preserve"> solicitó </w:t>
      </w:r>
      <w:r w:rsidR="000868DF" w:rsidRPr="006A0A3F">
        <w:rPr>
          <w:rFonts w:ascii="Verdana" w:hAnsi="Verdana"/>
          <w:sz w:val="20"/>
        </w:rPr>
        <w:t>indemnizaciones</w:t>
      </w:r>
      <w:r w:rsidR="00E86169" w:rsidRPr="006A0A3F">
        <w:rPr>
          <w:rFonts w:ascii="Verdana" w:hAnsi="Verdana"/>
          <w:sz w:val="20"/>
        </w:rPr>
        <w:t xml:space="preserve"> por</w:t>
      </w:r>
      <w:r w:rsidR="000868DF" w:rsidRPr="006A0A3F">
        <w:rPr>
          <w:rFonts w:ascii="Verdana" w:hAnsi="Verdana"/>
          <w:sz w:val="20"/>
        </w:rPr>
        <w:t xml:space="preserve"> </w:t>
      </w:r>
      <w:r w:rsidR="00E86169" w:rsidRPr="006A0A3F">
        <w:rPr>
          <w:rFonts w:ascii="Verdana" w:hAnsi="Verdana"/>
          <w:sz w:val="20"/>
        </w:rPr>
        <w:t>con</w:t>
      </w:r>
      <w:r w:rsidR="000868DF" w:rsidRPr="006A0A3F">
        <w:rPr>
          <w:rFonts w:ascii="Verdana" w:hAnsi="Verdana"/>
          <w:sz w:val="20"/>
        </w:rPr>
        <w:t xml:space="preserve">cepto de: a) daños “patrimoniales”, que definió como la </w:t>
      </w:r>
      <w:r w:rsidR="00E86169" w:rsidRPr="006A0A3F">
        <w:rPr>
          <w:rFonts w:ascii="Verdana" w:hAnsi="Verdana"/>
          <w:sz w:val="20"/>
        </w:rPr>
        <w:t>pérdida de ingresos</w:t>
      </w:r>
      <w:r w:rsidR="000868DF" w:rsidRPr="006A0A3F">
        <w:rPr>
          <w:rStyle w:val="FootnoteReference"/>
          <w:rFonts w:ascii="Verdana" w:hAnsi="Verdana"/>
          <w:sz w:val="20"/>
        </w:rPr>
        <w:footnoteReference w:id="282"/>
      </w:r>
      <w:r w:rsidR="000868DF" w:rsidRPr="006A0A3F">
        <w:rPr>
          <w:rFonts w:ascii="Verdana" w:hAnsi="Verdana"/>
          <w:sz w:val="20"/>
        </w:rPr>
        <w:t xml:space="preserve"> </w:t>
      </w:r>
      <w:r w:rsidR="00E86169" w:rsidRPr="006A0A3F">
        <w:rPr>
          <w:rFonts w:ascii="Verdana" w:hAnsi="Verdana"/>
          <w:sz w:val="20"/>
        </w:rPr>
        <w:t>y</w:t>
      </w:r>
      <w:r w:rsidR="000868DF" w:rsidRPr="006A0A3F">
        <w:rPr>
          <w:rFonts w:ascii="Verdana" w:hAnsi="Verdana"/>
          <w:sz w:val="20"/>
        </w:rPr>
        <w:t xml:space="preserve"> como “</w:t>
      </w:r>
      <w:r w:rsidR="00E86169" w:rsidRPr="006A0A3F">
        <w:rPr>
          <w:rFonts w:ascii="Verdana" w:hAnsi="Verdana"/>
          <w:sz w:val="20"/>
        </w:rPr>
        <w:t>daño patrimonial familiar</w:t>
      </w:r>
      <w:r w:rsidR="000868DF" w:rsidRPr="006A0A3F">
        <w:rPr>
          <w:rFonts w:ascii="Verdana" w:hAnsi="Verdana"/>
          <w:sz w:val="20"/>
        </w:rPr>
        <w:t>”</w:t>
      </w:r>
      <w:r w:rsidR="000868DF" w:rsidRPr="006A0A3F">
        <w:rPr>
          <w:rStyle w:val="FootnoteReference"/>
          <w:rFonts w:ascii="Verdana" w:hAnsi="Verdana"/>
          <w:sz w:val="20"/>
        </w:rPr>
        <w:footnoteReference w:id="283"/>
      </w:r>
      <w:r w:rsidR="00B22274" w:rsidRPr="006A0A3F">
        <w:rPr>
          <w:rFonts w:ascii="Verdana" w:hAnsi="Verdana"/>
          <w:sz w:val="20"/>
        </w:rPr>
        <w:t>; b)</w:t>
      </w:r>
      <w:r w:rsidR="00E86169" w:rsidRPr="006A0A3F">
        <w:rPr>
          <w:rFonts w:ascii="Verdana" w:hAnsi="Verdana"/>
          <w:sz w:val="20"/>
        </w:rPr>
        <w:t xml:space="preserve"> daños inmateriales</w:t>
      </w:r>
      <w:r w:rsidR="00B22274" w:rsidRPr="006A0A3F">
        <w:rPr>
          <w:rStyle w:val="FootnoteReference"/>
          <w:rFonts w:ascii="Verdana" w:hAnsi="Verdana"/>
          <w:sz w:val="20"/>
        </w:rPr>
        <w:footnoteReference w:id="284"/>
      </w:r>
      <w:r w:rsidR="00B22274" w:rsidRPr="006A0A3F">
        <w:rPr>
          <w:rFonts w:ascii="Verdana" w:hAnsi="Verdana"/>
          <w:sz w:val="20"/>
        </w:rPr>
        <w:t>;</w:t>
      </w:r>
      <w:r w:rsidR="00E86169" w:rsidRPr="006A0A3F">
        <w:rPr>
          <w:rFonts w:ascii="Verdana" w:hAnsi="Verdana"/>
          <w:sz w:val="20"/>
        </w:rPr>
        <w:t xml:space="preserve"> y</w:t>
      </w:r>
      <w:r w:rsidR="00B22274" w:rsidRPr="006A0A3F">
        <w:rPr>
          <w:rFonts w:ascii="Verdana" w:hAnsi="Verdana"/>
          <w:sz w:val="20"/>
        </w:rPr>
        <w:t xml:space="preserve"> c)</w:t>
      </w:r>
      <w:r w:rsidR="00E86169" w:rsidRPr="006A0A3F">
        <w:rPr>
          <w:rFonts w:ascii="Verdana" w:hAnsi="Verdana"/>
          <w:sz w:val="20"/>
        </w:rPr>
        <w:t xml:space="preserve"> daño</w:t>
      </w:r>
      <w:r w:rsidR="00B22274" w:rsidRPr="006A0A3F">
        <w:rPr>
          <w:rFonts w:ascii="Verdana" w:hAnsi="Verdana"/>
          <w:sz w:val="20"/>
        </w:rPr>
        <w:t xml:space="preserve"> al proyecto de vida</w:t>
      </w:r>
      <w:r w:rsidR="006B7048" w:rsidRPr="006A0A3F">
        <w:rPr>
          <w:rStyle w:val="FootnoteReference"/>
          <w:rFonts w:ascii="Verdana" w:hAnsi="Verdana"/>
          <w:sz w:val="20"/>
        </w:rPr>
        <w:footnoteReference w:id="285"/>
      </w:r>
      <w:r w:rsidR="00B22274" w:rsidRPr="006A0A3F">
        <w:rPr>
          <w:rFonts w:ascii="Verdana" w:hAnsi="Verdana"/>
          <w:sz w:val="20"/>
        </w:rPr>
        <w:t>.</w:t>
      </w:r>
      <w:r w:rsidR="007247D3" w:rsidRPr="006A0A3F">
        <w:rPr>
          <w:rFonts w:ascii="Verdana" w:hAnsi="Verdana"/>
          <w:sz w:val="20"/>
        </w:rPr>
        <w:t xml:space="preserve"> </w:t>
      </w:r>
    </w:p>
    <w:p w14:paraId="7E99101C" w14:textId="77777777" w:rsidR="006B7048" w:rsidRPr="006A0A3F" w:rsidRDefault="006B7048" w:rsidP="006B7048">
      <w:pPr>
        <w:pBdr>
          <w:top w:val="nil"/>
        </w:pBdr>
        <w:autoSpaceDE w:val="0"/>
        <w:autoSpaceDN w:val="0"/>
        <w:adjustRightInd w:val="0"/>
        <w:spacing w:after="0" w:line="240" w:lineRule="auto"/>
        <w:jc w:val="both"/>
        <w:rPr>
          <w:rFonts w:ascii="Verdana" w:hAnsi="Verdana"/>
          <w:sz w:val="20"/>
        </w:rPr>
      </w:pPr>
    </w:p>
    <w:p w14:paraId="0A88B523" w14:textId="676D3778" w:rsidR="006B7048" w:rsidRPr="006A0A3F" w:rsidRDefault="00AA2698" w:rsidP="006B7048">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szCs w:val="20"/>
        </w:rPr>
        <w:lastRenderedPageBreak/>
        <w:t xml:space="preserve">La </w:t>
      </w:r>
      <w:r w:rsidRPr="006A0A3F">
        <w:rPr>
          <w:rFonts w:ascii="Verdana" w:hAnsi="Verdana"/>
          <w:b/>
          <w:sz w:val="20"/>
          <w:szCs w:val="20"/>
        </w:rPr>
        <w:t>Corte</w:t>
      </w:r>
      <w:r w:rsidRPr="006A0A3F">
        <w:rPr>
          <w:rFonts w:ascii="Verdana" w:hAnsi="Verdana"/>
          <w:sz w:val="20"/>
          <w:szCs w:val="20"/>
        </w:rPr>
        <w:t xml:space="preserve"> ha desarrollado el concepto de daño material</w:t>
      </w:r>
      <w:r w:rsidRPr="006A0A3F">
        <w:rPr>
          <w:rFonts w:ascii="Verdana" w:hAnsi="Verdana"/>
          <w:sz w:val="20"/>
          <w:szCs w:val="20"/>
          <w:vertAlign w:val="superscript"/>
        </w:rPr>
        <w:footnoteReference w:id="286"/>
      </w:r>
      <w:r w:rsidRPr="006A0A3F">
        <w:rPr>
          <w:rFonts w:ascii="Verdana" w:hAnsi="Verdana"/>
          <w:sz w:val="20"/>
          <w:szCs w:val="20"/>
        </w:rPr>
        <w:t xml:space="preserve"> y los supuestos en </w:t>
      </w:r>
      <w:r w:rsidRPr="006A0A3F">
        <w:rPr>
          <w:rFonts w:ascii="Verdana" w:eastAsia="Times New Roman" w:hAnsi="Verdana"/>
          <w:sz w:val="20"/>
          <w:szCs w:val="20"/>
        </w:rPr>
        <w:t>que</w:t>
      </w:r>
      <w:r w:rsidR="00252507" w:rsidRPr="006A0A3F">
        <w:rPr>
          <w:rFonts w:ascii="Verdana" w:hAnsi="Verdana"/>
          <w:sz w:val="20"/>
          <w:szCs w:val="20"/>
        </w:rPr>
        <w:t xml:space="preserve"> corresponde indemnizarlo</w:t>
      </w:r>
      <w:r w:rsidRPr="006A0A3F">
        <w:rPr>
          <w:rFonts w:ascii="Verdana" w:hAnsi="Verdana"/>
          <w:sz w:val="20"/>
          <w:szCs w:val="20"/>
        </w:rPr>
        <w:t>.</w:t>
      </w:r>
      <w:r w:rsidR="007247D3" w:rsidRPr="006A0A3F">
        <w:rPr>
          <w:rFonts w:ascii="Verdana" w:hAnsi="Verdana"/>
          <w:sz w:val="20"/>
          <w:szCs w:val="20"/>
        </w:rPr>
        <w:t xml:space="preserve"> </w:t>
      </w:r>
    </w:p>
    <w:p w14:paraId="3999B344" w14:textId="77777777" w:rsidR="006B7048" w:rsidRPr="006A0A3F" w:rsidRDefault="006B7048" w:rsidP="006B7048">
      <w:pPr>
        <w:pStyle w:val="ListParagraph"/>
        <w:rPr>
          <w:rFonts w:ascii="Verdana" w:hAnsi="Verdana"/>
          <w:sz w:val="20"/>
          <w:lang w:val="es-CR"/>
        </w:rPr>
      </w:pPr>
    </w:p>
    <w:p w14:paraId="105DD17B" w14:textId="01A812C2" w:rsidR="00A94035" w:rsidRPr="006A0A3F" w:rsidRDefault="006B7048" w:rsidP="006B7048">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En </w:t>
      </w:r>
      <w:r w:rsidR="006E5028" w:rsidRPr="006A0A3F">
        <w:rPr>
          <w:rFonts w:ascii="Verdana" w:hAnsi="Verdana"/>
          <w:sz w:val="20"/>
        </w:rPr>
        <w:t>particular, respecto de</w:t>
      </w:r>
      <w:r w:rsidRPr="006A0A3F">
        <w:rPr>
          <w:rFonts w:ascii="Verdana" w:hAnsi="Verdana"/>
          <w:sz w:val="20"/>
        </w:rPr>
        <w:t xml:space="preserve">l daño material </w:t>
      </w:r>
      <w:r w:rsidR="006E5028" w:rsidRPr="006A0A3F">
        <w:rPr>
          <w:rFonts w:ascii="Verdana" w:hAnsi="Verdana"/>
          <w:sz w:val="20"/>
        </w:rPr>
        <w:t xml:space="preserve">alegado, </w:t>
      </w:r>
      <w:r w:rsidR="00A95680" w:rsidRPr="006A0A3F">
        <w:rPr>
          <w:rFonts w:ascii="Verdana" w:hAnsi="Verdana"/>
          <w:sz w:val="20"/>
        </w:rPr>
        <w:t xml:space="preserve">se </w:t>
      </w:r>
      <w:r w:rsidR="00E86169" w:rsidRPr="006A0A3F">
        <w:rPr>
          <w:rFonts w:ascii="Verdana" w:hAnsi="Verdana"/>
          <w:sz w:val="20"/>
        </w:rPr>
        <w:t>hace notar que</w:t>
      </w:r>
      <w:r w:rsidRPr="006A0A3F">
        <w:rPr>
          <w:rFonts w:ascii="Verdana" w:hAnsi="Verdana"/>
          <w:sz w:val="20"/>
        </w:rPr>
        <w:t>,</w:t>
      </w:r>
      <w:r w:rsidR="00E86169" w:rsidRPr="006A0A3F">
        <w:rPr>
          <w:rFonts w:ascii="Verdana" w:hAnsi="Verdana"/>
          <w:sz w:val="20"/>
        </w:rPr>
        <w:t xml:space="preserve"> si bien </w:t>
      </w:r>
      <w:r w:rsidR="00A95680" w:rsidRPr="006A0A3F">
        <w:rPr>
          <w:rFonts w:ascii="Verdana" w:hAnsi="Verdana"/>
          <w:sz w:val="20"/>
        </w:rPr>
        <w:t xml:space="preserve">se refirió a </w:t>
      </w:r>
      <w:r w:rsidR="00E86169" w:rsidRPr="006A0A3F">
        <w:rPr>
          <w:rFonts w:ascii="Verdana" w:hAnsi="Verdana"/>
          <w:sz w:val="20"/>
        </w:rPr>
        <w:t>salario</w:t>
      </w:r>
      <w:r w:rsidR="00A95680" w:rsidRPr="006A0A3F">
        <w:rPr>
          <w:rFonts w:ascii="Verdana" w:hAnsi="Verdana"/>
          <w:sz w:val="20"/>
        </w:rPr>
        <w:t>s</w:t>
      </w:r>
      <w:r w:rsidR="00E86169" w:rsidRPr="006A0A3F">
        <w:rPr>
          <w:rFonts w:ascii="Verdana" w:hAnsi="Verdana"/>
          <w:sz w:val="20"/>
        </w:rPr>
        <w:t xml:space="preserve">, bonos y demás beneficios económicos dejados de percibir </w:t>
      </w:r>
      <w:r w:rsidRPr="006A0A3F">
        <w:rPr>
          <w:rFonts w:ascii="Verdana" w:hAnsi="Verdana"/>
          <w:sz w:val="20"/>
        </w:rPr>
        <w:t>por las presuntas víctimas,</w:t>
      </w:r>
      <w:r w:rsidR="00F27849">
        <w:rPr>
          <w:rFonts w:ascii="Verdana" w:hAnsi="Verdana"/>
          <w:sz w:val="20"/>
        </w:rPr>
        <w:t xml:space="preserve"> al </w:t>
      </w:r>
      <w:r w:rsidR="00A95680" w:rsidRPr="006A0A3F">
        <w:rPr>
          <w:rFonts w:ascii="Verdana" w:hAnsi="Verdana"/>
          <w:sz w:val="20"/>
        </w:rPr>
        <w:t>salario devengado actualmente por un funcionario de la administración pública venezolan</w:t>
      </w:r>
      <w:r w:rsidR="00F27849">
        <w:rPr>
          <w:rFonts w:ascii="Verdana" w:hAnsi="Verdana"/>
          <w:sz w:val="20"/>
        </w:rPr>
        <w:t>a que hoy tendrían las víctimas</w:t>
      </w:r>
      <w:r w:rsidR="00A95680" w:rsidRPr="006A0A3F">
        <w:rPr>
          <w:rFonts w:ascii="Verdana" w:hAnsi="Verdana"/>
          <w:sz w:val="20"/>
        </w:rPr>
        <w:t xml:space="preserve"> o al salario de funcionarios del </w:t>
      </w:r>
      <w:r w:rsidR="00F27849">
        <w:rPr>
          <w:rFonts w:ascii="Verdana" w:hAnsi="Verdana"/>
          <w:sz w:val="20"/>
        </w:rPr>
        <w:t>Consejo Nacional de Fronteras</w:t>
      </w:r>
      <w:r w:rsidR="00A95680" w:rsidRPr="006A0A3F">
        <w:rPr>
          <w:rFonts w:ascii="Verdana" w:hAnsi="Verdana"/>
          <w:sz w:val="20"/>
        </w:rPr>
        <w:t xml:space="preserve">, </w:t>
      </w:r>
      <w:r w:rsidRPr="006A0A3F">
        <w:rPr>
          <w:rFonts w:ascii="Verdana" w:hAnsi="Verdana"/>
          <w:sz w:val="20"/>
        </w:rPr>
        <w:t>el r</w:t>
      </w:r>
      <w:r w:rsidR="00E86169" w:rsidRPr="006A0A3F">
        <w:rPr>
          <w:rFonts w:ascii="Verdana" w:hAnsi="Verdana"/>
          <w:sz w:val="20"/>
        </w:rPr>
        <w:t xml:space="preserve">epresentante no aportó información </w:t>
      </w:r>
      <w:r w:rsidR="00016E05" w:rsidRPr="006A0A3F">
        <w:rPr>
          <w:rFonts w:ascii="Verdana" w:hAnsi="Verdana"/>
          <w:sz w:val="20"/>
        </w:rPr>
        <w:t>específica al respecto</w:t>
      </w:r>
      <w:r w:rsidR="002D21A7" w:rsidRPr="006A0A3F">
        <w:rPr>
          <w:rFonts w:ascii="Verdana" w:hAnsi="Verdana"/>
          <w:sz w:val="20"/>
        </w:rPr>
        <w:t xml:space="preserve"> ni sustento probatorio alguno. Tampoco aportó</w:t>
      </w:r>
      <w:r w:rsidR="00016E05" w:rsidRPr="006A0A3F">
        <w:rPr>
          <w:rFonts w:ascii="Verdana" w:hAnsi="Verdana"/>
          <w:sz w:val="20"/>
        </w:rPr>
        <w:t xml:space="preserve"> cuantificaciones, cálculos o </w:t>
      </w:r>
      <w:r w:rsidR="00E86169" w:rsidRPr="006A0A3F">
        <w:rPr>
          <w:rFonts w:ascii="Verdana" w:hAnsi="Verdana"/>
          <w:sz w:val="20"/>
        </w:rPr>
        <w:t>monto</w:t>
      </w:r>
      <w:r w:rsidR="00016E05" w:rsidRPr="006A0A3F">
        <w:rPr>
          <w:rFonts w:ascii="Verdana" w:hAnsi="Verdana"/>
          <w:sz w:val="20"/>
        </w:rPr>
        <w:t>s concretos</w:t>
      </w:r>
      <w:r w:rsidR="002D21A7" w:rsidRPr="006A0A3F">
        <w:rPr>
          <w:rFonts w:ascii="Verdana" w:hAnsi="Verdana"/>
          <w:sz w:val="20"/>
        </w:rPr>
        <w:t xml:space="preserve"> sobre daño emergente</w:t>
      </w:r>
      <w:r w:rsidR="008C44EC" w:rsidRPr="006A0A3F">
        <w:rPr>
          <w:rFonts w:ascii="Verdana" w:hAnsi="Verdana"/>
          <w:sz w:val="20"/>
        </w:rPr>
        <w:t xml:space="preserve"> o el supuesto daño patrimonial familiar</w:t>
      </w:r>
      <w:r w:rsidR="002D21A7" w:rsidRPr="006A0A3F">
        <w:rPr>
          <w:rFonts w:ascii="Verdana" w:hAnsi="Verdana"/>
          <w:sz w:val="20"/>
        </w:rPr>
        <w:t>, ni</w:t>
      </w:r>
      <w:r w:rsidR="00016E05" w:rsidRPr="006A0A3F">
        <w:rPr>
          <w:rFonts w:ascii="Verdana" w:hAnsi="Verdana"/>
          <w:sz w:val="20"/>
        </w:rPr>
        <w:t xml:space="preserve"> refirió alguna</w:t>
      </w:r>
      <w:r w:rsidR="00E86169" w:rsidRPr="006A0A3F">
        <w:rPr>
          <w:rFonts w:ascii="Verdana" w:hAnsi="Verdana"/>
          <w:sz w:val="20"/>
        </w:rPr>
        <w:t xml:space="preserve"> metodología para calcular la</w:t>
      </w:r>
      <w:r w:rsidR="002D21A7" w:rsidRPr="006A0A3F">
        <w:rPr>
          <w:rFonts w:ascii="Verdana" w:hAnsi="Verdana"/>
          <w:sz w:val="20"/>
        </w:rPr>
        <w:t>s indemnizaciones</w:t>
      </w:r>
      <w:r w:rsidR="00016E05" w:rsidRPr="006A0A3F">
        <w:rPr>
          <w:rFonts w:ascii="Verdana" w:hAnsi="Verdana"/>
          <w:sz w:val="20"/>
        </w:rPr>
        <w:t xml:space="preserve"> que corresponderían</w:t>
      </w:r>
      <w:r w:rsidR="002D21A7" w:rsidRPr="006A0A3F">
        <w:rPr>
          <w:rFonts w:ascii="Verdana" w:hAnsi="Verdana"/>
          <w:sz w:val="20"/>
        </w:rPr>
        <w:t xml:space="preserve"> por la alegada pérdida</w:t>
      </w:r>
      <w:r w:rsidR="008C44EC" w:rsidRPr="006A0A3F">
        <w:rPr>
          <w:rFonts w:ascii="Verdana" w:hAnsi="Verdana"/>
          <w:sz w:val="20"/>
        </w:rPr>
        <w:t xml:space="preserve"> de ingresos</w:t>
      </w:r>
      <w:r w:rsidR="00E86169" w:rsidRPr="006A0A3F">
        <w:rPr>
          <w:rFonts w:ascii="Verdana" w:hAnsi="Verdana"/>
          <w:sz w:val="20"/>
        </w:rPr>
        <w:t xml:space="preserve">. </w:t>
      </w:r>
      <w:r w:rsidR="00016E05" w:rsidRPr="006A0A3F">
        <w:rPr>
          <w:rFonts w:ascii="Verdana" w:hAnsi="Verdana"/>
          <w:sz w:val="20"/>
        </w:rPr>
        <w:t xml:space="preserve">La información más concreta </w:t>
      </w:r>
      <w:r w:rsidR="00E86169" w:rsidRPr="006A0A3F">
        <w:rPr>
          <w:rFonts w:ascii="Verdana" w:hAnsi="Verdana"/>
          <w:sz w:val="20"/>
        </w:rPr>
        <w:t xml:space="preserve">que consta en el expediente </w:t>
      </w:r>
      <w:r w:rsidR="00965488" w:rsidRPr="006A0A3F">
        <w:rPr>
          <w:rFonts w:ascii="Verdana" w:hAnsi="Verdana"/>
          <w:sz w:val="20"/>
        </w:rPr>
        <w:t>se refiere</w:t>
      </w:r>
      <w:r w:rsidR="00E86169" w:rsidRPr="006A0A3F">
        <w:rPr>
          <w:rFonts w:ascii="Verdana" w:hAnsi="Verdana"/>
          <w:sz w:val="20"/>
        </w:rPr>
        <w:t xml:space="preserve"> </w:t>
      </w:r>
      <w:r w:rsidR="00E31837" w:rsidRPr="006A0A3F">
        <w:rPr>
          <w:rFonts w:ascii="Verdana" w:hAnsi="Verdana"/>
          <w:sz w:val="20"/>
        </w:rPr>
        <w:t xml:space="preserve">únicamente </w:t>
      </w:r>
      <w:r w:rsidR="00965488" w:rsidRPr="006A0A3F">
        <w:rPr>
          <w:rFonts w:ascii="Verdana" w:hAnsi="Verdana"/>
          <w:sz w:val="20"/>
        </w:rPr>
        <w:t xml:space="preserve">a </w:t>
      </w:r>
      <w:r w:rsidR="00E86169" w:rsidRPr="006A0A3F">
        <w:rPr>
          <w:rFonts w:ascii="Verdana" w:hAnsi="Verdana"/>
          <w:sz w:val="20"/>
        </w:rPr>
        <w:t xml:space="preserve">los montos de </w:t>
      </w:r>
      <w:r w:rsidR="00E31837" w:rsidRPr="006A0A3F">
        <w:rPr>
          <w:rFonts w:ascii="Verdana" w:hAnsi="Verdana"/>
          <w:sz w:val="20"/>
        </w:rPr>
        <w:t>los</w:t>
      </w:r>
      <w:r w:rsidR="00E86169" w:rsidRPr="006A0A3F">
        <w:rPr>
          <w:rFonts w:ascii="Verdana" w:hAnsi="Verdana"/>
          <w:sz w:val="20"/>
        </w:rPr>
        <w:t xml:space="preserve"> contrato</w:t>
      </w:r>
      <w:r w:rsidR="00E31837" w:rsidRPr="006A0A3F">
        <w:rPr>
          <w:rFonts w:ascii="Verdana" w:hAnsi="Verdana"/>
          <w:sz w:val="20"/>
        </w:rPr>
        <w:t>s</w:t>
      </w:r>
      <w:r w:rsidR="00E86169" w:rsidRPr="006A0A3F">
        <w:rPr>
          <w:rFonts w:ascii="Verdana" w:hAnsi="Verdana"/>
          <w:sz w:val="20"/>
        </w:rPr>
        <w:t xml:space="preserve"> </w:t>
      </w:r>
      <w:r w:rsidR="000C0485" w:rsidRPr="006A0A3F">
        <w:rPr>
          <w:rFonts w:ascii="Verdana" w:hAnsi="Verdana"/>
          <w:sz w:val="20"/>
        </w:rPr>
        <w:t xml:space="preserve">temporales </w:t>
      </w:r>
      <w:r w:rsidR="00016E05" w:rsidRPr="006A0A3F">
        <w:rPr>
          <w:rFonts w:ascii="Verdana" w:hAnsi="Verdana"/>
          <w:sz w:val="20"/>
        </w:rPr>
        <w:t>que</w:t>
      </w:r>
      <w:r w:rsidR="00965488" w:rsidRPr="006A0A3F">
        <w:rPr>
          <w:rFonts w:ascii="Verdana" w:hAnsi="Verdana"/>
          <w:sz w:val="20"/>
        </w:rPr>
        <w:t xml:space="preserve"> ellas</w:t>
      </w:r>
      <w:r w:rsidR="00016E05" w:rsidRPr="006A0A3F">
        <w:rPr>
          <w:rFonts w:ascii="Verdana" w:hAnsi="Verdana"/>
          <w:sz w:val="20"/>
        </w:rPr>
        <w:t xml:space="preserve"> tenían </w:t>
      </w:r>
      <w:r w:rsidR="00E86169" w:rsidRPr="006A0A3F">
        <w:rPr>
          <w:rFonts w:ascii="Verdana" w:hAnsi="Verdana"/>
          <w:sz w:val="20"/>
        </w:rPr>
        <w:t xml:space="preserve">con el </w:t>
      </w:r>
      <w:r w:rsidR="00965488" w:rsidRPr="006A0A3F">
        <w:rPr>
          <w:rFonts w:ascii="Verdana" w:hAnsi="Verdana"/>
          <w:sz w:val="20"/>
        </w:rPr>
        <w:t>CNF</w:t>
      </w:r>
      <w:r w:rsidR="00E86169" w:rsidRPr="006A0A3F">
        <w:rPr>
          <w:rFonts w:ascii="Verdana" w:hAnsi="Verdana"/>
          <w:sz w:val="20"/>
        </w:rPr>
        <w:t>, respectivamente, desde los años 1996, 1997 y 2000, hasta el año 2004.</w:t>
      </w:r>
      <w:r w:rsidR="000C0485" w:rsidRPr="006A0A3F">
        <w:rPr>
          <w:rFonts w:ascii="Verdana" w:hAnsi="Verdana"/>
          <w:sz w:val="20"/>
        </w:rPr>
        <w:t xml:space="preserve"> En este sentido, es claro que las víctimas lo que tenían era una expectativa razonable y legítima de continuar prestando sus servici</w:t>
      </w:r>
      <w:r w:rsidR="00B70F3B" w:rsidRPr="006A0A3F">
        <w:rPr>
          <w:rFonts w:ascii="Verdana" w:hAnsi="Verdana"/>
          <w:sz w:val="20"/>
        </w:rPr>
        <w:t>os en la administración pública</w:t>
      </w:r>
      <w:r w:rsidR="00CB686F" w:rsidRPr="006A0A3F">
        <w:rPr>
          <w:rFonts w:ascii="Verdana" w:hAnsi="Verdana"/>
          <w:sz w:val="20"/>
        </w:rPr>
        <w:t xml:space="preserve">. </w:t>
      </w:r>
      <w:r w:rsidR="0019643C" w:rsidRPr="006A0A3F">
        <w:rPr>
          <w:rFonts w:ascii="Verdana" w:hAnsi="Verdana"/>
          <w:sz w:val="20"/>
        </w:rPr>
        <w:t>En razón de la falta de información más específica al respecto, en este caso la compensación por los daños mate</w:t>
      </w:r>
      <w:r w:rsidR="00CA3DC3" w:rsidRPr="006A0A3F">
        <w:rPr>
          <w:rFonts w:ascii="Verdana" w:hAnsi="Verdana"/>
          <w:sz w:val="20"/>
        </w:rPr>
        <w:t>riales solo puede ser fijada con criterios de razonabilidad</w:t>
      </w:r>
      <w:r w:rsidR="0019643C" w:rsidRPr="006A0A3F">
        <w:rPr>
          <w:rFonts w:ascii="Verdana" w:hAnsi="Verdana"/>
          <w:sz w:val="20"/>
        </w:rPr>
        <w:t>.</w:t>
      </w:r>
      <w:r w:rsidR="002D21A7" w:rsidRPr="006A0A3F">
        <w:rPr>
          <w:rFonts w:ascii="Verdana" w:hAnsi="Verdana"/>
          <w:sz w:val="20"/>
        </w:rPr>
        <w:t xml:space="preserve"> </w:t>
      </w:r>
      <w:r w:rsidR="00B3423D" w:rsidRPr="006A0A3F">
        <w:rPr>
          <w:rFonts w:ascii="Verdana" w:hAnsi="Verdana"/>
          <w:sz w:val="20"/>
        </w:rPr>
        <w:t>Además de lo anterior, puesto que en este caso no es viable ordenar la reincorporación de las víctimas a cargos en la administración pública (</w:t>
      </w:r>
      <w:r w:rsidR="00B3423D" w:rsidRPr="006A0A3F">
        <w:rPr>
          <w:rFonts w:ascii="Verdana" w:hAnsi="Verdana"/>
          <w:i/>
          <w:sz w:val="20"/>
        </w:rPr>
        <w:t xml:space="preserve">infra </w:t>
      </w:r>
      <w:r w:rsidR="004137B6">
        <w:rPr>
          <w:rFonts w:ascii="Verdana" w:hAnsi="Verdana"/>
          <w:sz w:val="20"/>
        </w:rPr>
        <w:t>párr. 242</w:t>
      </w:r>
      <w:r w:rsidR="00B3423D" w:rsidRPr="006A0A3F">
        <w:rPr>
          <w:rFonts w:ascii="Verdana" w:hAnsi="Verdana"/>
          <w:sz w:val="20"/>
        </w:rPr>
        <w:t xml:space="preserve">), </w:t>
      </w:r>
      <w:r w:rsidR="002561E7" w:rsidRPr="006A0A3F">
        <w:rPr>
          <w:rFonts w:ascii="Verdana" w:hAnsi="Verdana"/>
          <w:sz w:val="20"/>
        </w:rPr>
        <w:t>el Tribunal estima pertinente</w:t>
      </w:r>
      <w:r w:rsidR="00B3423D" w:rsidRPr="006A0A3F">
        <w:rPr>
          <w:rFonts w:ascii="Verdana" w:hAnsi="Verdana"/>
          <w:sz w:val="20"/>
        </w:rPr>
        <w:t xml:space="preserve"> </w:t>
      </w:r>
      <w:r w:rsidR="002561E7" w:rsidRPr="006A0A3F">
        <w:rPr>
          <w:rFonts w:ascii="Verdana" w:hAnsi="Verdana"/>
          <w:sz w:val="20"/>
        </w:rPr>
        <w:t xml:space="preserve">incluir este aspecto en la </w:t>
      </w:r>
      <w:r w:rsidR="00B3423D" w:rsidRPr="006A0A3F">
        <w:rPr>
          <w:rFonts w:ascii="Verdana" w:hAnsi="Verdana"/>
          <w:sz w:val="20"/>
        </w:rPr>
        <w:t xml:space="preserve">indemnización </w:t>
      </w:r>
      <w:r w:rsidR="002561E7" w:rsidRPr="006A0A3F">
        <w:rPr>
          <w:rFonts w:ascii="Verdana" w:hAnsi="Verdana"/>
          <w:sz w:val="20"/>
        </w:rPr>
        <w:t>que se fija</w:t>
      </w:r>
      <w:r w:rsidR="00F2031A" w:rsidRPr="006A0A3F">
        <w:rPr>
          <w:rFonts w:ascii="Verdana" w:hAnsi="Verdana"/>
          <w:sz w:val="20"/>
        </w:rPr>
        <w:t xml:space="preserve"> </w:t>
      </w:r>
      <w:r w:rsidR="007A51A0" w:rsidRPr="006A0A3F">
        <w:rPr>
          <w:rFonts w:ascii="Verdana" w:hAnsi="Verdana"/>
          <w:sz w:val="20"/>
        </w:rPr>
        <w:t>por daños materiales</w:t>
      </w:r>
      <w:r w:rsidR="00B3423D" w:rsidRPr="006A0A3F">
        <w:rPr>
          <w:rFonts w:ascii="Verdana" w:hAnsi="Verdana"/>
          <w:sz w:val="20"/>
        </w:rPr>
        <w:t>, a efectos de que reciban de forma pronta alguna reparación</w:t>
      </w:r>
      <w:r w:rsidR="002561E7" w:rsidRPr="006A0A3F">
        <w:rPr>
          <w:rFonts w:ascii="Verdana" w:hAnsi="Verdana"/>
          <w:sz w:val="20"/>
        </w:rPr>
        <w:t xml:space="preserve"> en ese sentido</w:t>
      </w:r>
      <w:r w:rsidR="00B3423D" w:rsidRPr="006A0A3F">
        <w:rPr>
          <w:rFonts w:ascii="Verdana" w:hAnsi="Verdana"/>
          <w:sz w:val="20"/>
        </w:rPr>
        <w:t xml:space="preserve">. </w:t>
      </w:r>
    </w:p>
    <w:p w14:paraId="47AB222F" w14:textId="77777777" w:rsidR="00A94035" w:rsidRPr="006A0A3F" w:rsidRDefault="00A94035" w:rsidP="00A94035">
      <w:pPr>
        <w:pBdr>
          <w:top w:val="nil"/>
        </w:pBdr>
        <w:autoSpaceDE w:val="0"/>
        <w:autoSpaceDN w:val="0"/>
        <w:adjustRightInd w:val="0"/>
        <w:spacing w:after="0" w:line="240" w:lineRule="auto"/>
        <w:jc w:val="both"/>
        <w:rPr>
          <w:rFonts w:ascii="Verdana" w:hAnsi="Verdana"/>
          <w:sz w:val="20"/>
        </w:rPr>
      </w:pPr>
    </w:p>
    <w:p w14:paraId="15046EA0" w14:textId="3C9A5AAA" w:rsidR="0019643C" w:rsidRPr="006A0A3F" w:rsidRDefault="002D21A7" w:rsidP="006B7048">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En consecuencia, </w:t>
      </w:r>
      <w:r w:rsidR="008C44EC" w:rsidRPr="006A0A3F">
        <w:rPr>
          <w:rFonts w:ascii="Verdana" w:hAnsi="Verdana"/>
          <w:sz w:val="20"/>
        </w:rPr>
        <w:t>la</w:t>
      </w:r>
      <w:r w:rsidR="00CA3DC3" w:rsidRPr="006A0A3F">
        <w:rPr>
          <w:rFonts w:ascii="Verdana" w:hAnsi="Verdana"/>
          <w:sz w:val="20"/>
        </w:rPr>
        <w:t xml:space="preserve"> Corte estima pertinente fijar </w:t>
      </w:r>
      <w:r w:rsidR="008C44EC" w:rsidRPr="006A0A3F">
        <w:rPr>
          <w:rFonts w:ascii="Verdana" w:hAnsi="Verdana"/>
          <w:sz w:val="20"/>
        </w:rPr>
        <w:t>la</w:t>
      </w:r>
      <w:r w:rsidR="00B3423D" w:rsidRPr="006A0A3F">
        <w:rPr>
          <w:rFonts w:ascii="Verdana" w:hAnsi="Verdana"/>
          <w:sz w:val="20"/>
        </w:rPr>
        <w:t>s</w:t>
      </w:r>
      <w:r w:rsidR="008C44EC" w:rsidRPr="006A0A3F">
        <w:rPr>
          <w:rFonts w:ascii="Verdana" w:hAnsi="Verdana"/>
          <w:sz w:val="20"/>
        </w:rPr>
        <w:t xml:space="preserve"> cantidad</w:t>
      </w:r>
      <w:r w:rsidR="00B3423D" w:rsidRPr="006A0A3F">
        <w:rPr>
          <w:rFonts w:ascii="Verdana" w:hAnsi="Verdana"/>
          <w:sz w:val="20"/>
        </w:rPr>
        <w:t>es</w:t>
      </w:r>
      <w:r w:rsidR="008C44EC" w:rsidRPr="006A0A3F">
        <w:rPr>
          <w:rFonts w:ascii="Verdana" w:hAnsi="Verdana"/>
          <w:sz w:val="20"/>
        </w:rPr>
        <w:t xml:space="preserve"> de US$ </w:t>
      </w:r>
      <w:r w:rsidR="00A94035" w:rsidRPr="006A0A3F">
        <w:rPr>
          <w:rFonts w:ascii="Verdana" w:hAnsi="Verdana"/>
          <w:sz w:val="20"/>
        </w:rPr>
        <w:t>65</w:t>
      </w:r>
      <w:r w:rsidR="008C44EC" w:rsidRPr="006A0A3F">
        <w:rPr>
          <w:rFonts w:ascii="Verdana" w:hAnsi="Verdana"/>
          <w:sz w:val="20"/>
        </w:rPr>
        <w:t>.</w:t>
      </w:r>
      <w:r w:rsidR="00B3423D" w:rsidRPr="006A0A3F">
        <w:rPr>
          <w:rFonts w:ascii="Verdana" w:hAnsi="Verdana"/>
          <w:sz w:val="20"/>
        </w:rPr>
        <w:t>000,00</w:t>
      </w:r>
      <w:r w:rsidR="008C44EC" w:rsidRPr="006A0A3F">
        <w:rPr>
          <w:rFonts w:ascii="Verdana" w:hAnsi="Verdana"/>
          <w:sz w:val="20"/>
        </w:rPr>
        <w:t xml:space="preserve"> (</w:t>
      </w:r>
      <w:r w:rsidR="00A94035" w:rsidRPr="006A0A3F">
        <w:rPr>
          <w:rFonts w:ascii="Verdana" w:hAnsi="Verdana"/>
          <w:sz w:val="20"/>
        </w:rPr>
        <w:t>ses</w:t>
      </w:r>
      <w:r w:rsidR="0026676C" w:rsidRPr="006A0A3F">
        <w:rPr>
          <w:rFonts w:ascii="Verdana" w:hAnsi="Verdana"/>
          <w:sz w:val="20"/>
        </w:rPr>
        <w:t>enta</w:t>
      </w:r>
      <w:r w:rsidR="00B3423D" w:rsidRPr="006A0A3F">
        <w:rPr>
          <w:rFonts w:ascii="Verdana" w:hAnsi="Verdana"/>
          <w:sz w:val="20"/>
        </w:rPr>
        <w:t xml:space="preserve"> </w:t>
      </w:r>
      <w:r w:rsidR="00A94035" w:rsidRPr="006A0A3F">
        <w:rPr>
          <w:rFonts w:ascii="Verdana" w:hAnsi="Verdana"/>
          <w:sz w:val="20"/>
        </w:rPr>
        <w:t xml:space="preserve">y cinco </w:t>
      </w:r>
      <w:r w:rsidR="008C44EC" w:rsidRPr="006A0A3F">
        <w:rPr>
          <w:rFonts w:ascii="Verdana" w:hAnsi="Verdana"/>
          <w:sz w:val="20"/>
        </w:rPr>
        <w:t>mil dólares de los Estados Unidos de América)</w:t>
      </w:r>
      <w:r w:rsidR="00B3423D" w:rsidRPr="006A0A3F">
        <w:rPr>
          <w:rFonts w:ascii="Verdana" w:hAnsi="Verdana"/>
          <w:sz w:val="20"/>
        </w:rPr>
        <w:t xml:space="preserve"> a</w:t>
      </w:r>
      <w:r w:rsidR="0026676C" w:rsidRPr="006A0A3F">
        <w:rPr>
          <w:rFonts w:ascii="Verdana" w:hAnsi="Verdana"/>
          <w:sz w:val="20"/>
        </w:rPr>
        <w:t xml:space="preserve"> favor de Rocío San Miguel Sosa;</w:t>
      </w:r>
      <w:r w:rsidR="00B3423D" w:rsidRPr="006A0A3F">
        <w:rPr>
          <w:rFonts w:ascii="Verdana" w:hAnsi="Verdana"/>
          <w:sz w:val="20"/>
        </w:rPr>
        <w:t xml:space="preserve"> de US$ </w:t>
      </w:r>
      <w:r w:rsidR="00A94035" w:rsidRPr="006A0A3F">
        <w:rPr>
          <w:rFonts w:ascii="Verdana" w:hAnsi="Verdana"/>
          <w:sz w:val="20"/>
        </w:rPr>
        <w:t>4</w:t>
      </w:r>
      <w:r w:rsidR="0026676C" w:rsidRPr="006A0A3F">
        <w:rPr>
          <w:rFonts w:ascii="Verdana" w:hAnsi="Verdana"/>
          <w:sz w:val="20"/>
        </w:rPr>
        <w:t>0</w:t>
      </w:r>
      <w:r w:rsidR="00B3423D" w:rsidRPr="006A0A3F">
        <w:rPr>
          <w:rFonts w:ascii="Verdana" w:hAnsi="Verdana"/>
          <w:sz w:val="20"/>
        </w:rPr>
        <w:t>.000,00 (</w:t>
      </w:r>
      <w:r w:rsidR="00A94035" w:rsidRPr="006A0A3F">
        <w:rPr>
          <w:rFonts w:ascii="Verdana" w:hAnsi="Verdana"/>
          <w:sz w:val="20"/>
        </w:rPr>
        <w:t xml:space="preserve">cuarenta </w:t>
      </w:r>
      <w:r w:rsidR="00B3423D" w:rsidRPr="006A0A3F">
        <w:rPr>
          <w:rFonts w:ascii="Verdana" w:hAnsi="Verdana"/>
          <w:sz w:val="20"/>
        </w:rPr>
        <w:t xml:space="preserve">mil dólares de los Estados Unidos de América) a favor de </w:t>
      </w:r>
      <w:proofErr w:type="spellStart"/>
      <w:r w:rsidR="00B3423D" w:rsidRPr="006A0A3F">
        <w:rPr>
          <w:rFonts w:ascii="Verdana" w:hAnsi="Verdana"/>
          <w:sz w:val="20"/>
        </w:rPr>
        <w:t>Magally</w:t>
      </w:r>
      <w:proofErr w:type="spellEnd"/>
      <w:r w:rsidR="00B3423D" w:rsidRPr="006A0A3F">
        <w:rPr>
          <w:rFonts w:ascii="Verdana" w:hAnsi="Verdana"/>
          <w:sz w:val="20"/>
        </w:rPr>
        <w:t xml:space="preserve"> Chang Girón y de US$ </w:t>
      </w:r>
      <w:r w:rsidR="00A94035" w:rsidRPr="006A0A3F">
        <w:rPr>
          <w:rFonts w:ascii="Verdana" w:hAnsi="Verdana"/>
          <w:sz w:val="20"/>
        </w:rPr>
        <w:t>3</w:t>
      </w:r>
      <w:r w:rsidR="0026676C" w:rsidRPr="006A0A3F">
        <w:rPr>
          <w:rFonts w:ascii="Verdana" w:hAnsi="Verdana"/>
          <w:sz w:val="20"/>
        </w:rPr>
        <w:t>0</w:t>
      </w:r>
      <w:r w:rsidR="00B3423D" w:rsidRPr="006A0A3F">
        <w:rPr>
          <w:rFonts w:ascii="Verdana" w:hAnsi="Verdana"/>
          <w:sz w:val="20"/>
        </w:rPr>
        <w:t>.000,00 (</w:t>
      </w:r>
      <w:r w:rsidR="00A94035" w:rsidRPr="006A0A3F">
        <w:rPr>
          <w:rFonts w:ascii="Verdana" w:hAnsi="Verdana"/>
          <w:sz w:val="20"/>
        </w:rPr>
        <w:t>treinta</w:t>
      </w:r>
      <w:r w:rsidR="00B3423D" w:rsidRPr="006A0A3F">
        <w:rPr>
          <w:rFonts w:ascii="Verdana" w:hAnsi="Verdana"/>
          <w:sz w:val="20"/>
        </w:rPr>
        <w:t xml:space="preserve"> mil dólares de los Estados Unidos de América) a favor de Tha</w:t>
      </w:r>
      <w:r w:rsidR="008F2A57">
        <w:rPr>
          <w:rFonts w:ascii="Verdana" w:hAnsi="Verdana"/>
          <w:sz w:val="20"/>
        </w:rPr>
        <w:t>i</w:t>
      </w:r>
      <w:r w:rsidR="00B3423D" w:rsidRPr="006A0A3F">
        <w:rPr>
          <w:rFonts w:ascii="Verdana" w:hAnsi="Verdana"/>
          <w:sz w:val="20"/>
        </w:rPr>
        <w:t>s Coromoto Peña</w:t>
      </w:r>
      <w:r w:rsidR="008C44EC" w:rsidRPr="006A0A3F">
        <w:rPr>
          <w:rFonts w:ascii="Verdana" w:hAnsi="Verdana"/>
          <w:sz w:val="20"/>
        </w:rPr>
        <w:t xml:space="preserve">, por concepto de </w:t>
      </w:r>
      <w:r w:rsidR="00B3423D" w:rsidRPr="006A0A3F">
        <w:rPr>
          <w:rFonts w:ascii="Verdana" w:hAnsi="Verdana"/>
          <w:sz w:val="20"/>
        </w:rPr>
        <w:t>daño material</w:t>
      </w:r>
      <w:r w:rsidR="008C44EC" w:rsidRPr="006A0A3F">
        <w:rPr>
          <w:rFonts w:ascii="Verdana" w:hAnsi="Verdana"/>
          <w:sz w:val="20"/>
        </w:rPr>
        <w:t xml:space="preserve">, </w:t>
      </w:r>
      <w:r w:rsidR="00B3423D" w:rsidRPr="006A0A3F">
        <w:rPr>
          <w:rFonts w:ascii="Verdana" w:hAnsi="Verdana"/>
          <w:sz w:val="20"/>
        </w:rPr>
        <w:t xml:space="preserve">que deberán ser </w:t>
      </w:r>
      <w:r w:rsidR="008C44EC" w:rsidRPr="006A0A3F">
        <w:rPr>
          <w:rFonts w:ascii="Verdana" w:hAnsi="Verdana"/>
          <w:sz w:val="20"/>
        </w:rPr>
        <w:t xml:space="preserve">entregados directamente a </w:t>
      </w:r>
      <w:r w:rsidR="00B3423D" w:rsidRPr="006A0A3F">
        <w:rPr>
          <w:rFonts w:ascii="Verdana" w:hAnsi="Verdana"/>
          <w:sz w:val="20"/>
        </w:rPr>
        <w:t>cada una de ellas</w:t>
      </w:r>
      <w:r w:rsidR="00C122AC" w:rsidRPr="006A0A3F">
        <w:rPr>
          <w:rFonts w:ascii="Verdana" w:hAnsi="Verdana"/>
          <w:sz w:val="20"/>
        </w:rPr>
        <w:t xml:space="preserve"> en el plazo establecido al efecto (</w:t>
      </w:r>
      <w:r w:rsidR="00C122AC" w:rsidRPr="006A0A3F">
        <w:rPr>
          <w:rFonts w:ascii="Verdana" w:hAnsi="Verdana"/>
          <w:i/>
          <w:sz w:val="20"/>
        </w:rPr>
        <w:t>infra</w:t>
      </w:r>
      <w:r w:rsidR="007575B2">
        <w:rPr>
          <w:rFonts w:ascii="Verdana" w:hAnsi="Verdana"/>
          <w:sz w:val="20"/>
        </w:rPr>
        <w:t xml:space="preserve"> párr. 251</w:t>
      </w:r>
      <w:r w:rsidR="00C122AC" w:rsidRPr="006A0A3F">
        <w:rPr>
          <w:rFonts w:ascii="Verdana" w:hAnsi="Verdana"/>
          <w:sz w:val="20"/>
        </w:rPr>
        <w:t>)</w:t>
      </w:r>
      <w:r w:rsidR="008C44EC" w:rsidRPr="006A0A3F">
        <w:rPr>
          <w:rFonts w:ascii="Verdana" w:hAnsi="Verdana"/>
          <w:sz w:val="20"/>
        </w:rPr>
        <w:t>.</w:t>
      </w:r>
    </w:p>
    <w:p w14:paraId="35399897" w14:textId="77777777" w:rsidR="00DF21E1" w:rsidRPr="006A0A3F" w:rsidRDefault="00DF21E1" w:rsidP="0019643C">
      <w:pPr>
        <w:pStyle w:val="ListParagraph"/>
        <w:jc w:val="both"/>
        <w:rPr>
          <w:rFonts w:ascii="Verdana" w:hAnsi="Verdana"/>
          <w:b/>
          <w:sz w:val="16"/>
          <w:highlight w:val="yellow"/>
          <w:u w:val="single"/>
          <w:lang w:val="es-CR"/>
        </w:rPr>
      </w:pPr>
    </w:p>
    <w:p w14:paraId="56622234" w14:textId="2DCF538E" w:rsidR="00B12859" w:rsidRPr="006A0A3F" w:rsidRDefault="00C74C4F" w:rsidP="00B12859">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En cuanto a los</w:t>
      </w:r>
      <w:r w:rsidR="00AA090C" w:rsidRPr="006A0A3F">
        <w:rPr>
          <w:rFonts w:ascii="Verdana" w:hAnsi="Verdana"/>
          <w:sz w:val="20"/>
          <w:szCs w:val="20"/>
        </w:rPr>
        <w:t xml:space="preserve"> daño</w:t>
      </w:r>
      <w:r w:rsidRPr="006A0A3F">
        <w:rPr>
          <w:rFonts w:ascii="Verdana" w:hAnsi="Verdana"/>
          <w:sz w:val="20"/>
          <w:szCs w:val="20"/>
        </w:rPr>
        <w:t>s</w:t>
      </w:r>
      <w:r w:rsidR="00AA090C" w:rsidRPr="006A0A3F">
        <w:rPr>
          <w:rFonts w:ascii="Verdana" w:hAnsi="Verdana"/>
          <w:sz w:val="20"/>
          <w:szCs w:val="20"/>
        </w:rPr>
        <w:t xml:space="preserve"> inmaterial</w:t>
      </w:r>
      <w:r w:rsidRPr="006A0A3F">
        <w:rPr>
          <w:rFonts w:ascii="Verdana" w:hAnsi="Verdana"/>
          <w:sz w:val="20"/>
          <w:szCs w:val="20"/>
        </w:rPr>
        <w:t>es</w:t>
      </w:r>
      <w:r w:rsidR="00B12859" w:rsidRPr="006A0A3F">
        <w:rPr>
          <w:rFonts w:ascii="Verdana" w:hAnsi="Verdana"/>
          <w:sz w:val="20"/>
          <w:szCs w:val="20"/>
        </w:rPr>
        <w:t xml:space="preserve"> alegados, la sentencia puede constituir por sí misma una forma de reparación</w:t>
      </w:r>
      <w:r w:rsidR="00B12859" w:rsidRPr="006A0A3F">
        <w:rPr>
          <w:rStyle w:val="FootnoteReference"/>
          <w:rFonts w:ascii="Verdana" w:eastAsia="Batang" w:hAnsi="Verdana"/>
          <w:sz w:val="20"/>
          <w:szCs w:val="20"/>
        </w:rPr>
        <w:footnoteReference w:id="287"/>
      </w:r>
      <w:r w:rsidR="00B12859" w:rsidRPr="006A0A3F">
        <w:rPr>
          <w:rFonts w:ascii="Verdana" w:hAnsi="Verdana"/>
          <w:sz w:val="20"/>
          <w:szCs w:val="20"/>
        </w:rPr>
        <w:t>. No obstante, la Corte</w:t>
      </w:r>
      <w:r w:rsidR="00B12859" w:rsidRPr="006A0A3F">
        <w:rPr>
          <w:rFonts w:ascii="Verdana" w:hAnsi="Verdana"/>
          <w:i/>
          <w:sz w:val="20"/>
          <w:szCs w:val="20"/>
        </w:rPr>
        <w:t xml:space="preserve"> </w:t>
      </w:r>
      <w:r w:rsidR="00B12859" w:rsidRPr="006A0A3F">
        <w:rPr>
          <w:rFonts w:ascii="Verdana" w:hAnsi="Verdana"/>
          <w:sz w:val="20"/>
          <w:szCs w:val="20"/>
        </w:rPr>
        <w:t>ha desarrollado en su jurisprudencia el concepto de daño inmaterial y ha establecido que éste puede comprender tanto los sufrimientos y las aflicciones causados por la violación de derechos, como el menoscabo de valores muy significativos para las personas y cualquier alteración, de carácter no pecuniario, en las condiciones de existencia de las víctimas</w:t>
      </w:r>
      <w:r w:rsidR="00B12859" w:rsidRPr="006A0A3F">
        <w:rPr>
          <w:rStyle w:val="FootnoteReference"/>
          <w:rFonts w:ascii="Verdana" w:eastAsia="Batang" w:hAnsi="Verdana"/>
          <w:sz w:val="20"/>
          <w:szCs w:val="20"/>
        </w:rPr>
        <w:footnoteReference w:id="288"/>
      </w:r>
      <w:r w:rsidR="00B12859" w:rsidRPr="006A0A3F">
        <w:rPr>
          <w:rFonts w:ascii="Verdana" w:hAnsi="Verdana"/>
          <w:sz w:val="20"/>
          <w:szCs w:val="20"/>
        </w:rPr>
        <w:t xml:space="preserve">. Dado que no es posible asignar al daño inmaterial un equivalente monetario preciso, sólo puede ser objeto de compensación, para los fines de la reparación integral a la víctima, mediante el pago de una cantidad de dinero o la entrega de bienes o servicios apreciables en dinero, que el Tribunal determine en aplicación razonable del arbitrio judicial y en </w:t>
      </w:r>
      <w:r w:rsidR="00B12859" w:rsidRPr="006A0A3F">
        <w:rPr>
          <w:rFonts w:ascii="Verdana" w:eastAsia="Batang" w:hAnsi="Verdana"/>
          <w:sz w:val="20"/>
          <w:szCs w:val="20"/>
          <w:lang w:eastAsia="es-MX"/>
        </w:rPr>
        <w:t>términos</w:t>
      </w:r>
      <w:r w:rsidR="00B12859" w:rsidRPr="006A0A3F">
        <w:rPr>
          <w:rFonts w:ascii="Verdana" w:hAnsi="Verdana"/>
          <w:sz w:val="20"/>
          <w:szCs w:val="20"/>
        </w:rPr>
        <w:t xml:space="preserve"> de equidad</w:t>
      </w:r>
      <w:r w:rsidR="00B12859" w:rsidRPr="006A0A3F">
        <w:rPr>
          <w:rStyle w:val="FootnoteReference"/>
          <w:rFonts w:ascii="Verdana" w:eastAsia="Batang" w:hAnsi="Verdana"/>
          <w:sz w:val="20"/>
          <w:szCs w:val="20"/>
        </w:rPr>
        <w:footnoteReference w:id="289"/>
      </w:r>
      <w:r w:rsidR="00B12859" w:rsidRPr="006A0A3F">
        <w:rPr>
          <w:rFonts w:ascii="Verdana" w:eastAsia="Batang" w:hAnsi="Verdana"/>
          <w:sz w:val="20"/>
          <w:szCs w:val="20"/>
          <w:lang w:eastAsia="es-MX"/>
        </w:rPr>
        <w:t>.</w:t>
      </w:r>
    </w:p>
    <w:p w14:paraId="05C5383F" w14:textId="77777777" w:rsidR="00B12859" w:rsidRPr="006A0A3F" w:rsidRDefault="00B12859" w:rsidP="00B12859">
      <w:pPr>
        <w:pBdr>
          <w:top w:val="nil"/>
        </w:pBdr>
        <w:autoSpaceDE w:val="0"/>
        <w:autoSpaceDN w:val="0"/>
        <w:adjustRightInd w:val="0"/>
        <w:spacing w:after="0" w:line="240" w:lineRule="auto"/>
        <w:jc w:val="both"/>
        <w:rPr>
          <w:rFonts w:ascii="Verdana" w:hAnsi="Verdana"/>
          <w:sz w:val="20"/>
          <w:szCs w:val="20"/>
        </w:rPr>
      </w:pPr>
    </w:p>
    <w:p w14:paraId="424A2A64" w14:textId="70D208E1" w:rsidR="00E86169" w:rsidRPr="006A0A3F" w:rsidRDefault="00B12859" w:rsidP="007C4E86">
      <w:pPr>
        <w:numPr>
          <w:ilvl w:val="0"/>
          <w:numId w:val="4"/>
        </w:numPr>
        <w:pBdr>
          <w:top w:val="nil"/>
        </w:pBdr>
        <w:autoSpaceDE w:val="0"/>
        <w:autoSpaceDN w:val="0"/>
        <w:adjustRightInd w:val="0"/>
        <w:spacing w:after="0" w:line="240" w:lineRule="auto"/>
        <w:ind w:left="0" w:firstLine="0"/>
        <w:jc w:val="both"/>
        <w:rPr>
          <w:rFonts w:ascii="Verdana" w:hAnsi="Verdana"/>
          <w:sz w:val="20"/>
          <w:szCs w:val="20"/>
        </w:rPr>
      </w:pPr>
      <w:r w:rsidRPr="006A0A3F">
        <w:rPr>
          <w:rFonts w:ascii="Verdana" w:hAnsi="Verdana"/>
          <w:sz w:val="20"/>
          <w:szCs w:val="20"/>
        </w:rPr>
        <w:t xml:space="preserve">En este caso, el Tribunal </w:t>
      </w:r>
      <w:r w:rsidR="006B3A89" w:rsidRPr="006A0A3F">
        <w:rPr>
          <w:rFonts w:ascii="Verdana" w:hAnsi="Verdana"/>
          <w:sz w:val="20"/>
          <w:szCs w:val="20"/>
        </w:rPr>
        <w:t>constata que, según se desprende de sus declaraciones, las víctimas se vieron afectadas de diversas maneras por los hechos</w:t>
      </w:r>
      <w:r w:rsidR="00C74C4F" w:rsidRPr="006A0A3F">
        <w:rPr>
          <w:rFonts w:ascii="Verdana" w:hAnsi="Verdana"/>
          <w:sz w:val="20"/>
          <w:szCs w:val="20"/>
        </w:rPr>
        <w:t xml:space="preserve">, que les generaron sentimientos de angustia, situaciones de </w:t>
      </w:r>
      <w:r w:rsidR="00CB686F" w:rsidRPr="006A0A3F">
        <w:rPr>
          <w:rFonts w:ascii="Verdana" w:hAnsi="Verdana"/>
          <w:sz w:val="20"/>
          <w:szCs w:val="20"/>
        </w:rPr>
        <w:t xml:space="preserve">estigmatización </w:t>
      </w:r>
      <w:r w:rsidR="00C74C4F" w:rsidRPr="006A0A3F">
        <w:rPr>
          <w:rFonts w:ascii="Verdana" w:hAnsi="Verdana"/>
          <w:sz w:val="20"/>
          <w:szCs w:val="20"/>
        </w:rPr>
        <w:t>y rechazo, así como</w:t>
      </w:r>
      <w:r w:rsidR="00F27849">
        <w:rPr>
          <w:rFonts w:ascii="Verdana" w:hAnsi="Verdana"/>
          <w:sz w:val="20"/>
          <w:szCs w:val="20"/>
        </w:rPr>
        <w:t xml:space="preserve"> cambios en sus </w:t>
      </w:r>
      <w:r w:rsidR="00F27849">
        <w:rPr>
          <w:rFonts w:ascii="Verdana" w:hAnsi="Verdana"/>
          <w:sz w:val="20"/>
          <w:szCs w:val="20"/>
        </w:rPr>
        <w:lastRenderedPageBreak/>
        <w:t>relaciones intra</w:t>
      </w:r>
      <w:r w:rsidR="00C74C4F" w:rsidRPr="006A0A3F">
        <w:rPr>
          <w:rFonts w:ascii="Verdana" w:hAnsi="Verdana"/>
          <w:sz w:val="20"/>
          <w:szCs w:val="20"/>
        </w:rPr>
        <w:t>familiares</w:t>
      </w:r>
      <w:r w:rsidR="00C74C4F" w:rsidRPr="006A0A3F">
        <w:rPr>
          <w:rStyle w:val="FootnoteReference"/>
          <w:rFonts w:ascii="Verdana" w:hAnsi="Verdana"/>
          <w:sz w:val="20"/>
          <w:szCs w:val="20"/>
        </w:rPr>
        <w:footnoteReference w:id="290"/>
      </w:r>
      <w:r w:rsidR="006B3A89" w:rsidRPr="006A0A3F">
        <w:rPr>
          <w:rFonts w:ascii="Verdana" w:hAnsi="Verdana"/>
          <w:sz w:val="20"/>
          <w:szCs w:val="20"/>
        </w:rPr>
        <w:t xml:space="preserve">. Determinados aspectos y magnitudes de los daños y afectaciones </w:t>
      </w:r>
      <w:r w:rsidR="00CB686F" w:rsidRPr="006A0A3F">
        <w:rPr>
          <w:rFonts w:ascii="Verdana" w:hAnsi="Verdana"/>
          <w:sz w:val="20"/>
          <w:szCs w:val="20"/>
        </w:rPr>
        <w:t>emocionales</w:t>
      </w:r>
      <w:r w:rsidR="006B3A89" w:rsidRPr="006A0A3F">
        <w:rPr>
          <w:rFonts w:ascii="Verdana" w:hAnsi="Verdana"/>
          <w:sz w:val="20"/>
          <w:szCs w:val="20"/>
        </w:rPr>
        <w:t xml:space="preserve"> también </w:t>
      </w:r>
      <w:r w:rsidR="00CB686F" w:rsidRPr="006A0A3F">
        <w:rPr>
          <w:rFonts w:ascii="Verdana" w:hAnsi="Verdana"/>
          <w:sz w:val="20"/>
          <w:szCs w:val="20"/>
        </w:rPr>
        <w:t xml:space="preserve">fueron referidos </w:t>
      </w:r>
      <w:r w:rsidR="006B3A89" w:rsidRPr="006A0A3F">
        <w:rPr>
          <w:rFonts w:ascii="Verdana" w:hAnsi="Verdana"/>
          <w:sz w:val="20"/>
          <w:szCs w:val="20"/>
        </w:rPr>
        <w:t xml:space="preserve">en las evaluaciones psicológicas a </w:t>
      </w:r>
      <w:r w:rsidR="00D0468E" w:rsidRPr="006A0A3F">
        <w:rPr>
          <w:rFonts w:ascii="Verdana" w:hAnsi="Verdana"/>
          <w:sz w:val="20"/>
          <w:szCs w:val="20"/>
        </w:rPr>
        <w:t xml:space="preserve">las </w:t>
      </w:r>
      <w:r w:rsidR="006B3A89" w:rsidRPr="006A0A3F">
        <w:rPr>
          <w:rFonts w:ascii="Verdana" w:hAnsi="Verdana"/>
          <w:sz w:val="20"/>
          <w:szCs w:val="20"/>
        </w:rPr>
        <w:t>que fueron sometidas</w:t>
      </w:r>
      <w:r w:rsidR="00C74C4F" w:rsidRPr="006A0A3F">
        <w:rPr>
          <w:rFonts w:ascii="Verdana" w:hAnsi="Verdana"/>
          <w:sz w:val="20"/>
          <w:szCs w:val="20"/>
        </w:rPr>
        <w:t>, particularmente el hecho de que se encontraron en un súbito estado de angustia e incertidumbre, que pudo tener efectos en su salud emocional y física, así como las dificultades económicas, sociales, familiares e interpersonales por no haber podido reactivar su vida profesional</w:t>
      </w:r>
      <w:r w:rsidR="006B3A89" w:rsidRPr="006A0A3F">
        <w:rPr>
          <w:rStyle w:val="FootnoteReference"/>
          <w:rFonts w:ascii="Verdana" w:hAnsi="Verdana"/>
          <w:sz w:val="20"/>
          <w:szCs w:val="20"/>
        </w:rPr>
        <w:footnoteReference w:id="291"/>
      </w:r>
      <w:r w:rsidR="006B3A89" w:rsidRPr="006A0A3F">
        <w:rPr>
          <w:rFonts w:ascii="Verdana" w:hAnsi="Verdana"/>
          <w:sz w:val="20"/>
          <w:szCs w:val="20"/>
        </w:rPr>
        <w:t>.</w:t>
      </w:r>
      <w:r w:rsidR="007C4E86" w:rsidRPr="006A0A3F">
        <w:rPr>
          <w:rFonts w:ascii="Verdana" w:hAnsi="Verdana"/>
          <w:sz w:val="20"/>
          <w:szCs w:val="20"/>
        </w:rPr>
        <w:t xml:space="preserve"> </w:t>
      </w:r>
      <w:r w:rsidR="007C4E86" w:rsidRPr="006A0A3F">
        <w:rPr>
          <w:rFonts w:ascii="Verdana" w:hAnsi="Verdana"/>
          <w:sz w:val="20"/>
        </w:rPr>
        <w:t xml:space="preserve">En atención </w:t>
      </w:r>
      <w:r w:rsidR="006B3A89" w:rsidRPr="006A0A3F">
        <w:rPr>
          <w:rFonts w:ascii="Verdana" w:hAnsi="Verdana"/>
          <w:sz w:val="20"/>
        </w:rPr>
        <w:t xml:space="preserve">al </w:t>
      </w:r>
      <w:r w:rsidR="00E86169" w:rsidRPr="006A0A3F">
        <w:rPr>
          <w:rFonts w:ascii="Verdana" w:hAnsi="Verdana"/>
          <w:sz w:val="20"/>
        </w:rPr>
        <w:t>carácter de las violaciones cometidas</w:t>
      </w:r>
      <w:r w:rsidR="00CB686F" w:rsidRPr="006A0A3F">
        <w:rPr>
          <w:rFonts w:ascii="Verdana" w:hAnsi="Verdana"/>
          <w:sz w:val="20"/>
        </w:rPr>
        <w:t xml:space="preserve"> y</w:t>
      </w:r>
      <w:r w:rsidR="006B3A89" w:rsidRPr="006A0A3F">
        <w:rPr>
          <w:rFonts w:ascii="Verdana" w:hAnsi="Verdana"/>
          <w:sz w:val="20"/>
        </w:rPr>
        <w:t xml:space="preserve"> las afectaciones </w:t>
      </w:r>
      <w:r w:rsidR="00CB686F" w:rsidRPr="006A0A3F">
        <w:rPr>
          <w:rFonts w:ascii="Verdana" w:hAnsi="Verdana"/>
          <w:sz w:val="20"/>
        </w:rPr>
        <w:t>ocasionada</w:t>
      </w:r>
      <w:r w:rsidR="00E86169" w:rsidRPr="006A0A3F">
        <w:rPr>
          <w:rFonts w:ascii="Verdana" w:hAnsi="Verdana"/>
          <w:sz w:val="20"/>
        </w:rPr>
        <w:t>s a las víctimas,</w:t>
      </w:r>
      <w:r w:rsidR="0019643C" w:rsidRPr="006A0A3F">
        <w:rPr>
          <w:rFonts w:ascii="Verdana" w:hAnsi="Verdana"/>
          <w:sz w:val="20"/>
        </w:rPr>
        <w:t xml:space="preserve"> la Corte estima</w:t>
      </w:r>
      <w:r w:rsidR="006B3A89" w:rsidRPr="006A0A3F">
        <w:rPr>
          <w:rFonts w:ascii="Verdana" w:hAnsi="Verdana"/>
          <w:sz w:val="20"/>
        </w:rPr>
        <w:t xml:space="preserve"> pertinente fijar, </w:t>
      </w:r>
      <w:r w:rsidR="00E86169" w:rsidRPr="006A0A3F">
        <w:rPr>
          <w:rFonts w:ascii="Verdana" w:hAnsi="Verdana"/>
          <w:sz w:val="20"/>
        </w:rPr>
        <w:t>en equidad, la cantidad de USD $</w:t>
      </w:r>
      <w:r w:rsidR="0019643C" w:rsidRPr="006A0A3F">
        <w:rPr>
          <w:rFonts w:ascii="Verdana" w:hAnsi="Verdana"/>
          <w:sz w:val="20"/>
        </w:rPr>
        <w:t xml:space="preserve"> </w:t>
      </w:r>
      <w:r w:rsidRPr="006A0A3F">
        <w:rPr>
          <w:rFonts w:ascii="Verdana" w:hAnsi="Verdana"/>
          <w:sz w:val="20"/>
        </w:rPr>
        <w:t>1</w:t>
      </w:r>
      <w:r w:rsidR="00FB2CA8" w:rsidRPr="006A0A3F">
        <w:rPr>
          <w:rFonts w:ascii="Verdana" w:hAnsi="Verdana"/>
          <w:sz w:val="20"/>
        </w:rPr>
        <w:t>0</w:t>
      </w:r>
      <w:r w:rsidRPr="006A0A3F">
        <w:rPr>
          <w:rFonts w:ascii="Verdana" w:hAnsi="Verdana"/>
          <w:sz w:val="20"/>
        </w:rPr>
        <w:t>.000,00</w:t>
      </w:r>
      <w:r w:rsidR="0019643C" w:rsidRPr="006A0A3F">
        <w:rPr>
          <w:rFonts w:ascii="Verdana" w:hAnsi="Verdana"/>
          <w:sz w:val="20"/>
        </w:rPr>
        <w:t xml:space="preserve"> (</w:t>
      </w:r>
      <w:r w:rsidR="00FB2CA8" w:rsidRPr="006A0A3F">
        <w:rPr>
          <w:rFonts w:ascii="Verdana" w:hAnsi="Verdana"/>
          <w:sz w:val="20"/>
        </w:rPr>
        <w:t>diez</w:t>
      </w:r>
      <w:r w:rsidR="007A51A0" w:rsidRPr="006A0A3F">
        <w:rPr>
          <w:rFonts w:ascii="Verdana" w:hAnsi="Verdana"/>
          <w:sz w:val="20"/>
        </w:rPr>
        <w:t xml:space="preserve"> </w:t>
      </w:r>
      <w:r w:rsidRPr="006A0A3F">
        <w:rPr>
          <w:rFonts w:ascii="Verdana" w:hAnsi="Verdana"/>
          <w:sz w:val="20"/>
        </w:rPr>
        <w:t>mil</w:t>
      </w:r>
      <w:r w:rsidR="0019643C" w:rsidRPr="006A0A3F">
        <w:rPr>
          <w:rFonts w:ascii="Verdana" w:hAnsi="Verdana"/>
          <w:sz w:val="20"/>
        </w:rPr>
        <w:t xml:space="preserve"> dólares de los Estados Unidos de América)</w:t>
      </w:r>
      <w:r w:rsidR="00E86169" w:rsidRPr="006A0A3F">
        <w:rPr>
          <w:rFonts w:ascii="Verdana" w:hAnsi="Verdana"/>
          <w:sz w:val="20"/>
        </w:rPr>
        <w:t xml:space="preserve"> como compensación por </w:t>
      </w:r>
      <w:r w:rsidR="009F237F" w:rsidRPr="006A0A3F">
        <w:rPr>
          <w:rFonts w:ascii="Verdana" w:hAnsi="Verdana"/>
          <w:sz w:val="20"/>
        </w:rPr>
        <w:t>los</w:t>
      </w:r>
      <w:r w:rsidR="006B3A89" w:rsidRPr="006A0A3F">
        <w:rPr>
          <w:rFonts w:ascii="Verdana" w:hAnsi="Verdana"/>
          <w:sz w:val="20"/>
        </w:rPr>
        <w:t xml:space="preserve"> </w:t>
      </w:r>
      <w:r w:rsidR="00E86169" w:rsidRPr="006A0A3F">
        <w:rPr>
          <w:rFonts w:ascii="Verdana" w:hAnsi="Verdana"/>
          <w:sz w:val="20"/>
        </w:rPr>
        <w:t>daño</w:t>
      </w:r>
      <w:r w:rsidR="006B3A89" w:rsidRPr="006A0A3F">
        <w:rPr>
          <w:rFonts w:ascii="Verdana" w:hAnsi="Verdana"/>
          <w:sz w:val="20"/>
        </w:rPr>
        <w:t>s</w:t>
      </w:r>
      <w:r w:rsidR="009F237F" w:rsidRPr="006A0A3F">
        <w:rPr>
          <w:rFonts w:ascii="Verdana" w:hAnsi="Verdana"/>
          <w:sz w:val="20"/>
        </w:rPr>
        <w:t xml:space="preserve"> inmateriales</w:t>
      </w:r>
      <w:r w:rsidR="00E86169" w:rsidRPr="006A0A3F">
        <w:rPr>
          <w:rFonts w:ascii="Verdana" w:hAnsi="Verdana"/>
          <w:sz w:val="20"/>
        </w:rPr>
        <w:t>, a favor de</w:t>
      </w:r>
      <w:r w:rsidR="0019643C" w:rsidRPr="006A0A3F">
        <w:rPr>
          <w:rFonts w:ascii="Verdana" w:hAnsi="Verdana"/>
          <w:sz w:val="20"/>
        </w:rPr>
        <w:t xml:space="preserve"> cada una de </w:t>
      </w:r>
      <w:r w:rsidR="00E86169" w:rsidRPr="006A0A3F">
        <w:rPr>
          <w:rFonts w:ascii="Verdana" w:hAnsi="Verdana"/>
          <w:sz w:val="20"/>
        </w:rPr>
        <w:t>las víctimas</w:t>
      </w:r>
      <w:r w:rsidR="008E7499" w:rsidRPr="006A0A3F">
        <w:rPr>
          <w:rFonts w:ascii="Verdana" w:hAnsi="Verdana"/>
          <w:sz w:val="20"/>
        </w:rPr>
        <w:t>, que deberá ser entregada directamente a ellas en el plazo establecido al efecto (</w:t>
      </w:r>
      <w:r w:rsidR="008E7499" w:rsidRPr="006A0A3F">
        <w:rPr>
          <w:rFonts w:ascii="Verdana" w:hAnsi="Verdana"/>
          <w:i/>
          <w:sz w:val="20"/>
        </w:rPr>
        <w:t>infra</w:t>
      </w:r>
      <w:r w:rsidR="008E7499" w:rsidRPr="006A0A3F">
        <w:rPr>
          <w:rFonts w:ascii="Verdana" w:hAnsi="Verdana"/>
          <w:sz w:val="20"/>
        </w:rPr>
        <w:t xml:space="preserve"> párr. </w:t>
      </w:r>
      <w:r w:rsidR="007575B2">
        <w:rPr>
          <w:rFonts w:ascii="Verdana" w:hAnsi="Verdana"/>
          <w:sz w:val="20"/>
        </w:rPr>
        <w:t>251</w:t>
      </w:r>
      <w:r w:rsidR="008E7499" w:rsidRPr="006A0A3F">
        <w:rPr>
          <w:rFonts w:ascii="Verdana" w:hAnsi="Verdana"/>
          <w:sz w:val="20"/>
        </w:rPr>
        <w:t>)</w:t>
      </w:r>
      <w:r w:rsidR="00E86169" w:rsidRPr="006A0A3F">
        <w:rPr>
          <w:rFonts w:ascii="Verdana" w:hAnsi="Verdana"/>
          <w:sz w:val="20"/>
        </w:rPr>
        <w:t>.</w:t>
      </w:r>
    </w:p>
    <w:p w14:paraId="5885B143" w14:textId="77777777" w:rsidR="00B12859" w:rsidRDefault="00B12859" w:rsidP="00E86169">
      <w:pPr>
        <w:autoSpaceDE w:val="0"/>
        <w:autoSpaceDN w:val="0"/>
        <w:adjustRightInd w:val="0"/>
        <w:spacing w:after="0" w:line="240" w:lineRule="auto"/>
        <w:ind w:right="49"/>
        <w:contextualSpacing/>
        <w:jc w:val="both"/>
        <w:rPr>
          <w:rFonts w:ascii="Verdana" w:eastAsia="Calibri" w:hAnsi="Verdana" w:cs="Times New Roman"/>
          <w:b/>
          <w:sz w:val="20"/>
          <w:szCs w:val="20"/>
        </w:rPr>
      </w:pPr>
    </w:p>
    <w:p w14:paraId="36D64370" w14:textId="77777777" w:rsidR="00AE7BAC" w:rsidRPr="006A0A3F" w:rsidRDefault="00AE7BAC" w:rsidP="00E86169">
      <w:pPr>
        <w:autoSpaceDE w:val="0"/>
        <w:autoSpaceDN w:val="0"/>
        <w:adjustRightInd w:val="0"/>
        <w:spacing w:after="0" w:line="240" w:lineRule="auto"/>
        <w:ind w:right="49"/>
        <w:contextualSpacing/>
        <w:jc w:val="both"/>
        <w:rPr>
          <w:rFonts w:ascii="Verdana" w:eastAsia="Calibri" w:hAnsi="Verdana" w:cs="Times New Roman"/>
          <w:b/>
          <w:sz w:val="20"/>
          <w:szCs w:val="20"/>
        </w:rPr>
      </w:pPr>
    </w:p>
    <w:p w14:paraId="41DA7104" w14:textId="77777777" w:rsidR="00E86169" w:rsidRPr="006A0A3F" w:rsidRDefault="00E86169" w:rsidP="00AB56AF">
      <w:pPr>
        <w:pStyle w:val="Heading2"/>
        <w:numPr>
          <w:ilvl w:val="0"/>
          <w:numId w:val="15"/>
        </w:numPr>
        <w:spacing w:after="240"/>
        <w:rPr>
          <w:rFonts w:ascii="Verdana" w:hAnsi="Verdana"/>
          <w:i/>
          <w:sz w:val="20"/>
          <w:lang w:val="es-CR"/>
        </w:rPr>
      </w:pPr>
      <w:bookmarkStart w:id="55" w:name="_Toc476251468"/>
      <w:bookmarkStart w:id="56" w:name="_Toc505877009"/>
      <w:r w:rsidRPr="006A0A3F">
        <w:rPr>
          <w:rFonts w:ascii="Verdana" w:hAnsi="Verdana"/>
          <w:i/>
          <w:sz w:val="20"/>
          <w:lang w:val="es-CR"/>
        </w:rPr>
        <w:t>Otras medidas solicitadas</w:t>
      </w:r>
      <w:bookmarkEnd w:id="55"/>
      <w:bookmarkEnd w:id="56"/>
      <w:r w:rsidRPr="006A0A3F">
        <w:rPr>
          <w:rFonts w:ascii="Verdana" w:hAnsi="Verdana"/>
          <w:i/>
          <w:sz w:val="20"/>
          <w:lang w:val="es-CR"/>
        </w:rPr>
        <w:t xml:space="preserve"> </w:t>
      </w:r>
    </w:p>
    <w:p w14:paraId="1C2F2CA7" w14:textId="054D3BED" w:rsidR="00CB686F" w:rsidRPr="006A0A3F" w:rsidRDefault="00E86169" w:rsidP="00CB686F">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La </w:t>
      </w:r>
      <w:r w:rsidRPr="006A0A3F">
        <w:rPr>
          <w:rFonts w:ascii="Verdana" w:hAnsi="Verdana"/>
          <w:b/>
          <w:sz w:val="20"/>
        </w:rPr>
        <w:t>Comisión</w:t>
      </w:r>
      <w:r w:rsidRPr="006A0A3F">
        <w:rPr>
          <w:rFonts w:ascii="Verdana" w:hAnsi="Verdana"/>
          <w:sz w:val="20"/>
        </w:rPr>
        <w:t xml:space="preserve"> solicitó </w:t>
      </w:r>
      <w:r w:rsidR="008E7499" w:rsidRPr="006A0A3F">
        <w:rPr>
          <w:rFonts w:ascii="Verdana" w:hAnsi="Verdana"/>
          <w:sz w:val="20"/>
        </w:rPr>
        <w:t>que se ordene al Estado “</w:t>
      </w:r>
      <w:r w:rsidRPr="006A0A3F">
        <w:rPr>
          <w:rFonts w:ascii="Verdana" w:hAnsi="Verdana"/>
          <w:sz w:val="20"/>
        </w:rPr>
        <w:t>la reincorporación de las víctimas a la función pública en un cargo de igual categoría al que tendrían actualmente de no haber sido separadas de sus cargos</w:t>
      </w:r>
      <w:r w:rsidR="008E7499" w:rsidRPr="006A0A3F">
        <w:rPr>
          <w:rFonts w:ascii="Verdana" w:hAnsi="Verdana"/>
          <w:sz w:val="20"/>
        </w:rPr>
        <w:t>”</w:t>
      </w:r>
      <w:r w:rsidRPr="006A0A3F">
        <w:rPr>
          <w:rFonts w:ascii="Verdana" w:hAnsi="Verdana"/>
          <w:sz w:val="20"/>
        </w:rPr>
        <w:t>. El</w:t>
      </w:r>
      <w:r w:rsidRPr="006A0A3F">
        <w:rPr>
          <w:rFonts w:ascii="Verdana" w:hAnsi="Verdana"/>
          <w:b/>
          <w:sz w:val="20"/>
        </w:rPr>
        <w:t xml:space="preserve"> representante</w:t>
      </w:r>
      <w:r w:rsidRPr="006A0A3F">
        <w:rPr>
          <w:rFonts w:ascii="Verdana" w:hAnsi="Verdana"/>
          <w:sz w:val="20"/>
        </w:rPr>
        <w:t xml:space="preserve"> también solicitó la reincorporación inmediata a los puestos que ocupaban previamente en el </w:t>
      </w:r>
      <w:r w:rsidR="00EE7B1A" w:rsidRPr="006A0A3F">
        <w:rPr>
          <w:rFonts w:ascii="Verdana" w:hAnsi="Verdana"/>
          <w:sz w:val="20"/>
        </w:rPr>
        <w:t>CNF</w:t>
      </w:r>
      <w:r w:rsidRPr="006A0A3F">
        <w:rPr>
          <w:rFonts w:ascii="Verdana" w:hAnsi="Verdana"/>
          <w:sz w:val="20"/>
        </w:rPr>
        <w:t>, o a otro cargo equivalente, teniendo en cuenta su antigüedad y sus credenciales profesionales</w:t>
      </w:r>
      <w:r w:rsidR="008E7499" w:rsidRPr="006A0A3F">
        <w:rPr>
          <w:rFonts w:ascii="Verdana" w:hAnsi="Verdana"/>
          <w:sz w:val="20"/>
        </w:rPr>
        <w:t>. E</w:t>
      </w:r>
      <w:r w:rsidR="00CB686F" w:rsidRPr="006A0A3F">
        <w:rPr>
          <w:rFonts w:ascii="Verdana" w:hAnsi="Verdana" w:cs="Times New Roman"/>
          <w:sz w:val="20"/>
          <w:szCs w:val="20"/>
          <w:lang w:bidi="en-US"/>
        </w:rPr>
        <w:t xml:space="preserve">l </w:t>
      </w:r>
      <w:r w:rsidR="00CB686F" w:rsidRPr="006A0A3F">
        <w:rPr>
          <w:rFonts w:ascii="Verdana" w:hAnsi="Verdana" w:cs="Times New Roman"/>
          <w:b/>
          <w:sz w:val="20"/>
          <w:szCs w:val="20"/>
          <w:lang w:bidi="en-US"/>
        </w:rPr>
        <w:t>Estado</w:t>
      </w:r>
      <w:r w:rsidR="00CB686F" w:rsidRPr="006A0A3F">
        <w:rPr>
          <w:rFonts w:ascii="Verdana" w:hAnsi="Verdana" w:cs="Times New Roman"/>
          <w:sz w:val="20"/>
          <w:szCs w:val="20"/>
          <w:lang w:bidi="en-US"/>
        </w:rPr>
        <w:t xml:space="preserve"> </w:t>
      </w:r>
      <w:r w:rsidR="008E7499" w:rsidRPr="006A0A3F">
        <w:rPr>
          <w:rFonts w:ascii="Verdana" w:hAnsi="Verdana" w:cs="Times New Roman"/>
          <w:sz w:val="20"/>
          <w:szCs w:val="20"/>
          <w:lang w:bidi="en-US"/>
        </w:rPr>
        <w:t xml:space="preserve">alegó </w:t>
      </w:r>
      <w:r w:rsidR="00CB686F" w:rsidRPr="006A0A3F">
        <w:rPr>
          <w:rFonts w:ascii="Verdana" w:hAnsi="Verdana" w:cs="Times New Roman"/>
          <w:sz w:val="20"/>
          <w:szCs w:val="20"/>
          <w:lang w:bidi="en-US"/>
        </w:rPr>
        <w:t xml:space="preserve">que </w:t>
      </w:r>
      <w:r w:rsidR="008E7499" w:rsidRPr="006A0A3F">
        <w:rPr>
          <w:rFonts w:ascii="Verdana" w:hAnsi="Verdana" w:cs="Times New Roman"/>
          <w:sz w:val="20"/>
          <w:szCs w:val="20"/>
          <w:lang w:bidi="en-US"/>
        </w:rPr>
        <w:t xml:space="preserve">tal </w:t>
      </w:r>
      <w:r w:rsidR="00CB686F" w:rsidRPr="006A0A3F">
        <w:rPr>
          <w:rFonts w:ascii="Verdana" w:hAnsi="Verdana" w:cs="Times New Roman"/>
          <w:sz w:val="20"/>
          <w:szCs w:val="20"/>
          <w:lang w:bidi="en-US"/>
        </w:rPr>
        <w:t>reincorporación implicaría un exceso contr</w:t>
      </w:r>
      <w:r w:rsidR="00EE7B1A" w:rsidRPr="006A0A3F">
        <w:rPr>
          <w:rFonts w:ascii="Verdana" w:hAnsi="Verdana" w:cs="Times New Roman"/>
          <w:sz w:val="20"/>
          <w:szCs w:val="20"/>
          <w:lang w:bidi="en-US"/>
        </w:rPr>
        <w:t>ario a</w:t>
      </w:r>
      <w:r w:rsidR="00CB686F" w:rsidRPr="006A0A3F">
        <w:rPr>
          <w:rFonts w:ascii="Verdana" w:hAnsi="Verdana" w:cs="Times New Roman"/>
          <w:sz w:val="20"/>
          <w:szCs w:val="20"/>
          <w:lang w:bidi="en-US"/>
        </w:rPr>
        <w:t xml:space="preserve"> disposiciones constitucionales expresas</w:t>
      </w:r>
      <w:r w:rsidR="008E7499" w:rsidRPr="006A0A3F">
        <w:rPr>
          <w:rFonts w:ascii="Verdana" w:hAnsi="Verdana" w:cs="Times New Roman"/>
          <w:sz w:val="20"/>
          <w:szCs w:val="20"/>
          <w:lang w:bidi="en-US"/>
        </w:rPr>
        <w:t>, pues está establecido que el ingreso a la carrera administrativa funcionarial en Venezuela debe ser mediante concurso público y que sólo a través de este mecanismo se puede aspirar a obtener la condición de funcionario de carrera y la estabilidad que la misma proporciona</w:t>
      </w:r>
      <w:r w:rsidR="00E438AC" w:rsidRPr="006A0A3F">
        <w:rPr>
          <w:rFonts w:ascii="Verdana" w:hAnsi="Verdana" w:cs="Times New Roman"/>
          <w:sz w:val="20"/>
          <w:szCs w:val="20"/>
          <w:lang w:bidi="en-US"/>
        </w:rPr>
        <w:t>.</w:t>
      </w:r>
    </w:p>
    <w:p w14:paraId="230BF127" w14:textId="77777777" w:rsidR="00CB686F" w:rsidRPr="006A0A3F" w:rsidRDefault="00CB686F" w:rsidP="00E438AC">
      <w:pPr>
        <w:pBdr>
          <w:top w:val="nil"/>
        </w:pBdr>
        <w:autoSpaceDE w:val="0"/>
        <w:autoSpaceDN w:val="0"/>
        <w:adjustRightInd w:val="0"/>
        <w:spacing w:after="0" w:line="240" w:lineRule="auto"/>
        <w:jc w:val="both"/>
        <w:rPr>
          <w:rFonts w:ascii="Verdana" w:hAnsi="Verdana" w:cs="Times New Roman"/>
          <w:sz w:val="20"/>
          <w:szCs w:val="20"/>
          <w:lang w:bidi="en-US"/>
        </w:rPr>
      </w:pPr>
    </w:p>
    <w:p w14:paraId="427475E8" w14:textId="161CFC8D" w:rsidR="00E86169" w:rsidRPr="006A0A3F" w:rsidRDefault="00E86169" w:rsidP="00E438AC">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cs="Times New Roman"/>
          <w:sz w:val="20"/>
          <w:szCs w:val="20"/>
          <w:lang w:bidi="en-US"/>
        </w:rPr>
        <w:t>La</w:t>
      </w:r>
      <w:r w:rsidRPr="006A0A3F">
        <w:rPr>
          <w:rFonts w:ascii="Verdana" w:hAnsi="Verdana"/>
          <w:b/>
          <w:sz w:val="20"/>
        </w:rPr>
        <w:t xml:space="preserve"> Corte</w:t>
      </w:r>
      <w:r w:rsidRPr="006A0A3F">
        <w:rPr>
          <w:rFonts w:ascii="Verdana" w:hAnsi="Verdana"/>
          <w:sz w:val="20"/>
        </w:rPr>
        <w:t xml:space="preserve"> </w:t>
      </w:r>
      <w:r w:rsidR="009374A8" w:rsidRPr="006A0A3F">
        <w:rPr>
          <w:rFonts w:ascii="Verdana" w:hAnsi="Verdana"/>
          <w:sz w:val="20"/>
        </w:rPr>
        <w:t>considera que, en razón de las circunstancias específicas de este caso, no corresponde ordenar la reinstal</w:t>
      </w:r>
      <w:r w:rsidR="006A0A3F" w:rsidRPr="006A0A3F">
        <w:rPr>
          <w:rFonts w:ascii="Verdana" w:hAnsi="Verdana"/>
          <w:sz w:val="20"/>
        </w:rPr>
        <w:t>a</w:t>
      </w:r>
      <w:r w:rsidR="009374A8" w:rsidRPr="006A0A3F">
        <w:rPr>
          <w:rFonts w:ascii="Verdana" w:hAnsi="Verdana"/>
          <w:sz w:val="20"/>
        </w:rPr>
        <w:t xml:space="preserve">ción o </w:t>
      </w:r>
      <w:r w:rsidR="00E57EF1" w:rsidRPr="006A0A3F">
        <w:rPr>
          <w:rFonts w:ascii="Verdana" w:hAnsi="Verdana"/>
          <w:sz w:val="20"/>
        </w:rPr>
        <w:t>reincorporación</w:t>
      </w:r>
      <w:r w:rsidR="009374A8" w:rsidRPr="006A0A3F">
        <w:rPr>
          <w:rFonts w:ascii="Verdana" w:hAnsi="Verdana"/>
          <w:sz w:val="20"/>
        </w:rPr>
        <w:t xml:space="preserve"> de las víctimas a cargos en la administración p</w:t>
      </w:r>
      <w:r w:rsidR="00741FBF" w:rsidRPr="006A0A3F">
        <w:rPr>
          <w:rFonts w:ascii="Verdana" w:hAnsi="Verdana"/>
          <w:sz w:val="20"/>
        </w:rPr>
        <w:t>ública, por lo cual lo</w:t>
      </w:r>
      <w:r w:rsidR="009B47D7" w:rsidRPr="006A0A3F">
        <w:rPr>
          <w:rFonts w:ascii="Verdana" w:hAnsi="Verdana"/>
          <w:sz w:val="20"/>
        </w:rPr>
        <w:t xml:space="preserve">s daños producidos por el despido arbitrario han sido ya tomados en cuenta </w:t>
      </w:r>
      <w:r w:rsidR="009374A8" w:rsidRPr="006A0A3F">
        <w:rPr>
          <w:rFonts w:ascii="Verdana" w:hAnsi="Verdana"/>
          <w:sz w:val="20"/>
        </w:rPr>
        <w:t>al fijar la indemnización compensatoria (</w:t>
      </w:r>
      <w:r w:rsidR="009374A8" w:rsidRPr="006A0A3F">
        <w:rPr>
          <w:rFonts w:ascii="Verdana" w:hAnsi="Verdana"/>
          <w:i/>
          <w:sz w:val="20"/>
        </w:rPr>
        <w:t xml:space="preserve">supra </w:t>
      </w:r>
      <w:proofErr w:type="spellStart"/>
      <w:r w:rsidR="004137B6">
        <w:rPr>
          <w:rFonts w:ascii="Verdana" w:hAnsi="Verdana"/>
          <w:sz w:val="20"/>
        </w:rPr>
        <w:t>párrs</w:t>
      </w:r>
      <w:proofErr w:type="spellEnd"/>
      <w:r w:rsidR="004137B6">
        <w:rPr>
          <w:rFonts w:ascii="Verdana" w:hAnsi="Verdana"/>
          <w:sz w:val="20"/>
        </w:rPr>
        <w:t>. 237 y 238</w:t>
      </w:r>
      <w:r w:rsidR="009374A8" w:rsidRPr="006A0A3F">
        <w:rPr>
          <w:rFonts w:ascii="Verdana" w:hAnsi="Verdana"/>
          <w:sz w:val="20"/>
        </w:rPr>
        <w:t xml:space="preserve">). </w:t>
      </w:r>
    </w:p>
    <w:p w14:paraId="3BCBEF4C" w14:textId="77777777" w:rsidR="00F47B2F" w:rsidRPr="006A0A3F" w:rsidRDefault="00F47B2F" w:rsidP="0043338F">
      <w:pPr>
        <w:pBdr>
          <w:top w:val="nil"/>
        </w:pBdr>
        <w:autoSpaceDE w:val="0"/>
        <w:autoSpaceDN w:val="0"/>
        <w:adjustRightInd w:val="0"/>
        <w:spacing w:after="0" w:line="240" w:lineRule="auto"/>
        <w:jc w:val="both"/>
        <w:rPr>
          <w:rFonts w:ascii="Verdana" w:hAnsi="Verdana"/>
          <w:sz w:val="20"/>
        </w:rPr>
      </w:pPr>
    </w:p>
    <w:p w14:paraId="3B0A4522" w14:textId="7AD5BC7B" w:rsidR="00E86169" w:rsidRPr="006A0A3F" w:rsidRDefault="00E86169" w:rsidP="0043338F">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La</w:t>
      </w:r>
      <w:r w:rsidRPr="006A0A3F">
        <w:rPr>
          <w:rFonts w:ascii="Verdana" w:hAnsi="Verdana"/>
          <w:b/>
          <w:sz w:val="20"/>
        </w:rPr>
        <w:t xml:space="preserve"> Comisión</w:t>
      </w:r>
      <w:r w:rsidRPr="006A0A3F">
        <w:rPr>
          <w:rFonts w:ascii="Verdana" w:hAnsi="Verdana"/>
          <w:sz w:val="20"/>
        </w:rPr>
        <w:t xml:space="preserve"> solicitó que </w:t>
      </w:r>
      <w:r w:rsidR="0043338F" w:rsidRPr="006A0A3F">
        <w:rPr>
          <w:rFonts w:ascii="Verdana" w:hAnsi="Verdana"/>
          <w:sz w:val="20"/>
        </w:rPr>
        <w:t>se ordene al Estado adoptar</w:t>
      </w:r>
      <w:r w:rsidRPr="006A0A3F">
        <w:rPr>
          <w:rFonts w:ascii="Verdana" w:hAnsi="Verdana"/>
          <w:sz w:val="20"/>
        </w:rPr>
        <w:t xml:space="preserve"> </w:t>
      </w:r>
      <w:r w:rsidR="0043338F" w:rsidRPr="006A0A3F">
        <w:rPr>
          <w:rFonts w:ascii="Verdana" w:hAnsi="Verdana"/>
          <w:sz w:val="20"/>
        </w:rPr>
        <w:t>“</w:t>
      </w:r>
      <w:r w:rsidRPr="006A0A3F">
        <w:rPr>
          <w:rFonts w:ascii="Verdana" w:hAnsi="Verdana"/>
          <w:sz w:val="20"/>
        </w:rPr>
        <w:t>medidas legislativas, administrativas o de otra índole para prevenir la discriminación por razones políticas</w:t>
      </w:r>
      <w:r w:rsidR="0043338F" w:rsidRPr="006A0A3F">
        <w:rPr>
          <w:rFonts w:ascii="Verdana" w:hAnsi="Verdana"/>
          <w:sz w:val="20"/>
        </w:rPr>
        <w:t>”</w:t>
      </w:r>
      <w:r w:rsidRPr="006A0A3F">
        <w:rPr>
          <w:rFonts w:ascii="Verdana" w:hAnsi="Verdana"/>
          <w:sz w:val="20"/>
        </w:rPr>
        <w:t xml:space="preserve"> y que </w:t>
      </w:r>
      <w:r w:rsidR="0043338F" w:rsidRPr="006A0A3F">
        <w:rPr>
          <w:rFonts w:ascii="Verdana" w:hAnsi="Verdana"/>
          <w:sz w:val="20"/>
        </w:rPr>
        <w:t>“</w:t>
      </w:r>
      <w:r w:rsidRPr="006A0A3F">
        <w:rPr>
          <w:rFonts w:ascii="Verdana" w:hAnsi="Verdana"/>
          <w:sz w:val="20"/>
        </w:rPr>
        <w:t>asegure la existencia de reglas claras sobre el acceso y utilización de datos recogidos en procesos electorales, con las salvaguardas necesarias para garantizar la libre expresión de la opinión política sin temor a posibles represalias</w:t>
      </w:r>
      <w:r w:rsidR="0043338F" w:rsidRPr="006A0A3F">
        <w:rPr>
          <w:rFonts w:ascii="Verdana" w:hAnsi="Verdana"/>
          <w:sz w:val="20"/>
        </w:rPr>
        <w:t>”</w:t>
      </w:r>
      <w:r w:rsidRPr="006A0A3F">
        <w:rPr>
          <w:rFonts w:ascii="Verdana" w:hAnsi="Verdana"/>
          <w:sz w:val="20"/>
        </w:rPr>
        <w:t xml:space="preserve">. </w:t>
      </w:r>
    </w:p>
    <w:p w14:paraId="549D280A" w14:textId="77777777" w:rsidR="00BD3B9D" w:rsidRPr="006A0A3F" w:rsidRDefault="00BD3B9D" w:rsidP="00BD3B9D">
      <w:pPr>
        <w:pBdr>
          <w:top w:val="nil"/>
        </w:pBdr>
        <w:autoSpaceDE w:val="0"/>
        <w:autoSpaceDN w:val="0"/>
        <w:adjustRightInd w:val="0"/>
        <w:spacing w:after="0" w:line="240" w:lineRule="auto"/>
        <w:jc w:val="both"/>
        <w:rPr>
          <w:rFonts w:ascii="Verdana" w:hAnsi="Verdana"/>
          <w:sz w:val="20"/>
        </w:rPr>
      </w:pPr>
    </w:p>
    <w:p w14:paraId="2C15E5F8" w14:textId="40BC5400" w:rsidR="00BD3B9D" w:rsidRPr="006A0A3F" w:rsidRDefault="00BD3B9D" w:rsidP="00BD3B9D">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La</w:t>
      </w:r>
      <w:r w:rsidRPr="006A0A3F">
        <w:rPr>
          <w:rFonts w:ascii="Verdana" w:hAnsi="Verdana"/>
          <w:b/>
          <w:sz w:val="20"/>
        </w:rPr>
        <w:t xml:space="preserve"> Comisión</w:t>
      </w:r>
      <w:r w:rsidRPr="006A0A3F">
        <w:rPr>
          <w:rFonts w:ascii="Verdana" w:hAnsi="Verdana"/>
          <w:sz w:val="20"/>
        </w:rPr>
        <w:t xml:space="preserve"> y el </w:t>
      </w:r>
      <w:r w:rsidRPr="006A0A3F">
        <w:rPr>
          <w:rFonts w:ascii="Verdana" w:hAnsi="Verdana"/>
          <w:b/>
          <w:sz w:val="20"/>
        </w:rPr>
        <w:t>representante</w:t>
      </w:r>
      <w:r w:rsidR="008D5A22">
        <w:rPr>
          <w:rFonts w:ascii="Verdana" w:hAnsi="Verdana"/>
          <w:sz w:val="20"/>
        </w:rPr>
        <w:t xml:space="preserve"> solicitaron que se orden</w:t>
      </w:r>
      <w:r w:rsidRPr="006A0A3F">
        <w:rPr>
          <w:rFonts w:ascii="Verdana" w:hAnsi="Verdana"/>
          <w:sz w:val="20"/>
        </w:rPr>
        <w:t>e al Estado realizar programas de capacitación a diversos funcionarios públicos</w:t>
      </w:r>
      <w:r w:rsidRPr="006A0A3F">
        <w:rPr>
          <w:rStyle w:val="FootnoteReference"/>
          <w:rFonts w:ascii="Verdana" w:hAnsi="Verdana"/>
          <w:sz w:val="20"/>
        </w:rPr>
        <w:footnoteReference w:id="292"/>
      </w:r>
      <w:r w:rsidRPr="006A0A3F">
        <w:rPr>
          <w:rFonts w:ascii="Verdana" w:hAnsi="Verdana"/>
          <w:sz w:val="20"/>
        </w:rPr>
        <w:t>.</w:t>
      </w:r>
    </w:p>
    <w:p w14:paraId="739EFA73" w14:textId="77777777" w:rsidR="00BD3B9D" w:rsidRPr="006A0A3F" w:rsidRDefault="00BD3B9D" w:rsidP="0043338F">
      <w:pPr>
        <w:pStyle w:val="ListParagraph"/>
        <w:rPr>
          <w:rFonts w:ascii="Verdana" w:hAnsi="Verdana"/>
          <w:sz w:val="20"/>
          <w:lang w:val="es-CR"/>
        </w:rPr>
      </w:pPr>
    </w:p>
    <w:p w14:paraId="5201B569" w14:textId="1CCBD3D4" w:rsidR="00F12247" w:rsidRPr="006A0A3F" w:rsidRDefault="00F12247" w:rsidP="00F12247">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El</w:t>
      </w:r>
      <w:r w:rsidRPr="006A0A3F">
        <w:rPr>
          <w:rFonts w:ascii="Verdana" w:hAnsi="Verdana"/>
          <w:b/>
          <w:sz w:val="20"/>
        </w:rPr>
        <w:t xml:space="preserve"> representante</w:t>
      </w:r>
      <w:r w:rsidRPr="006A0A3F">
        <w:rPr>
          <w:rFonts w:ascii="Verdana" w:hAnsi="Verdana"/>
          <w:sz w:val="20"/>
        </w:rPr>
        <w:t xml:space="preserve"> solicitó que la Corte ordene al Estado: la reforma de los Reglamentos </w:t>
      </w:r>
      <w:r w:rsidR="00BD3B9D" w:rsidRPr="006A0A3F">
        <w:rPr>
          <w:rFonts w:ascii="Verdana" w:hAnsi="Verdana"/>
          <w:sz w:val="20"/>
        </w:rPr>
        <w:t xml:space="preserve">del Consejo Nacional Electoral para </w:t>
      </w:r>
      <w:r w:rsidRPr="006A0A3F">
        <w:rPr>
          <w:rFonts w:ascii="Verdana" w:hAnsi="Verdana"/>
          <w:sz w:val="20"/>
        </w:rPr>
        <w:t>garantizar el ejercicio de los derechos políticos sin temor a represalias; la modificación del Código Penal de Venezuela para “incorporar el delito de discriminación política con penas severa</w:t>
      </w:r>
      <w:r w:rsidR="00BD3B9D" w:rsidRPr="006A0A3F">
        <w:rPr>
          <w:rFonts w:ascii="Verdana" w:hAnsi="Verdana"/>
          <w:sz w:val="20"/>
        </w:rPr>
        <w:t xml:space="preserve">s para quienes lo practiquen”; </w:t>
      </w:r>
      <w:r w:rsidRPr="006A0A3F">
        <w:rPr>
          <w:rFonts w:ascii="Verdana" w:hAnsi="Verdana"/>
          <w:sz w:val="20"/>
        </w:rPr>
        <w:t>la adopción de “leyes que garanticen, en forma efectiva, el pleno ejercicio de la libertad de expresión y de los derechos políticos sin temor a represalias, incluyendo sanciones penales y administrativas”</w:t>
      </w:r>
      <w:r w:rsidR="00BD3B9D" w:rsidRPr="006A0A3F">
        <w:rPr>
          <w:rFonts w:ascii="Verdana" w:hAnsi="Verdana"/>
          <w:sz w:val="20"/>
        </w:rPr>
        <w:t xml:space="preserve">; y la realización de un acto público de desagravio a las víctimas, en el que se condene la </w:t>
      </w:r>
      <w:r w:rsidR="00BD3B9D" w:rsidRPr="006A0A3F">
        <w:rPr>
          <w:rFonts w:ascii="Verdana" w:hAnsi="Verdana"/>
          <w:sz w:val="20"/>
        </w:rPr>
        <w:lastRenderedPageBreak/>
        <w:t>discriminación política, presidido por un Ministro de Estado y con la participación de magistrados del Tribunal Supremo de Justicia, la Fiscal General de la República, los rectores del Consejo Nacional Electoral y el Defensor del Pueblo</w:t>
      </w:r>
      <w:r w:rsidRPr="006A0A3F">
        <w:rPr>
          <w:rFonts w:ascii="Verdana" w:hAnsi="Verdana"/>
          <w:sz w:val="20"/>
        </w:rPr>
        <w:t>.</w:t>
      </w:r>
    </w:p>
    <w:p w14:paraId="2699643F" w14:textId="77777777" w:rsidR="00F12247" w:rsidRPr="006A0A3F" w:rsidRDefault="00F12247" w:rsidP="00F12247">
      <w:pPr>
        <w:pBdr>
          <w:top w:val="nil"/>
        </w:pBdr>
        <w:autoSpaceDE w:val="0"/>
        <w:autoSpaceDN w:val="0"/>
        <w:adjustRightInd w:val="0"/>
        <w:spacing w:after="0" w:line="240" w:lineRule="auto"/>
        <w:jc w:val="both"/>
        <w:rPr>
          <w:rFonts w:ascii="Verdana" w:eastAsia="Calibri" w:hAnsi="Verdana" w:cs="Times New Roman"/>
          <w:sz w:val="20"/>
          <w:szCs w:val="20"/>
        </w:rPr>
      </w:pPr>
    </w:p>
    <w:p w14:paraId="09DDE159" w14:textId="42972A5D" w:rsidR="006011A4" w:rsidRPr="006A0A3F" w:rsidRDefault="0027639D" w:rsidP="006011A4">
      <w:pPr>
        <w:numPr>
          <w:ilvl w:val="0"/>
          <w:numId w:val="4"/>
        </w:numPr>
        <w:pBdr>
          <w:top w:val="nil"/>
        </w:pBdr>
        <w:autoSpaceDE w:val="0"/>
        <w:autoSpaceDN w:val="0"/>
        <w:adjustRightInd w:val="0"/>
        <w:spacing w:after="0" w:line="240" w:lineRule="auto"/>
        <w:ind w:left="0" w:firstLine="0"/>
        <w:jc w:val="both"/>
        <w:rPr>
          <w:rFonts w:ascii="Verdana" w:eastAsia="Calibri" w:hAnsi="Verdana" w:cs="Times New Roman"/>
          <w:sz w:val="20"/>
          <w:szCs w:val="20"/>
        </w:rPr>
      </w:pPr>
      <w:r w:rsidRPr="006A0A3F">
        <w:rPr>
          <w:rFonts w:ascii="Verdana" w:hAnsi="Verdana"/>
          <w:sz w:val="20"/>
        </w:rPr>
        <w:t xml:space="preserve">En este caso, la </w:t>
      </w:r>
      <w:r w:rsidRPr="006A0A3F">
        <w:rPr>
          <w:rFonts w:ascii="Verdana" w:hAnsi="Verdana"/>
          <w:b/>
          <w:sz w:val="20"/>
        </w:rPr>
        <w:t>Corte</w:t>
      </w:r>
      <w:r w:rsidR="0043338F" w:rsidRPr="006A0A3F">
        <w:rPr>
          <w:rFonts w:ascii="Verdana" w:hAnsi="Verdana"/>
          <w:sz w:val="20"/>
        </w:rPr>
        <w:t xml:space="preserve"> ha consta</w:t>
      </w:r>
      <w:r w:rsidRPr="006A0A3F">
        <w:rPr>
          <w:rFonts w:ascii="Verdana" w:hAnsi="Verdana"/>
          <w:sz w:val="20"/>
        </w:rPr>
        <w:t xml:space="preserve">tado la ausencia de salvaguardas </w:t>
      </w:r>
      <w:r w:rsidRPr="006A0A3F">
        <w:rPr>
          <w:rFonts w:ascii="Verdana" w:hAnsi="Verdana"/>
          <w:sz w:val="20"/>
          <w:szCs w:val="20"/>
        </w:rPr>
        <w:t xml:space="preserve">para garantizar </w:t>
      </w:r>
      <w:r w:rsidR="006A53EB" w:rsidRPr="006A0A3F">
        <w:rPr>
          <w:rFonts w:ascii="Verdana" w:hAnsi="Verdana"/>
          <w:sz w:val="20"/>
          <w:szCs w:val="20"/>
        </w:rPr>
        <w:t>el libre ejercicio del derecho de participación política</w:t>
      </w:r>
      <w:r w:rsidR="00AF21C4">
        <w:rPr>
          <w:rFonts w:ascii="Verdana" w:hAnsi="Verdana"/>
          <w:sz w:val="20"/>
          <w:szCs w:val="20"/>
        </w:rPr>
        <w:t xml:space="preserve"> de quienes solicitaron la convocatoria a referendo</w:t>
      </w:r>
      <w:r w:rsidR="00F12506" w:rsidRPr="006A0A3F">
        <w:rPr>
          <w:rFonts w:ascii="Verdana" w:hAnsi="Verdana"/>
          <w:sz w:val="20"/>
          <w:szCs w:val="20"/>
        </w:rPr>
        <w:t>, así como para</w:t>
      </w:r>
      <w:r w:rsidRPr="006A0A3F">
        <w:rPr>
          <w:rFonts w:ascii="Verdana" w:hAnsi="Verdana"/>
          <w:sz w:val="20"/>
          <w:szCs w:val="20"/>
        </w:rPr>
        <w:t xml:space="preserve"> proteger a </w:t>
      </w:r>
      <w:r w:rsidR="006A53EB" w:rsidRPr="006A0A3F">
        <w:rPr>
          <w:rFonts w:ascii="Verdana" w:hAnsi="Verdana"/>
          <w:sz w:val="20"/>
          <w:szCs w:val="20"/>
        </w:rPr>
        <w:t xml:space="preserve">éstos </w:t>
      </w:r>
      <w:r w:rsidRPr="006A0A3F">
        <w:rPr>
          <w:rFonts w:ascii="Verdana" w:hAnsi="Verdana"/>
          <w:sz w:val="20"/>
          <w:szCs w:val="20"/>
        </w:rPr>
        <w:t xml:space="preserve">contra presiones y posibles represalias. </w:t>
      </w:r>
      <w:r w:rsidR="006011A4" w:rsidRPr="006A0A3F">
        <w:rPr>
          <w:rFonts w:ascii="Verdana" w:hAnsi="Verdana"/>
          <w:sz w:val="20"/>
          <w:szCs w:val="20"/>
        </w:rPr>
        <w:t>Sin embargo, por los términos tan amplios en que están formuladas esas recomendaciones de la Comisión</w:t>
      </w:r>
      <w:r w:rsidR="00F12247" w:rsidRPr="006A0A3F">
        <w:rPr>
          <w:rFonts w:ascii="Verdana" w:hAnsi="Verdana"/>
          <w:sz w:val="20"/>
          <w:szCs w:val="20"/>
        </w:rPr>
        <w:t xml:space="preserve"> y las solicitudes del representante</w:t>
      </w:r>
      <w:r w:rsidR="006011A4" w:rsidRPr="006A0A3F">
        <w:rPr>
          <w:rFonts w:ascii="Verdana" w:hAnsi="Verdana"/>
          <w:sz w:val="20"/>
          <w:szCs w:val="20"/>
        </w:rPr>
        <w:t xml:space="preserve">, </w:t>
      </w:r>
      <w:r w:rsidR="006011A4" w:rsidRPr="006A0A3F">
        <w:rPr>
          <w:rFonts w:ascii="Verdana" w:eastAsia="Calibri" w:hAnsi="Verdana" w:cs="Times New Roman"/>
          <w:sz w:val="20"/>
          <w:szCs w:val="20"/>
        </w:rPr>
        <w:t>no resulta claro</w:t>
      </w:r>
      <w:r w:rsidRPr="006A0A3F">
        <w:rPr>
          <w:rFonts w:ascii="Verdana" w:eastAsia="Calibri" w:hAnsi="Verdana" w:cs="Times New Roman"/>
          <w:sz w:val="20"/>
          <w:szCs w:val="20"/>
        </w:rPr>
        <w:t xml:space="preserve"> qué tipo de normas o </w:t>
      </w:r>
      <w:r w:rsidR="006A145E" w:rsidRPr="006A0A3F">
        <w:rPr>
          <w:rFonts w:ascii="Verdana" w:eastAsia="Calibri" w:hAnsi="Verdana" w:cs="Times New Roman"/>
          <w:sz w:val="20"/>
          <w:szCs w:val="20"/>
        </w:rPr>
        <w:t xml:space="preserve">el </w:t>
      </w:r>
      <w:r w:rsidRPr="006A0A3F">
        <w:rPr>
          <w:rFonts w:ascii="Verdana" w:eastAsia="Calibri" w:hAnsi="Verdana" w:cs="Times New Roman"/>
          <w:sz w:val="20"/>
          <w:szCs w:val="20"/>
        </w:rPr>
        <w:t xml:space="preserve">desarrollo de cuáles prácticas </w:t>
      </w:r>
      <w:r w:rsidR="006011A4" w:rsidRPr="006A0A3F">
        <w:rPr>
          <w:rFonts w:ascii="Verdana" w:eastAsia="Calibri" w:hAnsi="Verdana" w:cs="Times New Roman"/>
          <w:sz w:val="20"/>
          <w:szCs w:val="20"/>
        </w:rPr>
        <w:t xml:space="preserve">deberían </w:t>
      </w:r>
      <w:r w:rsidRPr="006A0A3F">
        <w:rPr>
          <w:rFonts w:ascii="Verdana" w:eastAsia="Calibri" w:hAnsi="Verdana" w:cs="Times New Roman"/>
          <w:sz w:val="20"/>
          <w:szCs w:val="20"/>
        </w:rPr>
        <w:t>regularse</w:t>
      </w:r>
      <w:r w:rsidR="006011A4" w:rsidRPr="006A0A3F">
        <w:rPr>
          <w:rFonts w:ascii="Verdana" w:eastAsia="Calibri" w:hAnsi="Verdana" w:cs="Times New Roman"/>
          <w:sz w:val="20"/>
          <w:szCs w:val="20"/>
        </w:rPr>
        <w:t xml:space="preserve"> específicamente</w:t>
      </w:r>
      <w:r w:rsidRPr="006A0A3F">
        <w:rPr>
          <w:rFonts w:ascii="Verdana" w:eastAsia="Calibri" w:hAnsi="Verdana" w:cs="Times New Roman"/>
          <w:sz w:val="20"/>
          <w:szCs w:val="20"/>
        </w:rPr>
        <w:t xml:space="preserve"> en el Estado para</w:t>
      </w:r>
      <w:r w:rsidR="006011A4" w:rsidRPr="006A0A3F">
        <w:rPr>
          <w:rFonts w:ascii="Verdana" w:eastAsia="Calibri" w:hAnsi="Verdana" w:cs="Times New Roman"/>
          <w:sz w:val="20"/>
          <w:szCs w:val="20"/>
        </w:rPr>
        <w:t xml:space="preserve"> esos efectos</w:t>
      </w:r>
      <w:r w:rsidR="00B44910" w:rsidRPr="006A0A3F">
        <w:rPr>
          <w:rFonts w:ascii="Verdana" w:eastAsia="Calibri" w:hAnsi="Verdana" w:cs="Times New Roman"/>
          <w:sz w:val="20"/>
          <w:szCs w:val="20"/>
        </w:rPr>
        <w:t xml:space="preserve"> o en qué sentido deberían reformarse los reglamentos del </w:t>
      </w:r>
      <w:r w:rsidR="00EF2FF4" w:rsidRPr="006A0A3F">
        <w:rPr>
          <w:rFonts w:ascii="Verdana" w:hAnsi="Verdana"/>
          <w:sz w:val="20"/>
          <w:szCs w:val="20"/>
        </w:rPr>
        <w:t>Consejo Nacional Electoral</w:t>
      </w:r>
      <w:r w:rsidR="006011A4" w:rsidRPr="006A0A3F">
        <w:rPr>
          <w:rFonts w:ascii="Verdana" w:eastAsia="Calibri" w:hAnsi="Verdana" w:cs="Times New Roman"/>
          <w:sz w:val="20"/>
          <w:szCs w:val="20"/>
        </w:rPr>
        <w:t>.</w:t>
      </w:r>
      <w:r w:rsidRPr="006A0A3F">
        <w:rPr>
          <w:rFonts w:ascii="Verdana" w:eastAsia="Calibri" w:hAnsi="Verdana" w:cs="Times New Roman"/>
          <w:sz w:val="20"/>
          <w:szCs w:val="20"/>
        </w:rPr>
        <w:t xml:space="preserve"> </w:t>
      </w:r>
      <w:r w:rsidR="006011A4" w:rsidRPr="006A0A3F">
        <w:rPr>
          <w:rFonts w:ascii="Verdana" w:eastAsia="Calibri" w:hAnsi="Verdana" w:cs="Times New Roman"/>
          <w:sz w:val="20"/>
          <w:szCs w:val="20"/>
        </w:rPr>
        <w:t xml:space="preserve">Además, en este caso </w:t>
      </w:r>
      <w:r w:rsidRPr="006A0A3F">
        <w:rPr>
          <w:rFonts w:ascii="Verdana" w:eastAsia="Calibri" w:hAnsi="Verdana" w:cs="Times New Roman"/>
          <w:sz w:val="20"/>
          <w:szCs w:val="20"/>
        </w:rPr>
        <w:t xml:space="preserve">no </w:t>
      </w:r>
      <w:r w:rsidR="00F12506" w:rsidRPr="006A0A3F">
        <w:rPr>
          <w:rFonts w:ascii="Verdana" w:eastAsia="Calibri" w:hAnsi="Verdana" w:cs="Times New Roman"/>
          <w:sz w:val="20"/>
          <w:szCs w:val="20"/>
        </w:rPr>
        <w:t>fueron</w:t>
      </w:r>
      <w:r w:rsidRPr="006A0A3F">
        <w:rPr>
          <w:rFonts w:ascii="Verdana" w:eastAsia="Calibri" w:hAnsi="Verdana" w:cs="Times New Roman"/>
          <w:sz w:val="20"/>
          <w:szCs w:val="20"/>
        </w:rPr>
        <w:t xml:space="preserve"> aportados elementos suficientes para analizar </w:t>
      </w:r>
      <w:r w:rsidR="00F12506" w:rsidRPr="006A0A3F">
        <w:rPr>
          <w:rFonts w:ascii="Verdana" w:eastAsia="Calibri" w:hAnsi="Verdana" w:cs="Times New Roman"/>
          <w:sz w:val="20"/>
          <w:szCs w:val="20"/>
        </w:rPr>
        <w:t xml:space="preserve">los hechos bajo el artículo 2 de </w:t>
      </w:r>
      <w:r w:rsidRPr="006A0A3F">
        <w:rPr>
          <w:rFonts w:ascii="Verdana" w:eastAsia="Calibri" w:hAnsi="Verdana" w:cs="Times New Roman"/>
          <w:sz w:val="20"/>
          <w:szCs w:val="20"/>
        </w:rPr>
        <w:t>la Convención (</w:t>
      </w:r>
      <w:r w:rsidRPr="006A0A3F">
        <w:rPr>
          <w:rFonts w:ascii="Verdana" w:eastAsia="Calibri" w:hAnsi="Verdana" w:cs="Times New Roman"/>
          <w:i/>
          <w:sz w:val="20"/>
          <w:szCs w:val="20"/>
        </w:rPr>
        <w:t>supra</w:t>
      </w:r>
      <w:r w:rsidRPr="006A0A3F">
        <w:rPr>
          <w:rFonts w:ascii="Verdana" w:eastAsia="Calibri" w:hAnsi="Verdana" w:cs="Times New Roman"/>
          <w:sz w:val="20"/>
          <w:szCs w:val="20"/>
        </w:rPr>
        <w:t xml:space="preserve"> </w:t>
      </w:r>
      <w:proofErr w:type="spellStart"/>
      <w:r w:rsidRPr="006A0A3F">
        <w:rPr>
          <w:rFonts w:ascii="Verdana" w:eastAsia="Calibri" w:hAnsi="Verdana" w:cs="Times New Roman"/>
          <w:sz w:val="20"/>
          <w:szCs w:val="20"/>
        </w:rPr>
        <w:t>párr</w:t>
      </w:r>
      <w:r w:rsidR="007E4A90" w:rsidRPr="006A0A3F">
        <w:rPr>
          <w:rFonts w:ascii="Verdana" w:eastAsia="Calibri" w:hAnsi="Verdana" w:cs="Times New Roman"/>
          <w:sz w:val="20"/>
          <w:szCs w:val="20"/>
        </w:rPr>
        <w:t>s</w:t>
      </w:r>
      <w:proofErr w:type="spellEnd"/>
      <w:r w:rsidRPr="006A0A3F">
        <w:rPr>
          <w:rFonts w:ascii="Verdana" w:eastAsia="Calibri" w:hAnsi="Verdana" w:cs="Times New Roman"/>
          <w:sz w:val="20"/>
          <w:szCs w:val="20"/>
        </w:rPr>
        <w:t>.</w:t>
      </w:r>
      <w:r w:rsidR="007E4A90" w:rsidRPr="006A0A3F">
        <w:rPr>
          <w:rFonts w:ascii="Verdana" w:eastAsia="Calibri" w:hAnsi="Verdana" w:cs="Times New Roman"/>
          <w:sz w:val="20"/>
          <w:szCs w:val="20"/>
        </w:rPr>
        <w:t xml:space="preserve"> 16</w:t>
      </w:r>
      <w:r w:rsidR="004137B6">
        <w:rPr>
          <w:rFonts w:ascii="Verdana" w:eastAsia="Calibri" w:hAnsi="Verdana" w:cs="Times New Roman"/>
          <w:sz w:val="20"/>
          <w:szCs w:val="20"/>
        </w:rPr>
        <w:t>6</w:t>
      </w:r>
      <w:r w:rsidR="007E4A90" w:rsidRPr="006A0A3F">
        <w:rPr>
          <w:rFonts w:ascii="Verdana" w:eastAsia="Calibri" w:hAnsi="Verdana" w:cs="Times New Roman"/>
          <w:sz w:val="20"/>
          <w:szCs w:val="20"/>
        </w:rPr>
        <w:t xml:space="preserve"> y 16</w:t>
      </w:r>
      <w:r w:rsidR="004137B6">
        <w:rPr>
          <w:rFonts w:ascii="Verdana" w:eastAsia="Calibri" w:hAnsi="Verdana" w:cs="Times New Roman"/>
          <w:sz w:val="20"/>
          <w:szCs w:val="20"/>
        </w:rPr>
        <w:t>7</w:t>
      </w:r>
      <w:r w:rsidRPr="006A0A3F">
        <w:rPr>
          <w:rFonts w:ascii="Verdana" w:eastAsia="Calibri" w:hAnsi="Verdana" w:cs="Times New Roman"/>
          <w:sz w:val="20"/>
          <w:szCs w:val="20"/>
        </w:rPr>
        <w:t xml:space="preserve">). </w:t>
      </w:r>
      <w:r w:rsidR="00B44910" w:rsidRPr="006A0A3F">
        <w:rPr>
          <w:rFonts w:ascii="Verdana" w:eastAsia="Calibri" w:hAnsi="Verdana" w:cs="Times New Roman"/>
          <w:sz w:val="20"/>
          <w:szCs w:val="20"/>
        </w:rPr>
        <w:t>En particular, respecto de la solicitud de regular un “</w:t>
      </w:r>
      <w:r w:rsidR="00B44910" w:rsidRPr="006A0A3F">
        <w:rPr>
          <w:rFonts w:ascii="Verdana" w:hAnsi="Verdana"/>
          <w:sz w:val="20"/>
        </w:rPr>
        <w:t>delito de discriminación política”</w:t>
      </w:r>
      <w:r w:rsidR="00B44910" w:rsidRPr="006A0A3F">
        <w:rPr>
          <w:rFonts w:ascii="Verdana" w:eastAsia="Calibri" w:hAnsi="Verdana" w:cs="Times New Roman"/>
          <w:sz w:val="20"/>
          <w:szCs w:val="20"/>
        </w:rPr>
        <w:t xml:space="preserve">, no ha sido aportada argumentación alguna que permita determinar qué características podría o debería tener un tipo penal de esa índole y, más importante aún, </w:t>
      </w:r>
      <w:r w:rsidR="00E2059F" w:rsidRPr="006A0A3F">
        <w:rPr>
          <w:rFonts w:ascii="Verdana" w:eastAsia="Calibri" w:hAnsi="Verdana" w:cs="Times New Roman"/>
          <w:sz w:val="20"/>
          <w:szCs w:val="20"/>
        </w:rPr>
        <w:t>acerca de la posible efectividad del Derecho Penal para regular ese tipo de situaciones.</w:t>
      </w:r>
      <w:r w:rsidR="00B44910" w:rsidRPr="006A0A3F">
        <w:rPr>
          <w:rFonts w:ascii="Verdana" w:eastAsia="Calibri" w:hAnsi="Verdana" w:cs="Times New Roman"/>
          <w:sz w:val="20"/>
          <w:szCs w:val="20"/>
        </w:rPr>
        <w:t xml:space="preserve"> En definitiva, </w:t>
      </w:r>
      <w:r w:rsidR="006011A4" w:rsidRPr="006A0A3F">
        <w:rPr>
          <w:rFonts w:ascii="Verdana" w:eastAsia="Calibri" w:hAnsi="Verdana" w:cs="Times New Roman"/>
          <w:sz w:val="20"/>
          <w:szCs w:val="20"/>
        </w:rPr>
        <w:t xml:space="preserve">la Comisión </w:t>
      </w:r>
      <w:r w:rsidR="00B44910" w:rsidRPr="006A0A3F">
        <w:rPr>
          <w:rFonts w:ascii="Verdana" w:eastAsia="Calibri" w:hAnsi="Verdana" w:cs="Times New Roman"/>
          <w:sz w:val="20"/>
          <w:szCs w:val="20"/>
        </w:rPr>
        <w:t xml:space="preserve">y el representante omitieron </w:t>
      </w:r>
      <w:r w:rsidR="00B44910" w:rsidRPr="006A0A3F">
        <w:rPr>
          <w:rFonts w:ascii="Verdana" w:hAnsi="Verdana"/>
          <w:sz w:val="20"/>
          <w:szCs w:val="20"/>
        </w:rPr>
        <w:t>señalar</w:t>
      </w:r>
      <w:r w:rsidR="006011A4" w:rsidRPr="006A0A3F">
        <w:rPr>
          <w:rFonts w:ascii="Verdana" w:hAnsi="Verdana"/>
          <w:sz w:val="20"/>
          <w:szCs w:val="20"/>
        </w:rPr>
        <w:t xml:space="preserve"> claramente los medios o medidas procesales o sustantivas que en tales supuestos el Estado tendría que adoptar a efectos de cumplir eventualmente una orden en ese sentido</w:t>
      </w:r>
      <w:r w:rsidR="006011A4" w:rsidRPr="006A0A3F">
        <w:rPr>
          <w:rStyle w:val="FootnoteReference"/>
          <w:rFonts w:ascii="Verdana" w:hAnsi="Verdana"/>
          <w:sz w:val="20"/>
          <w:szCs w:val="20"/>
        </w:rPr>
        <w:footnoteReference w:id="293"/>
      </w:r>
      <w:r w:rsidR="006011A4" w:rsidRPr="006A0A3F">
        <w:rPr>
          <w:rFonts w:ascii="Verdana" w:hAnsi="Verdana"/>
          <w:sz w:val="20"/>
          <w:szCs w:val="20"/>
        </w:rPr>
        <w:t>, p</w:t>
      </w:r>
      <w:r w:rsidR="00F12506" w:rsidRPr="006A0A3F">
        <w:rPr>
          <w:rFonts w:ascii="Verdana" w:hAnsi="Verdana"/>
          <w:sz w:val="20"/>
          <w:szCs w:val="20"/>
        </w:rPr>
        <w:t>or lo cual no procede disponer</w:t>
      </w:r>
      <w:r w:rsidR="006011A4" w:rsidRPr="006A0A3F">
        <w:rPr>
          <w:rFonts w:ascii="Verdana" w:hAnsi="Verdana"/>
          <w:sz w:val="20"/>
          <w:szCs w:val="20"/>
        </w:rPr>
        <w:t xml:space="preserve"> </w:t>
      </w:r>
      <w:r w:rsidR="00E2059F" w:rsidRPr="006A0A3F">
        <w:rPr>
          <w:rFonts w:ascii="Verdana" w:hAnsi="Verdana"/>
          <w:sz w:val="20"/>
          <w:szCs w:val="20"/>
        </w:rPr>
        <w:t>las medidas solicitadas, sin perjuicio de lo que corresponda al Estado implementar en el marco de sus obligaciones generales de respeto y garantía de los derechos humanos, en los términos del artículo 1.1. de la Convención</w:t>
      </w:r>
      <w:r w:rsidR="006011A4" w:rsidRPr="006A0A3F">
        <w:rPr>
          <w:rFonts w:ascii="Verdana" w:hAnsi="Verdana"/>
          <w:sz w:val="20"/>
          <w:szCs w:val="20"/>
        </w:rPr>
        <w:t>.</w:t>
      </w:r>
      <w:r w:rsidR="00BD3B9D" w:rsidRPr="006A0A3F">
        <w:rPr>
          <w:rFonts w:ascii="Verdana" w:hAnsi="Verdana"/>
          <w:sz w:val="20"/>
          <w:szCs w:val="20"/>
        </w:rPr>
        <w:t xml:space="preserve"> En cuanto </w:t>
      </w:r>
      <w:r w:rsidR="00A67A4E">
        <w:rPr>
          <w:rFonts w:ascii="Verdana" w:hAnsi="Verdana"/>
          <w:sz w:val="20"/>
          <w:szCs w:val="20"/>
        </w:rPr>
        <w:t>a las demás medidas de reparación solicitadas</w:t>
      </w:r>
      <w:r w:rsidR="00BD3B9D" w:rsidRPr="006A0A3F">
        <w:rPr>
          <w:rFonts w:ascii="Verdana" w:hAnsi="Verdana"/>
          <w:sz w:val="20"/>
          <w:szCs w:val="20"/>
        </w:rPr>
        <w:t xml:space="preserve">, el Tribunal considera que la presente </w:t>
      </w:r>
      <w:r w:rsidR="00136482">
        <w:rPr>
          <w:rFonts w:ascii="Verdana" w:hAnsi="Verdana"/>
          <w:sz w:val="20"/>
          <w:szCs w:val="20"/>
        </w:rPr>
        <w:t>S</w:t>
      </w:r>
      <w:r w:rsidR="00BD3B9D" w:rsidRPr="006A0A3F">
        <w:rPr>
          <w:rFonts w:ascii="Verdana" w:hAnsi="Verdana"/>
          <w:sz w:val="20"/>
          <w:szCs w:val="20"/>
        </w:rPr>
        <w:t>entencia constituye</w:t>
      </w:r>
      <w:r w:rsidR="00741FBF" w:rsidRPr="006A0A3F">
        <w:rPr>
          <w:rFonts w:ascii="Verdana" w:hAnsi="Verdana"/>
          <w:sz w:val="20"/>
          <w:szCs w:val="20"/>
        </w:rPr>
        <w:t>, por sí misma,</w:t>
      </w:r>
      <w:r w:rsidR="00BD3B9D" w:rsidRPr="006A0A3F">
        <w:rPr>
          <w:rFonts w:ascii="Verdana" w:hAnsi="Verdana"/>
          <w:i/>
          <w:sz w:val="20"/>
          <w:szCs w:val="20"/>
        </w:rPr>
        <w:t xml:space="preserve"> </w:t>
      </w:r>
      <w:r w:rsidR="00BD3B9D" w:rsidRPr="006A0A3F">
        <w:rPr>
          <w:rFonts w:ascii="Verdana" w:hAnsi="Verdana"/>
          <w:sz w:val="20"/>
          <w:szCs w:val="20"/>
        </w:rPr>
        <w:t>una forma de reparación</w:t>
      </w:r>
      <w:r w:rsidR="00A973BB">
        <w:rPr>
          <w:rFonts w:ascii="Verdana" w:hAnsi="Verdana"/>
          <w:sz w:val="20"/>
          <w:szCs w:val="20"/>
        </w:rPr>
        <w:t xml:space="preserve">, </w:t>
      </w:r>
      <w:r w:rsidR="00805094" w:rsidRPr="006A0A3F">
        <w:rPr>
          <w:rFonts w:ascii="Verdana" w:hAnsi="Verdana"/>
          <w:sz w:val="20"/>
          <w:szCs w:val="20"/>
        </w:rPr>
        <w:t xml:space="preserve">por lo </w:t>
      </w:r>
      <w:r w:rsidR="00136482">
        <w:rPr>
          <w:rFonts w:ascii="Verdana" w:hAnsi="Verdana"/>
          <w:sz w:val="20"/>
          <w:szCs w:val="20"/>
        </w:rPr>
        <w:t>cual no es pertinente ordenarl</w:t>
      </w:r>
      <w:r w:rsidR="00A67A4E">
        <w:rPr>
          <w:rFonts w:ascii="Verdana" w:hAnsi="Verdana"/>
          <w:sz w:val="20"/>
          <w:szCs w:val="20"/>
        </w:rPr>
        <w:t>as</w:t>
      </w:r>
      <w:r w:rsidR="00BD3B9D" w:rsidRPr="006A0A3F">
        <w:rPr>
          <w:rFonts w:ascii="Verdana" w:hAnsi="Verdana"/>
          <w:sz w:val="20"/>
          <w:szCs w:val="20"/>
        </w:rPr>
        <w:t>.</w:t>
      </w:r>
    </w:p>
    <w:p w14:paraId="70C24963" w14:textId="77777777" w:rsidR="00852CF2" w:rsidRPr="006A0A3F" w:rsidRDefault="00852CF2" w:rsidP="00E2059F">
      <w:pPr>
        <w:pBdr>
          <w:top w:val="nil"/>
        </w:pBdr>
        <w:autoSpaceDE w:val="0"/>
        <w:autoSpaceDN w:val="0"/>
        <w:adjustRightInd w:val="0"/>
        <w:spacing w:after="0" w:line="240" w:lineRule="auto"/>
        <w:jc w:val="both"/>
        <w:rPr>
          <w:rFonts w:ascii="Verdana" w:eastAsia="Calibri" w:hAnsi="Verdana" w:cs="Times New Roman"/>
          <w:sz w:val="20"/>
          <w:szCs w:val="20"/>
        </w:rPr>
      </w:pPr>
    </w:p>
    <w:p w14:paraId="0BE11325" w14:textId="77777777" w:rsidR="0027639D" w:rsidRPr="006A0A3F" w:rsidRDefault="0027639D" w:rsidP="00E86169">
      <w:pPr>
        <w:pStyle w:val="ListParagraph"/>
        <w:ind w:left="0"/>
        <w:jc w:val="both"/>
        <w:rPr>
          <w:rFonts w:ascii="Verdana" w:hAnsi="Verdana"/>
          <w:sz w:val="20"/>
          <w:lang w:val="es-CR"/>
        </w:rPr>
      </w:pPr>
    </w:p>
    <w:p w14:paraId="6C5C1660" w14:textId="77777777" w:rsidR="00E86169" w:rsidRPr="006A0A3F" w:rsidRDefault="00E86169" w:rsidP="00AB56AF">
      <w:pPr>
        <w:pStyle w:val="Heading2"/>
        <w:numPr>
          <w:ilvl w:val="0"/>
          <w:numId w:val="15"/>
        </w:numPr>
        <w:rPr>
          <w:rFonts w:ascii="Verdana" w:hAnsi="Verdana"/>
          <w:i/>
          <w:sz w:val="20"/>
          <w:lang w:val="es-CR"/>
        </w:rPr>
      </w:pPr>
      <w:bookmarkStart w:id="57" w:name="_Toc505877010"/>
      <w:r w:rsidRPr="006A0A3F">
        <w:rPr>
          <w:rFonts w:ascii="Verdana" w:hAnsi="Verdana"/>
          <w:i/>
          <w:sz w:val="20"/>
          <w:lang w:val="es-CR"/>
        </w:rPr>
        <w:t>Costas y gastos</w:t>
      </w:r>
      <w:bookmarkEnd w:id="57"/>
    </w:p>
    <w:p w14:paraId="23D353AB" w14:textId="77777777" w:rsidR="00E86169" w:rsidRPr="006A0A3F" w:rsidRDefault="00E86169" w:rsidP="00E2059F">
      <w:pPr>
        <w:pBdr>
          <w:top w:val="nil"/>
        </w:pBdr>
        <w:autoSpaceDE w:val="0"/>
        <w:autoSpaceDN w:val="0"/>
        <w:adjustRightInd w:val="0"/>
        <w:spacing w:after="0" w:line="240" w:lineRule="auto"/>
        <w:jc w:val="both"/>
        <w:rPr>
          <w:rFonts w:ascii="Verdana" w:hAnsi="Verdana"/>
          <w:sz w:val="20"/>
          <w:szCs w:val="20"/>
        </w:rPr>
      </w:pPr>
    </w:p>
    <w:p w14:paraId="3C277F26" w14:textId="4F5DBCAD" w:rsidR="00E86169" w:rsidRPr="006A0A3F" w:rsidRDefault="00E86169" w:rsidP="00E86169">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szCs w:val="20"/>
        </w:rPr>
        <w:t xml:space="preserve">El </w:t>
      </w:r>
      <w:r w:rsidR="00E2059F" w:rsidRPr="006A0A3F">
        <w:rPr>
          <w:rFonts w:ascii="Verdana" w:hAnsi="Verdana"/>
          <w:b/>
          <w:sz w:val="20"/>
          <w:szCs w:val="20"/>
        </w:rPr>
        <w:t>r</w:t>
      </w:r>
      <w:r w:rsidRPr="006A0A3F">
        <w:rPr>
          <w:rFonts w:ascii="Verdana" w:hAnsi="Verdana"/>
          <w:b/>
          <w:sz w:val="20"/>
          <w:szCs w:val="20"/>
        </w:rPr>
        <w:t>epresentante</w:t>
      </w:r>
      <w:r w:rsidRPr="006A0A3F">
        <w:rPr>
          <w:rFonts w:ascii="Verdana" w:hAnsi="Verdana"/>
          <w:sz w:val="20"/>
          <w:szCs w:val="20"/>
        </w:rPr>
        <w:t xml:space="preserve"> solicitó a la Corte que </w:t>
      </w:r>
      <w:r w:rsidR="00654C08" w:rsidRPr="006A0A3F">
        <w:rPr>
          <w:rFonts w:ascii="Verdana" w:hAnsi="Verdana"/>
          <w:sz w:val="20"/>
          <w:szCs w:val="20"/>
        </w:rPr>
        <w:t>disponga el reintegro</w:t>
      </w:r>
      <w:r w:rsidRPr="006A0A3F">
        <w:rPr>
          <w:rFonts w:ascii="Verdana" w:hAnsi="Verdana"/>
          <w:sz w:val="20"/>
          <w:szCs w:val="20"/>
        </w:rPr>
        <w:t xml:space="preserve"> a las v</w:t>
      </w:r>
      <w:r w:rsidR="00654C08" w:rsidRPr="006A0A3F">
        <w:rPr>
          <w:rFonts w:ascii="Verdana" w:hAnsi="Verdana"/>
          <w:sz w:val="20"/>
          <w:szCs w:val="20"/>
        </w:rPr>
        <w:t>í</w:t>
      </w:r>
      <w:r w:rsidRPr="006A0A3F">
        <w:rPr>
          <w:rFonts w:ascii="Verdana" w:hAnsi="Verdana"/>
          <w:sz w:val="20"/>
          <w:szCs w:val="20"/>
        </w:rPr>
        <w:t xml:space="preserve">ctimas </w:t>
      </w:r>
      <w:r w:rsidR="00654C08" w:rsidRPr="006A0A3F">
        <w:rPr>
          <w:rFonts w:ascii="Verdana" w:hAnsi="Verdana"/>
          <w:sz w:val="20"/>
          <w:szCs w:val="20"/>
        </w:rPr>
        <w:t xml:space="preserve">de </w:t>
      </w:r>
      <w:r w:rsidRPr="006A0A3F">
        <w:rPr>
          <w:rFonts w:ascii="Verdana" w:hAnsi="Verdana"/>
          <w:sz w:val="20"/>
          <w:szCs w:val="20"/>
        </w:rPr>
        <w:t xml:space="preserve">las costas y gastos </w:t>
      </w:r>
      <w:r w:rsidR="00654C08" w:rsidRPr="006A0A3F">
        <w:rPr>
          <w:rFonts w:ascii="Verdana" w:hAnsi="Verdana"/>
          <w:sz w:val="20"/>
          <w:szCs w:val="20"/>
        </w:rPr>
        <w:t>“</w:t>
      </w:r>
      <w:r w:rsidRPr="006A0A3F">
        <w:rPr>
          <w:rFonts w:ascii="Verdana" w:hAnsi="Verdana"/>
          <w:sz w:val="20"/>
          <w:szCs w:val="20"/>
        </w:rPr>
        <w:t>debidamente</w:t>
      </w:r>
      <w:r w:rsidRPr="006A0A3F">
        <w:rPr>
          <w:rFonts w:ascii="Verdana" w:hAnsi="Verdana"/>
          <w:sz w:val="20"/>
        </w:rPr>
        <w:t xml:space="preserve"> acreditados</w:t>
      </w:r>
      <w:r w:rsidR="00654C08" w:rsidRPr="006A0A3F">
        <w:rPr>
          <w:rFonts w:ascii="Verdana" w:hAnsi="Verdana"/>
          <w:sz w:val="20"/>
        </w:rPr>
        <w:t>”</w:t>
      </w:r>
      <w:r w:rsidRPr="006A0A3F">
        <w:rPr>
          <w:rFonts w:ascii="Verdana" w:hAnsi="Verdana"/>
          <w:sz w:val="20"/>
        </w:rPr>
        <w:t xml:space="preserve"> en que hayan incurrido ante las instancias nacionales </w:t>
      </w:r>
      <w:r w:rsidR="00654C08" w:rsidRPr="006A0A3F">
        <w:rPr>
          <w:rFonts w:ascii="Verdana" w:hAnsi="Verdana"/>
          <w:sz w:val="20"/>
        </w:rPr>
        <w:t xml:space="preserve">e </w:t>
      </w:r>
      <w:r w:rsidRPr="006A0A3F">
        <w:rPr>
          <w:rFonts w:ascii="Verdana" w:hAnsi="Verdana"/>
          <w:sz w:val="20"/>
        </w:rPr>
        <w:t>internacionales</w:t>
      </w:r>
      <w:r w:rsidR="00654C08" w:rsidRPr="006A0A3F">
        <w:rPr>
          <w:rFonts w:ascii="Verdana" w:hAnsi="Verdana"/>
          <w:sz w:val="20"/>
        </w:rPr>
        <w:t>.</w:t>
      </w:r>
      <w:r w:rsidRPr="006A0A3F">
        <w:rPr>
          <w:rFonts w:ascii="Verdana" w:hAnsi="Verdana"/>
          <w:sz w:val="20"/>
        </w:rPr>
        <w:t xml:space="preserve"> </w:t>
      </w:r>
      <w:r w:rsidR="00E2059F" w:rsidRPr="006A0A3F">
        <w:rPr>
          <w:rFonts w:ascii="Verdana" w:hAnsi="Verdana"/>
          <w:sz w:val="20"/>
        </w:rPr>
        <w:t xml:space="preserve">Además de eso, el representante </w:t>
      </w:r>
      <w:r w:rsidRPr="006A0A3F">
        <w:rPr>
          <w:rFonts w:ascii="Verdana" w:hAnsi="Verdana"/>
          <w:sz w:val="20"/>
        </w:rPr>
        <w:t>solicitó que, “para los abogados que han intervenido en este caso, en representación de las presuntas víctimas, se ordene al Estado pagar los honorarios que la Corte considere apropiados, teniendo en cuenta el tiempo que ha tomado y la complejidad del mismo, así como la gravedad de las viol</w:t>
      </w:r>
      <w:r w:rsidR="007575B2">
        <w:rPr>
          <w:rFonts w:ascii="Verdana" w:hAnsi="Verdana"/>
          <w:sz w:val="20"/>
        </w:rPr>
        <w:t>aciones de derechos cometidas, [señalando que d</w:t>
      </w:r>
      <w:proofErr w:type="gramStart"/>
      <w:r w:rsidR="007575B2">
        <w:rPr>
          <w:rFonts w:ascii="Verdana" w:hAnsi="Verdana"/>
          <w:sz w:val="20"/>
        </w:rPr>
        <w:t>]</w:t>
      </w:r>
      <w:r w:rsidRPr="006A0A3F">
        <w:rPr>
          <w:rFonts w:ascii="Verdana" w:hAnsi="Verdana"/>
          <w:sz w:val="20"/>
        </w:rPr>
        <w:t>ichos</w:t>
      </w:r>
      <w:proofErr w:type="gramEnd"/>
      <w:r w:rsidRPr="006A0A3F">
        <w:rPr>
          <w:rFonts w:ascii="Verdana" w:hAnsi="Verdana"/>
          <w:sz w:val="20"/>
        </w:rPr>
        <w:t xml:space="preserve"> honorarios serán donados al Fondo de Asistencia a las Víctimas”.</w:t>
      </w:r>
      <w:r w:rsidR="00D73477" w:rsidRPr="006A0A3F">
        <w:rPr>
          <w:rFonts w:ascii="Verdana" w:hAnsi="Verdana"/>
          <w:b/>
          <w:sz w:val="20"/>
        </w:rPr>
        <w:t xml:space="preserve"> </w:t>
      </w:r>
      <w:r w:rsidR="00CB686F" w:rsidRPr="006A0A3F">
        <w:rPr>
          <w:rFonts w:ascii="Verdana" w:hAnsi="Verdana"/>
          <w:sz w:val="20"/>
          <w:lang w:bidi="en-US"/>
        </w:rPr>
        <w:t xml:space="preserve">El </w:t>
      </w:r>
      <w:r w:rsidR="00CB686F" w:rsidRPr="006A0A3F">
        <w:rPr>
          <w:rFonts w:ascii="Verdana" w:hAnsi="Verdana"/>
          <w:b/>
          <w:sz w:val="20"/>
          <w:lang w:bidi="en-US"/>
        </w:rPr>
        <w:t>Estado</w:t>
      </w:r>
      <w:r w:rsidR="00CB686F" w:rsidRPr="006A0A3F">
        <w:rPr>
          <w:rFonts w:ascii="Verdana" w:hAnsi="Verdana"/>
          <w:sz w:val="20"/>
          <w:lang w:bidi="en-US"/>
        </w:rPr>
        <w:t xml:space="preserve"> alegó que no le incumbe pagar las costas por la asesoría legal y los traslados a la sede de la Corte para la celebración de la audiencia, ya que acreditar cinco abogados y tres asistentes era un claro exceso y una práctica inusual.</w:t>
      </w:r>
    </w:p>
    <w:p w14:paraId="32DCB9C8" w14:textId="77777777" w:rsidR="00CB686F" w:rsidRPr="006A0A3F" w:rsidRDefault="00CB686F" w:rsidP="00D73477">
      <w:pPr>
        <w:pBdr>
          <w:top w:val="nil"/>
        </w:pBdr>
        <w:autoSpaceDE w:val="0"/>
        <w:autoSpaceDN w:val="0"/>
        <w:adjustRightInd w:val="0"/>
        <w:spacing w:after="0" w:line="240" w:lineRule="auto"/>
        <w:jc w:val="both"/>
        <w:rPr>
          <w:rFonts w:ascii="Verdana" w:hAnsi="Verdana"/>
          <w:sz w:val="20"/>
          <w:lang w:bidi="en-US"/>
        </w:rPr>
      </w:pPr>
    </w:p>
    <w:p w14:paraId="5245ACD8" w14:textId="4351D4B7" w:rsidR="00E86169" w:rsidRPr="006A0A3F" w:rsidRDefault="00E86169" w:rsidP="00D73477">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lang w:bidi="en-US"/>
        </w:rPr>
        <w:t>La</w:t>
      </w:r>
      <w:r w:rsidRPr="006A0A3F">
        <w:rPr>
          <w:rFonts w:ascii="Verdana" w:hAnsi="Verdana"/>
          <w:b/>
          <w:sz w:val="20"/>
        </w:rPr>
        <w:t xml:space="preserve"> Corte</w:t>
      </w:r>
      <w:r w:rsidRPr="006A0A3F">
        <w:rPr>
          <w:rFonts w:ascii="Verdana" w:hAnsi="Verdana"/>
          <w:sz w:val="20"/>
        </w:rPr>
        <w:t xml:space="preserve"> reitera que, conforme a su jurisprudencia</w:t>
      </w:r>
      <w:r w:rsidR="00D73477" w:rsidRPr="006A0A3F">
        <w:rPr>
          <w:rFonts w:ascii="Verdana" w:hAnsi="Verdana"/>
          <w:sz w:val="20"/>
          <w:szCs w:val="20"/>
          <w:vertAlign w:val="superscript"/>
        </w:rPr>
        <w:footnoteReference w:id="294"/>
      </w:r>
      <w:r w:rsidRPr="006A0A3F">
        <w:rPr>
          <w:rFonts w:ascii="Verdana" w:hAnsi="Verdana"/>
          <w:sz w:val="20"/>
        </w:rPr>
        <w:t>, las costas y gastos hacen parte del concepto de reparación establecido en el artículo 63.1 de la Convención, toda vez que las actividades desplegadas por las víctimas con el fin de obtener justicia, tanto a nivel nacional como internacional, implican erogaciones que deben ser compensadas cuando la responsabilidad internacional del Estado es declarada mediante una sentencia condenatoria.</w:t>
      </w:r>
      <w:r w:rsidR="00D73477" w:rsidRPr="006A0A3F">
        <w:rPr>
          <w:rFonts w:ascii="Verdana" w:hAnsi="Verdana"/>
          <w:sz w:val="20"/>
        </w:rPr>
        <w:t xml:space="preserve"> En cuanto a su reembolso, corresponde al Tribunal apreciar prudentemente su alcance, el cual comprende los gastos generados ante las autoridades de la jurisdicción interna, así como los generados en el curso del proceso ante este Tribunal, teniendo en cuenta las circunstancias del caso concreto y la naturaleza de la jurisdicción internacional de protección de los derechos humanos. Esta </w:t>
      </w:r>
      <w:r w:rsidR="00D73477" w:rsidRPr="006A0A3F">
        <w:rPr>
          <w:rFonts w:ascii="Verdana" w:hAnsi="Verdana"/>
          <w:sz w:val="20"/>
        </w:rPr>
        <w:lastRenderedPageBreak/>
        <w:t xml:space="preserve">apreciación puede ser realizada con base en el principio de equidad y tomando en cuenta los gastos señalados por las partes, siempre que su </w:t>
      </w:r>
      <w:r w:rsidR="00D73477" w:rsidRPr="006A0A3F">
        <w:rPr>
          <w:rFonts w:ascii="Verdana" w:hAnsi="Verdana"/>
          <w:i/>
          <w:sz w:val="20"/>
        </w:rPr>
        <w:t>quantum</w:t>
      </w:r>
      <w:r w:rsidR="00D73477" w:rsidRPr="006A0A3F">
        <w:rPr>
          <w:rFonts w:ascii="Verdana" w:hAnsi="Verdana"/>
          <w:sz w:val="20"/>
        </w:rPr>
        <w:t xml:space="preserve"> sea razonable</w:t>
      </w:r>
      <w:r w:rsidR="00D73477" w:rsidRPr="006A0A3F">
        <w:rPr>
          <w:rFonts w:ascii="Verdana" w:eastAsia="Verdana" w:hAnsi="Verdana" w:cs="Verdana"/>
          <w:spacing w:val="11"/>
          <w:sz w:val="20"/>
          <w:szCs w:val="20"/>
          <w:vertAlign w:val="superscript"/>
        </w:rPr>
        <w:footnoteReference w:id="295"/>
      </w:r>
      <w:r w:rsidR="00D73477" w:rsidRPr="006A0A3F">
        <w:rPr>
          <w:rFonts w:ascii="Verdana" w:hAnsi="Verdana"/>
          <w:sz w:val="20"/>
          <w:szCs w:val="20"/>
        </w:rPr>
        <w:t>.</w:t>
      </w:r>
    </w:p>
    <w:p w14:paraId="4B9B54F0" w14:textId="77777777" w:rsidR="00783C73" w:rsidRPr="006A0A3F" w:rsidRDefault="00783C73" w:rsidP="00783C73">
      <w:pPr>
        <w:pStyle w:val="ListParagraph"/>
        <w:rPr>
          <w:rFonts w:ascii="Verdana" w:hAnsi="Verdana"/>
          <w:sz w:val="20"/>
          <w:lang w:val="es-CR"/>
        </w:rPr>
      </w:pPr>
    </w:p>
    <w:p w14:paraId="4517E1D6" w14:textId="4FC4EDF4" w:rsidR="00010CC4" w:rsidRPr="006A0A3F" w:rsidRDefault="00631570" w:rsidP="00E86169">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E</w:t>
      </w:r>
      <w:r w:rsidR="00783C73" w:rsidRPr="006A0A3F">
        <w:rPr>
          <w:rFonts w:ascii="Verdana" w:hAnsi="Verdana"/>
          <w:sz w:val="20"/>
        </w:rPr>
        <w:t xml:space="preserve">l Tribunal hace </w:t>
      </w:r>
      <w:r w:rsidR="00E86169" w:rsidRPr="006A0A3F">
        <w:rPr>
          <w:rFonts w:ascii="Verdana" w:hAnsi="Verdana"/>
          <w:sz w:val="20"/>
        </w:rPr>
        <w:t xml:space="preserve">notar que </w:t>
      </w:r>
      <w:r w:rsidR="00783C73" w:rsidRPr="006A0A3F">
        <w:rPr>
          <w:rFonts w:ascii="Verdana" w:hAnsi="Verdana"/>
          <w:sz w:val="20"/>
        </w:rPr>
        <w:t xml:space="preserve">el </w:t>
      </w:r>
      <w:r w:rsidR="00B544D3" w:rsidRPr="006A0A3F">
        <w:rPr>
          <w:rFonts w:ascii="Verdana" w:hAnsi="Verdana"/>
          <w:sz w:val="20"/>
        </w:rPr>
        <w:t xml:space="preserve">representante </w:t>
      </w:r>
      <w:r w:rsidR="00944B8D" w:rsidRPr="006A0A3F">
        <w:rPr>
          <w:rFonts w:ascii="Verdana" w:hAnsi="Verdana"/>
          <w:sz w:val="20"/>
        </w:rPr>
        <w:t xml:space="preserve">solicitó que se ordene al Estado el pago de los gastos en que incurrieron las víctimas por su búsqueda de justicia, </w:t>
      </w:r>
      <w:r w:rsidR="00B544D3" w:rsidRPr="006A0A3F">
        <w:rPr>
          <w:rFonts w:ascii="Verdana" w:hAnsi="Verdana"/>
          <w:sz w:val="20"/>
        </w:rPr>
        <w:t>tanto por concepto de gastos y costas como de daño al patrimonio familiar (</w:t>
      </w:r>
      <w:r w:rsidR="00B544D3" w:rsidRPr="006A0A3F">
        <w:rPr>
          <w:rFonts w:ascii="Verdana" w:hAnsi="Verdana"/>
          <w:i/>
          <w:sz w:val="20"/>
        </w:rPr>
        <w:t xml:space="preserve">supra </w:t>
      </w:r>
      <w:r w:rsidR="004137B6">
        <w:rPr>
          <w:rFonts w:ascii="Verdana" w:hAnsi="Verdana"/>
          <w:sz w:val="20"/>
        </w:rPr>
        <w:t>párr. 235</w:t>
      </w:r>
      <w:r w:rsidR="00944B8D" w:rsidRPr="006A0A3F">
        <w:rPr>
          <w:rFonts w:ascii="Verdana" w:hAnsi="Verdana"/>
          <w:sz w:val="20"/>
        </w:rPr>
        <w:t>), es decir, como</w:t>
      </w:r>
      <w:r w:rsidR="00B544D3" w:rsidRPr="006A0A3F">
        <w:rPr>
          <w:rFonts w:ascii="Verdana" w:hAnsi="Verdana"/>
          <w:sz w:val="20"/>
        </w:rPr>
        <w:t xml:space="preserve"> rubros </w:t>
      </w:r>
      <w:r w:rsidR="00944B8D" w:rsidRPr="006A0A3F">
        <w:rPr>
          <w:rFonts w:ascii="Verdana" w:hAnsi="Verdana"/>
          <w:sz w:val="20"/>
        </w:rPr>
        <w:t xml:space="preserve">que ya </w:t>
      </w:r>
      <w:r w:rsidR="00B544D3" w:rsidRPr="006A0A3F">
        <w:rPr>
          <w:rFonts w:ascii="Verdana" w:hAnsi="Verdana"/>
          <w:sz w:val="20"/>
        </w:rPr>
        <w:t xml:space="preserve">fueron </w:t>
      </w:r>
      <w:r w:rsidR="002D05CC" w:rsidRPr="006A0A3F">
        <w:rPr>
          <w:rFonts w:ascii="Verdana" w:hAnsi="Verdana"/>
          <w:sz w:val="20"/>
        </w:rPr>
        <w:t xml:space="preserve">considerados al determinar la compensación por </w:t>
      </w:r>
      <w:r w:rsidR="00B544D3" w:rsidRPr="006A0A3F">
        <w:rPr>
          <w:rFonts w:ascii="Verdana" w:hAnsi="Verdana"/>
          <w:sz w:val="20"/>
        </w:rPr>
        <w:t xml:space="preserve">daño </w:t>
      </w:r>
      <w:r w:rsidR="004137B6">
        <w:rPr>
          <w:rFonts w:ascii="Verdana" w:hAnsi="Verdana"/>
          <w:sz w:val="20"/>
        </w:rPr>
        <w:t>material</w:t>
      </w:r>
      <w:r w:rsidR="00B544D3" w:rsidRPr="006A0A3F">
        <w:rPr>
          <w:rFonts w:ascii="Verdana" w:hAnsi="Verdana"/>
          <w:sz w:val="20"/>
        </w:rPr>
        <w:t>.</w:t>
      </w:r>
      <w:r w:rsidRPr="006A0A3F">
        <w:rPr>
          <w:rFonts w:ascii="Verdana" w:hAnsi="Verdana"/>
          <w:sz w:val="20"/>
        </w:rPr>
        <w:t xml:space="preserve"> Además</w:t>
      </w:r>
      <w:r w:rsidR="00193FF3" w:rsidRPr="006A0A3F">
        <w:rPr>
          <w:rFonts w:ascii="Verdana" w:hAnsi="Verdana"/>
          <w:sz w:val="20"/>
        </w:rPr>
        <w:t>, en cuanto a honorarios o gastos para ejercer la representación</w:t>
      </w:r>
      <w:r w:rsidR="00B544D3" w:rsidRPr="006A0A3F">
        <w:rPr>
          <w:rFonts w:ascii="Verdana" w:hAnsi="Verdana"/>
          <w:sz w:val="20"/>
        </w:rPr>
        <w:t xml:space="preserve">, </w:t>
      </w:r>
      <w:r w:rsidR="00E86169" w:rsidRPr="006A0A3F">
        <w:rPr>
          <w:rFonts w:ascii="Verdana" w:hAnsi="Verdana"/>
          <w:sz w:val="20"/>
        </w:rPr>
        <w:t xml:space="preserve">el </w:t>
      </w:r>
      <w:r w:rsidR="00783C73" w:rsidRPr="006A0A3F">
        <w:rPr>
          <w:rFonts w:ascii="Verdana" w:hAnsi="Verdana"/>
          <w:sz w:val="20"/>
        </w:rPr>
        <w:t>r</w:t>
      </w:r>
      <w:r w:rsidR="00E86169" w:rsidRPr="006A0A3F">
        <w:rPr>
          <w:rFonts w:ascii="Verdana" w:hAnsi="Verdana"/>
          <w:sz w:val="20"/>
        </w:rPr>
        <w:t xml:space="preserve">epresentante no </w:t>
      </w:r>
      <w:r w:rsidR="00B544D3" w:rsidRPr="006A0A3F">
        <w:rPr>
          <w:rFonts w:ascii="Verdana" w:hAnsi="Verdana"/>
          <w:sz w:val="20"/>
        </w:rPr>
        <w:t>presentó</w:t>
      </w:r>
      <w:r w:rsidR="00E86169" w:rsidRPr="006A0A3F">
        <w:rPr>
          <w:rFonts w:ascii="Verdana" w:hAnsi="Verdana"/>
          <w:sz w:val="20"/>
        </w:rPr>
        <w:t xml:space="preserve"> </w:t>
      </w:r>
      <w:r w:rsidR="000C0929" w:rsidRPr="006A0A3F">
        <w:rPr>
          <w:rFonts w:ascii="Verdana" w:hAnsi="Verdana"/>
          <w:sz w:val="20"/>
        </w:rPr>
        <w:t>sustento</w:t>
      </w:r>
      <w:r w:rsidR="00E86169" w:rsidRPr="006A0A3F">
        <w:rPr>
          <w:rFonts w:ascii="Verdana" w:hAnsi="Verdana"/>
          <w:sz w:val="20"/>
        </w:rPr>
        <w:t xml:space="preserve"> </w:t>
      </w:r>
      <w:r w:rsidR="00783C73" w:rsidRPr="006A0A3F">
        <w:rPr>
          <w:rFonts w:ascii="Verdana" w:hAnsi="Verdana"/>
          <w:sz w:val="20"/>
        </w:rPr>
        <w:t>probatori</w:t>
      </w:r>
      <w:r w:rsidR="00944B8D" w:rsidRPr="006A0A3F">
        <w:rPr>
          <w:rFonts w:ascii="Verdana" w:hAnsi="Verdana"/>
          <w:sz w:val="20"/>
        </w:rPr>
        <w:t>o</w:t>
      </w:r>
      <w:r w:rsidR="00783C73" w:rsidRPr="006A0A3F">
        <w:rPr>
          <w:rFonts w:ascii="Verdana" w:hAnsi="Verdana"/>
          <w:sz w:val="20"/>
        </w:rPr>
        <w:t xml:space="preserve"> </w:t>
      </w:r>
      <w:r w:rsidR="000C0929" w:rsidRPr="006A0A3F">
        <w:rPr>
          <w:rFonts w:ascii="Verdana" w:hAnsi="Verdana"/>
          <w:sz w:val="20"/>
        </w:rPr>
        <w:t xml:space="preserve">alguno </w:t>
      </w:r>
      <w:r w:rsidR="00783C73" w:rsidRPr="006A0A3F">
        <w:rPr>
          <w:rFonts w:ascii="Verdana" w:hAnsi="Verdana"/>
          <w:sz w:val="20"/>
        </w:rPr>
        <w:t xml:space="preserve">para acreditar </w:t>
      </w:r>
      <w:r w:rsidR="00E86169" w:rsidRPr="006A0A3F">
        <w:rPr>
          <w:rFonts w:ascii="Verdana" w:hAnsi="Verdana"/>
          <w:sz w:val="20"/>
        </w:rPr>
        <w:t>los gastos en que habría</w:t>
      </w:r>
      <w:r w:rsidR="00944B8D" w:rsidRPr="006A0A3F">
        <w:rPr>
          <w:rFonts w:ascii="Verdana" w:hAnsi="Verdana"/>
          <w:sz w:val="20"/>
        </w:rPr>
        <w:t>n</w:t>
      </w:r>
      <w:r w:rsidR="00B544D3" w:rsidRPr="006A0A3F">
        <w:rPr>
          <w:rFonts w:ascii="Verdana" w:hAnsi="Verdana"/>
          <w:sz w:val="20"/>
        </w:rPr>
        <w:t xml:space="preserve"> incurrido por su representación en el caso</w:t>
      </w:r>
      <w:r w:rsidR="00E86169" w:rsidRPr="006A0A3F">
        <w:rPr>
          <w:rFonts w:ascii="Verdana" w:hAnsi="Verdana"/>
          <w:sz w:val="20"/>
        </w:rPr>
        <w:t xml:space="preserve">. </w:t>
      </w:r>
    </w:p>
    <w:p w14:paraId="1F037FFC" w14:textId="77777777" w:rsidR="00010CC4" w:rsidRPr="006A0A3F" w:rsidRDefault="00010CC4" w:rsidP="00010CC4">
      <w:pPr>
        <w:pStyle w:val="ListParagraph"/>
        <w:rPr>
          <w:rFonts w:ascii="Verdana" w:hAnsi="Verdana"/>
          <w:sz w:val="20"/>
          <w:lang w:val="es-CR"/>
        </w:rPr>
      </w:pPr>
    </w:p>
    <w:p w14:paraId="6F0A9E8C" w14:textId="5B68AA51" w:rsidR="00C85ED8" w:rsidRPr="006A0A3F" w:rsidRDefault="00010CC4" w:rsidP="00E86169">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A pesar de lo anterior, es razonable presumir que el representante incurrió en erogaciones desde marzo de 2006, año en que fue presentada la petición ante la Comisión, por lo cual el Tribunal estima pertinente el reembolso de gastos y costas razonables de litigio, lo cuales fija, en equidad, en </w:t>
      </w:r>
      <w:r w:rsidR="00AD19A0" w:rsidRPr="006A0A3F">
        <w:rPr>
          <w:rFonts w:ascii="Verdana" w:hAnsi="Verdana"/>
          <w:sz w:val="20"/>
        </w:rPr>
        <w:t>la cantidad de USD $20</w:t>
      </w:r>
      <w:r w:rsidRPr="006A0A3F">
        <w:rPr>
          <w:rFonts w:ascii="Verdana" w:hAnsi="Verdana"/>
          <w:sz w:val="20"/>
        </w:rPr>
        <w:t>.000,00 (</w:t>
      </w:r>
      <w:r w:rsidR="00AD19A0" w:rsidRPr="006A0A3F">
        <w:rPr>
          <w:rFonts w:ascii="Verdana" w:hAnsi="Verdana"/>
          <w:sz w:val="20"/>
        </w:rPr>
        <w:t xml:space="preserve">veinte </w:t>
      </w:r>
      <w:r w:rsidRPr="006A0A3F">
        <w:rPr>
          <w:rFonts w:ascii="Verdana" w:hAnsi="Verdana"/>
          <w:sz w:val="20"/>
        </w:rPr>
        <w:t>mil dólares de los Estados Unidos de América). El Estado debe entregar esta compensación directamente al representante en el plazo fijado al efecto (</w:t>
      </w:r>
      <w:r w:rsidRPr="006A0A3F">
        <w:rPr>
          <w:rFonts w:ascii="Verdana" w:hAnsi="Verdana"/>
          <w:i/>
          <w:sz w:val="20"/>
        </w:rPr>
        <w:t xml:space="preserve">infra </w:t>
      </w:r>
      <w:r w:rsidR="007575B2">
        <w:rPr>
          <w:rFonts w:ascii="Verdana" w:hAnsi="Verdana"/>
          <w:sz w:val="20"/>
        </w:rPr>
        <w:t>párr. 251</w:t>
      </w:r>
      <w:r w:rsidRPr="006A0A3F">
        <w:rPr>
          <w:rFonts w:ascii="Verdana" w:hAnsi="Verdana"/>
          <w:sz w:val="20"/>
        </w:rPr>
        <w:t xml:space="preserve">). </w:t>
      </w:r>
    </w:p>
    <w:p w14:paraId="0C1FB318" w14:textId="77777777" w:rsidR="00C85ED8" w:rsidRPr="006A0A3F" w:rsidRDefault="00C85ED8" w:rsidP="00C85ED8">
      <w:pPr>
        <w:pStyle w:val="ListParagraph"/>
        <w:rPr>
          <w:rFonts w:ascii="Verdana" w:hAnsi="Verdana"/>
          <w:sz w:val="20"/>
          <w:lang w:val="es-CR"/>
        </w:rPr>
      </w:pPr>
    </w:p>
    <w:p w14:paraId="7C089829" w14:textId="77777777" w:rsidR="00852CF2" w:rsidRPr="006A0A3F" w:rsidRDefault="00852CF2" w:rsidP="0074005C">
      <w:pPr>
        <w:pBdr>
          <w:top w:val="nil"/>
        </w:pBdr>
        <w:autoSpaceDE w:val="0"/>
        <w:autoSpaceDN w:val="0"/>
        <w:adjustRightInd w:val="0"/>
        <w:spacing w:after="0" w:line="240" w:lineRule="auto"/>
        <w:jc w:val="both"/>
        <w:rPr>
          <w:rFonts w:ascii="Verdana" w:hAnsi="Verdana"/>
          <w:sz w:val="20"/>
        </w:rPr>
      </w:pPr>
    </w:p>
    <w:p w14:paraId="004E22A8" w14:textId="7A3522C0" w:rsidR="00E86169" w:rsidRPr="006A0A3F" w:rsidRDefault="00E86169" w:rsidP="00AB56AF">
      <w:pPr>
        <w:pStyle w:val="ListParagraph"/>
        <w:numPr>
          <w:ilvl w:val="0"/>
          <w:numId w:val="15"/>
        </w:numPr>
        <w:rPr>
          <w:rFonts w:ascii="Verdana" w:hAnsi="Verdana"/>
          <w:b/>
          <w:i/>
          <w:sz w:val="20"/>
          <w:lang w:val="es-CR"/>
        </w:rPr>
      </w:pPr>
      <w:r w:rsidRPr="006A0A3F">
        <w:rPr>
          <w:rFonts w:ascii="Verdana" w:hAnsi="Verdana"/>
          <w:b/>
          <w:i/>
          <w:sz w:val="20"/>
          <w:lang w:val="es-CR"/>
        </w:rPr>
        <w:t xml:space="preserve">Modalidad </w:t>
      </w:r>
      <w:r w:rsidR="008463C6" w:rsidRPr="006A0A3F">
        <w:rPr>
          <w:rFonts w:ascii="Verdana" w:hAnsi="Verdana"/>
          <w:b/>
          <w:i/>
          <w:sz w:val="20"/>
          <w:lang w:val="es-CR"/>
        </w:rPr>
        <w:t>de cumplimiento de los pagos ordenados</w:t>
      </w:r>
    </w:p>
    <w:p w14:paraId="509435C9" w14:textId="47EE7617" w:rsidR="00E86169" w:rsidRPr="006A0A3F" w:rsidRDefault="00E86169" w:rsidP="00944B8D">
      <w:pPr>
        <w:pBdr>
          <w:top w:val="nil"/>
        </w:pBdr>
        <w:tabs>
          <w:tab w:val="left" w:pos="5398"/>
        </w:tabs>
        <w:autoSpaceDE w:val="0"/>
        <w:autoSpaceDN w:val="0"/>
        <w:adjustRightInd w:val="0"/>
        <w:spacing w:after="0" w:line="240" w:lineRule="auto"/>
        <w:jc w:val="both"/>
        <w:rPr>
          <w:rFonts w:ascii="Verdana" w:hAnsi="Verdana"/>
          <w:sz w:val="20"/>
        </w:rPr>
      </w:pPr>
    </w:p>
    <w:p w14:paraId="26E38441" w14:textId="76CA0CAD" w:rsidR="00551E61" w:rsidRPr="006A0A3F" w:rsidRDefault="00E86169" w:rsidP="00551E61">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 xml:space="preserve">El Estado deberá efectuar el pago de las indemnizaciones </w:t>
      </w:r>
      <w:r w:rsidR="007575B2">
        <w:rPr>
          <w:rFonts w:ascii="Verdana" w:hAnsi="Verdana"/>
          <w:sz w:val="20"/>
        </w:rPr>
        <w:t>dispuestas</w:t>
      </w:r>
      <w:r w:rsidR="007575B2" w:rsidRPr="006A0A3F">
        <w:rPr>
          <w:rFonts w:ascii="Verdana" w:hAnsi="Verdana"/>
          <w:sz w:val="20"/>
        </w:rPr>
        <w:t xml:space="preserve"> en la presente Sentencia </w:t>
      </w:r>
      <w:r w:rsidRPr="006A0A3F">
        <w:rPr>
          <w:rFonts w:ascii="Verdana" w:hAnsi="Verdana"/>
          <w:sz w:val="20"/>
        </w:rPr>
        <w:t>por concepto de daño</w:t>
      </w:r>
      <w:r w:rsidR="008463C6" w:rsidRPr="006A0A3F">
        <w:rPr>
          <w:rFonts w:ascii="Verdana" w:hAnsi="Verdana"/>
          <w:sz w:val="20"/>
        </w:rPr>
        <w:t>s</w:t>
      </w:r>
      <w:r w:rsidRPr="006A0A3F">
        <w:rPr>
          <w:rFonts w:ascii="Verdana" w:hAnsi="Verdana"/>
          <w:sz w:val="20"/>
        </w:rPr>
        <w:t xml:space="preserve"> material</w:t>
      </w:r>
      <w:r w:rsidR="008463C6" w:rsidRPr="006A0A3F">
        <w:rPr>
          <w:rFonts w:ascii="Verdana" w:hAnsi="Verdana"/>
          <w:sz w:val="20"/>
        </w:rPr>
        <w:t>es</w:t>
      </w:r>
      <w:r w:rsidRPr="006A0A3F">
        <w:rPr>
          <w:rFonts w:ascii="Verdana" w:hAnsi="Verdana"/>
          <w:sz w:val="20"/>
        </w:rPr>
        <w:t xml:space="preserve"> e inmaterial</w:t>
      </w:r>
      <w:r w:rsidR="008463C6" w:rsidRPr="006A0A3F">
        <w:rPr>
          <w:rFonts w:ascii="Verdana" w:hAnsi="Verdana"/>
          <w:sz w:val="20"/>
        </w:rPr>
        <w:t>es directamente a las tres beneficiarias, así como</w:t>
      </w:r>
      <w:r w:rsidRPr="006A0A3F">
        <w:rPr>
          <w:rFonts w:ascii="Verdana" w:hAnsi="Verdana"/>
          <w:sz w:val="20"/>
        </w:rPr>
        <w:t xml:space="preserve"> el reintegro de costas y gastos </w:t>
      </w:r>
      <w:r w:rsidR="007575B2">
        <w:rPr>
          <w:rFonts w:ascii="Verdana" w:hAnsi="Verdana"/>
          <w:sz w:val="20"/>
        </w:rPr>
        <w:t>directamente al representante</w:t>
      </w:r>
      <w:r w:rsidRPr="006A0A3F">
        <w:rPr>
          <w:rFonts w:ascii="Verdana" w:hAnsi="Verdana"/>
          <w:sz w:val="20"/>
        </w:rPr>
        <w:t>, dentro del plazo de un año, contado a partir de la notificación del presente Fallo.</w:t>
      </w:r>
    </w:p>
    <w:p w14:paraId="7918581C" w14:textId="77777777" w:rsidR="00551E61" w:rsidRPr="006A0A3F" w:rsidRDefault="00551E61" w:rsidP="00551E61">
      <w:pPr>
        <w:pBdr>
          <w:top w:val="nil"/>
        </w:pBdr>
        <w:autoSpaceDE w:val="0"/>
        <w:autoSpaceDN w:val="0"/>
        <w:adjustRightInd w:val="0"/>
        <w:spacing w:after="0" w:line="240" w:lineRule="auto"/>
        <w:jc w:val="both"/>
        <w:rPr>
          <w:rFonts w:ascii="Verdana" w:hAnsi="Verdana"/>
          <w:sz w:val="20"/>
        </w:rPr>
      </w:pPr>
    </w:p>
    <w:p w14:paraId="019A6261" w14:textId="0F19B0B6" w:rsidR="00551E61" w:rsidRPr="006A0A3F" w:rsidRDefault="000E2992" w:rsidP="00551E61">
      <w:pPr>
        <w:numPr>
          <w:ilvl w:val="0"/>
          <w:numId w:val="4"/>
        </w:numPr>
        <w:pBdr>
          <w:top w:val="nil"/>
        </w:pBdr>
        <w:autoSpaceDE w:val="0"/>
        <w:autoSpaceDN w:val="0"/>
        <w:adjustRightInd w:val="0"/>
        <w:spacing w:after="0" w:line="240" w:lineRule="auto"/>
        <w:ind w:left="0" w:firstLine="0"/>
        <w:jc w:val="both"/>
        <w:rPr>
          <w:rFonts w:ascii="Verdana" w:hAnsi="Verdana"/>
          <w:sz w:val="20"/>
        </w:rPr>
      </w:pPr>
      <w:r>
        <w:rPr>
          <w:rFonts w:ascii="Verdana" w:hAnsi="Verdana"/>
          <w:sz w:val="20"/>
        </w:rPr>
        <w:t>En caso de que los beneficiario</w:t>
      </w:r>
      <w:r w:rsidR="00E86169" w:rsidRPr="006A0A3F">
        <w:rPr>
          <w:rFonts w:ascii="Verdana" w:hAnsi="Verdana"/>
          <w:sz w:val="20"/>
        </w:rPr>
        <w:t>s fallezcan antes de que les sean entregadas las indemnizaciones respectivas, éstas se efectuarán directamente a sus derechohabientes, conforme al derecho interno aplicable.</w:t>
      </w:r>
    </w:p>
    <w:p w14:paraId="13A4E003" w14:textId="77777777" w:rsidR="00551E61" w:rsidRPr="006A0A3F" w:rsidRDefault="00551E61" w:rsidP="00551E61">
      <w:pPr>
        <w:pStyle w:val="ListParagraph"/>
        <w:rPr>
          <w:rFonts w:ascii="Verdana" w:hAnsi="Verdana"/>
          <w:sz w:val="20"/>
          <w:lang w:val="es-CR"/>
        </w:rPr>
      </w:pPr>
    </w:p>
    <w:p w14:paraId="25E69C0F" w14:textId="3D39E2EB" w:rsidR="00E86169" w:rsidRPr="006A0A3F" w:rsidRDefault="00551E61" w:rsidP="00551E61">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En lo que respecta a la moneda de pago de las indemnizaciones y reintegro de costas y gastos, el Estado debe cumplir sus obligaciones monetarias mediante el pago en dólares de los Estados Unidos de América o, de no ser esto posible, en su equivalente en moneda venezolana, utilizando para el cálculo respectivo la tasa más alta y más beneficiosa para las víctimas que permita su ordenamiento interno, vigente al momento del pago. Durante la etapa de supervisión de cumplimiento de la sentencia, la Corte podrá reajustar prudentemente el equivalente de estas cifras en moneda venezolana, con el objeto de evitar que las variaciones cambiarias afecten sustancialmente el valor adquisitivo de esos montos</w:t>
      </w:r>
      <w:r w:rsidRPr="006A0A3F">
        <w:rPr>
          <w:rStyle w:val="FootnoteReference"/>
          <w:rFonts w:ascii="Verdana" w:hAnsi="Verdana"/>
          <w:sz w:val="20"/>
        </w:rPr>
        <w:footnoteReference w:id="296"/>
      </w:r>
      <w:r w:rsidRPr="006A0A3F">
        <w:rPr>
          <w:rFonts w:ascii="Verdana" w:hAnsi="Verdana"/>
          <w:sz w:val="20"/>
        </w:rPr>
        <w:t>.</w:t>
      </w:r>
    </w:p>
    <w:p w14:paraId="12F930D8" w14:textId="77777777" w:rsidR="00DF21E1" w:rsidRPr="006A0A3F" w:rsidRDefault="00DF21E1" w:rsidP="00551E61">
      <w:pPr>
        <w:pBdr>
          <w:top w:val="nil"/>
        </w:pBdr>
        <w:autoSpaceDE w:val="0"/>
        <w:autoSpaceDN w:val="0"/>
        <w:adjustRightInd w:val="0"/>
        <w:spacing w:after="0" w:line="240" w:lineRule="auto"/>
        <w:jc w:val="both"/>
        <w:rPr>
          <w:rFonts w:ascii="Verdana" w:hAnsi="Verdana"/>
          <w:sz w:val="20"/>
        </w:rPr>
      </w:pPr>
    </w:p>
    <w:p w14:paraId="1AFDB7F4" w14:textId="4A094023" w:rsidR="00E86169" w:rsidRPr="006A0A3F" w:rsidRDefault="00E86169" w:rsidP="008463C6">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Si por causas atribuibles a los beneficiarios de las indemnizaciones o</w:t>
      </w:r>
      <w:r w:rsidR="008463C6" w:rsidRPr="006A0A3F">
        <w:rPr>
          <w:rFonts w:ascii="Verdana" w:hAnsi="Verdana"/>
          <w:sz w:val="20"/>
        </w:rPr>
        <w:t>, en su caso</w:t>
      </w:r>
      <w:r w:rsidRPr="006A0A3F">
        <w:rPr>
          <w:rFonts w:ascii="Verdana" w:hAnsi="Verdana"/>
          <w:sz w:val="20"/>
        </w:rPr>
        <w:t xml:space="preserve"> a sus derechohabientes</w:t>
      </w:r>
      <w:r w:rsidR="008463C6" w:rsidRPr="006A0A3F">
        <w:rPr>
          <w:rFonts w:ascii="Verdana" w:hAnsi="Verdana"/>
          <w:sz w:val="20"/>
        </w:rPr>
        <w:t>,</w:t>
      </w:r>
      <w:r w:rsidRPr="006A0A3F">
        <w:rPr>
          <w:rFonts w:ascii="Verdana" w:hAnsi="Verdana"/>
          <w:sz w:val="20"/>
        </w:rPr>
        <w:t xml:space="preserve"> no fuese posible el pago de las cantidades determinadas dentro del plazo indicado, el Estado consignará dichos montos a su favor en una cuenta o certificado de depósito en una institución financiera venezolana solve</w:t>
      </w:r>
      <w:r w:rsidR="008463C6" w:rsidRPr="006A0A3F">
        <w:rPr>
          <w:rFonts w:ascii="Verdana" w:hAnsi="Verdana"/>
          <w:sz w:val="20"/>
        </w:rPr>
        <w:t>nte, en dólares estadounidenses</w:t>
      </w:r>
      <w:r w:rsidRPr="006A0A3F">
        <w:rPr>
          <w:rFonts w:ascii="Verdana" w:hAnsi="Verdana"/>
          <w:sz w:val="20"/>
        </w:rPr>
        <w:t xml:space="preserve"> y en las condiciones financieras más favorables que permitan la legislación y la práctica bancaria. Si no se reclama la indemnización correspondiente una vez transcurridos diez años, las cantidades serán devueltas al Estado con los intereses devengados.</w:t>
      </w:r>
    </w:p>
    <w:p w14:paraId="1286D094" w14:textId="77777777" w:rsidR="00E86169" w:rsidRPr="006A0A3F" w:rsidRDefault="00E86169" w:rsidP="008463C6">
      <w:pPr>
        <w:pBdr>
          <w:top w:val="nil"/>
        </w:pBdr>
        <w:autoSpaceDE w:val="0"/>
        <w:autoSpaceDN w:val="0"/>
        <w:adjustRightInd w:val="0"/>
        <w:spacing w:after="0" w:line="240" w:lineRule="auto"/>
        <w:jc w:val="both"/>
        <w:rPr>
          <w:rFonts w:ascii="Verdana" w:hAnsi="Verdana"/>
          <w:sz w:val="20"/>
        </w:rPr>
      </w:pPr>
    </w:p>
    <w:p w14:paraId="4585C11C" w14:textId="4B3D6A8B" w:rsidR="008463C6" w:rsidRPr="006A0A3F" w:rsidRDefault="008463C6" w:rsidP="008463C6">
      <w:pPr>
        <w:numPr>
          <w:ilvl w:val="0"/>
          <w:numId w:val="4"/>
        </w:numPr>
        <w:pBdr>
          <w:top w:val="nil"/>
        </w:pBdr>
        <w:tabs>
          <w:tab w:val="num" w:pos="851"/>
          <w:tab w:val="num" w:pos="12305"/>
        </w:tabs>
        <w:autoSpaceDE w:val="0"/>
        <w:autoSpaceDN w:val="0"/>
        <w:adjustRightInd w:val="0"/>
        <w:spacing w:after="0" w:line="240" w:lineRule="auto"/>
        <w:ind w:left="0" w:firstLine="0"/>
        <w:jc w:val="both"/>
        <w:rPr>
          <w:rFonts w:ascii="Verdana" w:hAnsi="Verdana"/>
          <w:sz w:val="20"/>
        </w:rPr>
      </w:pPr>
      <w:r w:rsidRPr="006A0A3F">
        <w:rPr>
          <w:rFonts w:ascii="Verdana" w:hAnsi="Verdana"/>
          <w:sz w:val="20"/>
        </w:rPr>
        <w:t>Las cantidades asignadas en la presente Sentencia como indemnizaciones y como reintegro de costas y gastos deberán ser entregadas a las personas indicadas en forma íntegra conforme a lo establecido en este Fallo, sin reducciones derivadas de eventuales cargas fiscales.</w:t>
      </w:r>
    </w:p>
    <w:p w14:paraId="0EB92CAC" w14:textId="77777777" w:rsidR="008463C6" w:rsidRPr="006A0A3F" w:rsidRDefault="008463C6" w:rsidP="008463C6">
      <w:pPr>
        <w:pBdr>
          <w:top w:val="nil"/>
        </w:pBdr>
        <w:autoSpaceDE w:val="0"/>
        <w:autoSpaceDN w:val="0"/>
        <w:adjustRightInd w:val="0"/>
        <w:spacing w:after="0" w:line="240" w:lineRule="auto"/>
        <w:jc w:val="both"/>
        <w:rPr>
          <w:rFonts w:ascii="Verdana" w:hAnsi="Verdana"/>
          <w:sz w:val="20"/>
        </w:rPr>
      </w:pPr>
    </w:p>
    <w:p w14:paraId="58FC7570" w14:textId="595AC5DB" w:rsidR="00E86169" w:rsidRPr="006A0A3F" w:rsidRDefault="00E86169" w:rsidP="008463C6">
      <w:pPr>
        <w:numPr>
          <w:ilvl w:val="0"/>
          <w:numId w:val="4"/>
        </w:numPr>
        <w:pBdr>
          <w:top w:val="nil"/>
        </w:pBdr>
        <w:autoSpaceDE w:val="0"/>
        <w:autoSpaceDN w:val="0"/>
        <w:adjustRightInd w:val="0"/>
        <w:spacing w:after="0" w:line="240" w:lineRule="auto"/>
        <w:ind w:left="0" w:firstLine="0"/>
        <w:jc w:val="both"/>
        <w:rPr>
          <w:rFonts w:ascii="Verdana" w:hAnsi="Verdana"/>
          <w:sz w:val="20"/>
        </w:rPr>
      </w:pPr>
      <w:r w:rsidRPr="006A0A3F">
        <w:rPr>
          <w:rFonts w:ascii="Verdana" w:hAnsi="Verdana"/>
          <w:sz w:val="20"/>
        </w:rPr>
        <w:t>En caso de que el Estado incurriera en mora, deberá pagar un interés sobre la cantidad adeudada correspondiente al interés bancario moratorio en Venezuela.</w:t>
      </w:r>
    </w:p>
    <w:p w14:paraId="683221F3" w14:textId="77777777" w:rsidR="00E86169" w:rsidRPr="006A0A3F" w:rsidRDefault="00E86169" w:rsidP="008463C6">
      <w:pPr>
        <w:pBdr>
          <w:top w:val="nil"/>
        </w:pBdr>
        <w:autoSpaceDE w:val="0"/>
        <w:autoSpaceDN w:val="0"/>
        <w:adjustRightInd w:val="0"/>
        <w:spacing w:after="0" w:line="240" w:lineRule="auto"/>
        <w:jc w:val="both"/>
        <w:rPr>
          <w:rFonts w:ascii="Verdana" w:hAnsi="Verdana"/>
          <w:sz w:val="20"/>
        </w:rPr>
      </w:pPr>
    </w:p>
    <w:p w14:paraId="2A7B38CA" w14:textId="77777777" w:rsidR="00A458DA" w:rsidRDefault="00A458DA" w:rsidP="008463C6">
      <w:pPr>
        <w:pBdr>
          <w:top w:val="nil"/>
        </w:pBdr>
        <w:autoSpaceDE w:val="0"/>
        <w:autoSpaceDN w:val="0"/>
        <w:adjustRightInd w:val="0"/>
        <w:spacing w:after="0" w:line="240" w:lineRule="auto"/>
        <w:jc w:val="both"/>
        <w:rPr>
          <w:rFonts w:ascii="Verdana" w:hAnsi="Verdana"/>
          <w:sz w:val="20"/>
        </w:rPr>
      </w:pPr>
    </w:p>
    <w:p w14:paraId="061C0E68" w14:textId="77777777" w:rsidR="00925197" w:rsidRPr="006A0A3F" w:rsidRDefault="00925197" w:rsidP="008463C6">
      <w:pPr>
        <w:pBdr>
          <w:top w:val="nil"/>
        </w:pBdr>
        <w:autoSpaceDE w:val="0"/>
        <w:autoSpaceDN w:val="0"/>
        <w:adjustRightInd w:val="0"/>
        <w:spacing w:after="0" w:line="240" w:lineRule="auto"/>
        <w:jc w:val="both"/>
        <w:rPr>
          <w:rFonts w:ascii="Verdana" w:hAnsi="Verdana"/>
          <w:sz w:val="20"/>
        </w:rPr>
      </w:pPr>
    </w:p>
    <w:p w14:paraId="4DAD2F7B" w14:textId="4550C16E" w:rsidR="00D55934" w:rsidRPr="006A0A3F" w:rsidRDefault="006111D2" w:rsidP="00D55934">
      <w:pPr>
        <w:pStyle w:val="Heading1"/>
        <w:jc w:val="center"/>
        <w:rPr>
          <w:rFonts w:ascii="Verdana" w:hAnsi="Verdana"/>
          <w:sz w:val="20"/>
          <w:szCs w:val="20"/>
          <w:lang w:val="es-CR"/>
        </w:rPr>
      </w:pPr>
      <w:bookmarkStart w:id="58" w:name="_Toc442987398"/>
      <w:bookmarkStart w:id="59" w:name="_Toc476251472"/>
      <w:bookmarkStart w:id="60" w:name="_Toc505877011"/>
      <w:r w:rsidRPr="006A0A3F">
        <w:rPr>
          <w:rFonts w:ascii="Verdana" w:hAnsi="Verdana"/>
          <w:sz w:val="20"/>
          <w:szCs w:val="20"/>
          <w:lang w:val="es-CR"/>
        </w:rPr>
        <w:t>I</w:t>
      </w:r>
      <w:r w:rsidR="00D55934" w:rsidRPr="006A0A3F">
        <w:rPr>
          <w:rFonts w:ascii="Verdana" w:hAnsi="Verdana"/>
          <w:sz w:val="20"/>
          <w:szCs w:val="20"/>
          <w:lang w:val="es-CR"/>
        </w:rPr>
        <w:t>X</w:t>
      </w:r>
      <w:r w:rsidR="00D55934" w:rsidRPr="006A0A3F">
        <w:rPr>
          <w:rFonts w:ascii="Verdana" w:hAnsi="Verdana"/>
          <w:sz w:val="20"/>
          <w:szCs w:val="20"/>
          <w:lang w:val="es-CR"/>
        </w:rPr>
        <w:br/>
        <w:t>PUNTOS RESOLUTIVOS</w:t>
      </w:r>
      <w:bookmarkEnd w:id="58"/>
      <w:bookmarkEnd w:id="59"/>
      <w:bookmarkEnd w:id="60"/>
    </w:p>
    <w:p w14:paraId="08036771" w14:textId="77777777" w:rsidR="00D55934" w:rsidRDefault="00D55934" w:rsidP="00D55934">
      <w:pPr>
        <w:autoSpaceDE w:val="0"/>
        <w:autoSpaceDN w:val="0"/>
        <w:adjustRightInd w:val="0"/>
        <w:spacing w:after="0" w:line="240" w:lineRule="auto"/>
        <w:ind w:right="49"/>
        <w:contextualSpacing/>
        <w:jc w:val="both"/>
      </w:pPr>
    </w:p>
    <w:p w14:paraId="183D3750" w14:textId="77777777" w:rsidR="005222A9" w:rsidRPr="006A0A3F" w:rsidRDefault="005222A9" w:rsidP="00D55934">
      <w:pPr>
        <w:autoSpaceDE w:val="0"/>
        <w:autoSpaceDN w:val="0"/>
        <w:adjustRightInd w:val="0"/>
        <w:spacing w:after="0" w:line="240" w:lineRule="auto"/>
        <w:ind w:right="49"/>
        <w:contextualSpacing/>
        <w:jc w:val="both"/>
      </w:pPr>
    </w:p>
    <w:p w14:paraId="05A400CB" w14:textId="77777777" w:rsidR="00D55934" w:rsidRPr="006A0A3F" w:rsidRDefault="00D55934" w:rsidP="00D55934">
      <w:pPr>
        <w:numPr>
          <w:ilvl w:val="0"/>
          <w:numId w:val="4"/>
        </w:numPr>
        <w:autoSpaceDE w:val="0"/>
        <w:autoSpaceDN w:val="0"/>
        <w:adjustRightInd w:val="0"/>
        <w:spacing w:after="0" w:line="240" w:lineRule="auto"/>
        <w:ind w:left="0" w:right="49" w:firstLine="0"/>
        <w:contextualSpacing/>
        <w:jc w:val="both"/>
        <w:rPr>
          <w:rFonts w:ascii="Verdana" w:hAnsi="Verdana"/>
          <w:sz w:val="20"/>
          <w:szCs w:val="20"/>
        </w:rPr>
      </w:pPr>
      <w:r w:rsidRPr="006A0A3F">
        <w:rPr>
          <w:rFonts w:ascii="Verdana" w:hAnsi="Verdana"/>
          <w:sz w:val="20"/>
          <w:szCs w:val="20"/>
        </w:rPr>
        <w:t>Por tanto,</w:t>
      </w:r>
    </w:p>
    <w:p w14:paraId="7FBF1BB2" w14:textId="77777777" w:rsidR="00D55934" w:rsidRDefault="00D55934" w:rsidP="00D55934">
      <w:pPr>
        <w:spacing w:after="0" w:line="240" w:lineRule="auto"/>
        <w:jc w:val="both"/>
        <w:rPr>
          <w:rFonts w:ascii="Verdana" w:hAnsi="Verdana"/>
          <w:b/>
          <w:smallCaps/>
          <w:sz w:val="20"/>
          <w:szCs w:val="20"/>
        </w:rPr>
      </w:pPr>
    </w:p>
    <w:p w14:paraId="679D005E" w14:textId="77777777" w:rsidR="000E2992" w:rsidRPr="006A0A3F" w:rsidRDefault="000E2992" w:rsidP="00D55934">
      <w:pPr>
        <w:spacing w:after="0" w:line="240" w:lineRule="auto"/>
        <w:jc w:val="both"/>
        <w:rPr>
          <w:rFonts w:ascii="Verdana" w:hAnsi="Verdana"/>
          <w:b/>
          <w:smallCaps/>
          <w:sz w:val="20"/>
          <w:szCs w:val="20"/>
        </w:rPr>
      </w:pPr>
    </w:p>
    <w:p w14:paraId="61968575" w14:textId="77777777" w:rsidR="00D55934" w:rsidRPr="006A0A3F" w:rsidRDefault="00D55934" w:rsidP="00D55934">
      <w:pPr>
        <w:spacing w:after="0" w:line="240" w:lineRule="auto"/>
        <w:jc w:val="both"/>
        <w:rPr>
          <w:rFonts w:ascii="Verdana" w:hAnsi="Verdana"/>
          <w:b/>
          <w:smallCaps/>
          <w:sz w:val="20"/>
          <w:szCs w:val="20"/>
        </w:rPr>
      </w:pPr>
      <w:r w:rsidRPr="006A0A3F">
        <w:rPr>
          <w:rFonts w:ascii="Verdana" w:hAnsi="Verdana"/>
          <w:b/>
          <w:smallCaps/>
          <w:sz w:val="20"/>
          <w:szCs w:val="20"/>
        </w:rPr>
        <w:t>LA CORTE</w:t>
      </w:r>
    </w:p>
    <w:p w14:paraId="668AB4D7" w14:textId="77777777" w:rsidR="00D55934" w:rsidRDefault="00D55934" w:rsidP="00D55934">
      <w:pPr>
        <w:spacing w:after="0" w:line="240" w:lineRule="auto"/>
        <w:jc w:val="both"/>
        <w:rPr>
          <w:rFonts w:ascii="Verdana" w:hAnsi="Verdana"/>
          <w:b/>
          <w:smallCaps/>
          <w:sz w:val="20"/>
          <w:szCs w:val="20"/>
        </w:rPr>
      </w:pPr>
      <w:bookmarkStart w:id="61" w:name="_Toc368399874"/>
    </w:p>
    <w:p w14:paraId="0D241694" w14:textId="77777777" w:rsidR="000E2992" w:rsidRPr="006A0A3F" w:rsidRDefault="000E2992" w:rsidP="00D55934">
      <w:pPr>
        <w:spacing w:after="0" w:line="240" w:lineRule="auto"/>
        <w:jc w:val="both"/>
        <w:rPr>
          <w:rFonts w:ascii="Verdana" w:hAnsi="Verdana"/>
          <w:b/>
          <w:smallCaps/>
          <w:sz w:val="20"/>
          <w:szCs w:val="20"/>
        </w:rPr>
      </w:pPr>
    </w:p>
    <w:p w14:paraId="388370FF" w14:textId="77777777" w:rsidR="00D55934" w:rsidRPr="006A0A3F" w:rsidRDefault="00D55934" w:rsidP="00D55934">
      <w:pPr>
        <w:spacing w:after="0" w:line="240" w:lineRule="auto"/>
        <w:jc w:val="both"/>
        <w:rPr>
          <w:rFonts w:ascii="Verdana" w:hAnsi="Verdana"/>
          <w:sz w:val="20"/>
          <w:szCs w:val="20"/>
        </w:rPr>
      </w:pPr>
      <w:r w:rsidRPr="006A0A3F">
        <w:rPr>
          <w:rFonts w:ascii="Verdana" w:hAnsi="Verdana"/>
          <w:b/>
          <w:smallCaps/>
          <w:sz w:val="20"/>
          <w:szCs w:val="20"/>
        </w:rPr>
        <w:t>DECLARA</w:t>
      </w:r>
      <w:bookmarkEnd w:id="61"/>
      <w:r w:rsidRPr="006A0A3F">
        <w:rPr>
          <w:rFonts w:ascii="Verdana" w:hAnsi="Verdana"/>
          <w:b/>
          <w:sz w:val="20"/>
          <w:szCs w:val="20"/>
        </w:rPr>
        <w:t>,</w:t>
      </w:r>
    </w:p>
    <w:p w14:paraId="2592B1B8" w14:textId="77777777" w:rsidR="00D55934" w:rsidRDefault="00D55934" w:rsidP="00D55934">
      <w:pPr>
        <w:spacing w:after="0" w:line="240" w:lineRule="auto"/>
        <w:ind w:right="11"/>
        <w:jc w:val="both"/>
        <w:rPr>
          <w:rFonts w:ascii="Verdana" w:hAnsi="Verdana"/>
          <w:sz w:val="20"/>
          <w:szCs w:val="20"/>
        </w:rPr>
      </w:pPr>
    </w:p>
    <w:p w14:paraId="3C82EBFB" w14:textId="77777777" w:rsidR="000E2992" w:rsidRPr="006A0A3F" w:rsidRDefault="000E2992" w:rsidP="00D55934">
      <w:pPr>
        <w:spacing w:after="0" w:line="240" w:lineRule="auto"/>
        <w:ind w:right="11"/>
        <w:jc w:val="both"/>
        <w:rPr>
          <w:rFonts w:ascii="Verdana" w:hAnsi="Verdana"/>
          <w:sz w:val="20"/>
          <w:szCs w:val="20"/>
        </w:rPr>
      </w:pPr>
    </w:p>
    <w:p w14:paraId="07B89379" w14:textId="4D601283" w:rsidR="00D55934" w:rsidRPr="006A0A3F" w:rsidRDefault="009E32DB" w:rsidP="00D55934">
      <w:pPr>
        <w:spacing w:after="0" w:line="240" w:lineRule="auto"/>
        <w:ind w:right="11"/>
        <w:jc w:val="both"/>
        <w:rPr>
          <w:rFonts w:ascii="Verdana" w:hAnsi="Verdana"/>
          <w:sz w:val="20"/>
          <w:szCs w:val="20"/>
        </w:rPr>
      </w:pPr>
      <w:r w:rsidRPr="006A0A3F">
        <w:rPr>
          <w:rFonts w:ascii="Verdana" w:hAnsi="Verdana"/>
          <w:sz w:val="20"/>
          <w:szCs w:val="20"/>
        </w:rPr>
        <w:t>P</w:t>
      </w:r>
      <w:r w:rsidR="00D55934" w:rsidRPr="006A0A3F">
        <w:rPr>
          <w:rFonts w:ascii="Verdana" w:hAnsi="Verdana"/>
          <w:sz w:val="20"/>
          <w:szCs w:val="20"/>
        </w:rPr>
        <w:t>or</w:t>
      </w:r>
      <w:r w:rsidRPr="006A0A3F">
        <w:rPr>
          <w:rFonts w:ascii="Verdana" w:hAnsi="Verdana"/>
          <w:sz w:val="20"/>
          <w:szCs w:val="20"/>
        </w:rPr>
        <w:t xml:space="preserve"> unanimidad</w:t>
      </w:r>
      <w:r w:rsidR="00D55934" w:rsidRPr="006A0A3F">
        <w:rPr>
          <w:rFonts w:ascii="Verdana" w:hAnsi="Verdana"/>
          <w:sz w:val="20"/>
          <w:szCs w:val="20"/>
        </w:rPr>
        <w:t xml:space="preserve">, que: </w:t>
      </w:r>
    </w:p>
    <w:p w14:paraId="4EFE4234" w14:textId="77777777" w:rsidR="00D55934" w:rsidRDefault="00D55934" w:rsidP="00D55934">
      <w:pPr>
        <w:spacing w:after="0" w:line="240" w:lineRule="auto"/>
        <w:jc w:val="both"/>
        <w:rPr>
          <w:rFonts w:ascii="Verdana" w:hAnsi="Verdana"/>
          <w:sz w:val="20"/>
          <w:szCs w:val="20"/>
        </w:rPr>
      </w:pPr>
    </w:p>
    <w:p w14:paraId="17477DE6" w14:textId="3FF4222D" w:rsidR="00AB01E3" w:rsidRPr="006A0A3F" w:rsidRDefault="00AB01E3" w:rsidP="00AB01E3">
      <w:pPr>
        <w:spacing w:after="0" w:line="240" w:lineRule="auto"/>
        <w:jc w:val="both"/>
        <w:rPr>
          <w:rFonts w:ascii="Verdana" w:hAnsi="Verdana"/>
          <w:spacing w:val="-2"/>
          <w:sz w:val="20"/>
          <w:szCs w:val="20"/>
        </w:rPr>
      </w:pPr>
      <w:r w:rsidRPr="006A0A3F">
        <w:rPr>
          <w:rFonts w:ascii="Verdana" w:eastAsia="Calibri" w:hAnsi="Verdana"/>
          <w:spacing w:val="-2"/>
          <w:sz w:val="20"/>
          <w:szCs w:val="20"/>
        </w:rPr>
        <w:t xml:space="preserve">1. </w:t>
      </w:r>
      <w:r w:rsidRPr="006A0A3F">
        <w:rPr>
          <w:rFonts w:ascii="Verdana" w:eastAsia="Calibri" w:hAnsi="Verdana"/>
          <w:spacing w:val="-2"/>
          <w:sz w:val="20"/>
          <w:szCs w:val="20"/>
        </w:rPr>
        <w:tab/>
        <w:t>E</w:t>
      </w:r>
      <w:r w:rsidRPr="006A0A3F">
        <w:rPr>
          <w:rFonts w:ascii="Verdana" w:hAnsi="Verdana"/>
          <w:spacing w:val="-2"/>
          <w:sz w:val="20"/>
          <w:szCs w:val="20"/>
        </w:rPr>
        <w:t xml:space="preserve">l Estado es responsable </w:t>
      </w:r>
      <w:r w:rsidRPr="006A0A3F">
        <w:rPr>
          <w:rFonts w:ascii="Verdana" w:hAnsi="Verdana"/>
          <w:sz w:val="20"/>
          <w:szCs w:val="20"/>
        </w:rPr>
        <w:t>por la violación del derecho a la participación política, reconocido en el artículo 23.1.b) y c) de la Convención Americana</w:t>
      </w:r>
      <w:r w:rsidR="00E57EF1" w:rsidRPr="006A0A3F">
        <w:rPr>
          <w:rFonts w:ascii="Verdana" w:hAnsi="Verdana"/>
          <w:sz w:val="20"/>
          <w:szCs w:val="20"/>
        </w:rPr>
        <w:t xml:space="preserve"> </w:t>
      </w:r>
      <w:r w:rsidR="00E57EF1" w:rsidRPr="006A0A3F">
        <w:rPr>
          <w:rFonts w:ascii="Verdana" w:hAnsi="Verdana"/>
          <w:spacing w:val="-2"/>
          <w:sz w:val="20"/>
          <w:szCs w:val="20"/>
        </w:rPr>
        <w:t>sobre Derechos Humanos</w:t>
      </w:r>
      <w:r w:rsidRPr="006A0A3F">
        <w:rPr>
          <w:rFonts w:ascii="Verdana" w:hAnsi="Verdana"/>
          <w:sz w:val="20"/>
          <w:szCs w:val="20"/>
        </w:rPr>
        <w:t xml:space="preserve">, en relación con el principio de no discriminación </w:t>
      </w:r>
      <w:r w:rsidR="003A706B" w:rsidRPr="006A0A3F">
        <w:rPr>
          <w:rFonts w:ascii="Verdana" w:hAnsi="Verdana"/>
          <w:sz w:val="20"/>
          <w:szCs w:val="20"/>
        </w:rPr>
        <w:t>establecido</w:t>
      </w:r>
      <w:r w:rsidRPr="006A0A3F">
        <w:rPr>
          <w:rFonts w:ascii="Verdana" w:hAnsi="Verdana"/>
          <w:sz w:val="20"/>
          <w:szCs w:val="20"/>
        </w:rPr>
        <w:t xml:space="preserve"> en el artículo 1.1 de la misma, en perjuicio de las señoras Rocío San Miguel Sosa, </w:t>
      </w:r>
      <w:proofErr w:type="spellStart"/>
      <w:r w:rsidRPr="006A0A3F">
        <w:rPr>
          <w:rFonts w:ascii="Verdana" w:hAnsi="Verdana"/>
          <w:sz w:val="20"/>
          <w:szCs w:val="20"/>
        </w:rPr>
        <w:t>Magally</w:t>
      </w:r>
      <w:proofErr w:type="spellEnd"/>
      <w:r w:rsidRPr="006A0A3F">
        <w:rPr>
          <w:rFonts w:ascii="Verdana" w:hAnsi="Verdana"/>
          <w:sz w:val="20"/>
          <w:szCs w:val="20"/>
        </w:rPr>
        <w:t xml:space="preserve"> Chang Girón y Thais Coromoto Peña, </w:t>
      </w:r>
      <w:r w:rsidRPr="006A0A3F">
        <w:rPr>
          <w:rFonts w:ascii="Verdana" w:hAnsi="Verdana"/>
          <w:spacing w:val="-2"/>
          <w:sz w:val="20"/>
          <w:szCs w:val="20"/>
        </w:rPr>
        <w:t xml:space="preserve">en los términos de los párrafos </w:t>
      </w:r>
      <w:r w:rsidR="00FD2B2A">
        <w:rPr>
          <w:rFonts w:ascii="Verdana" w:hAnsi="Verdana"/>
          <w:spacing w:val="-2"/>
          <w:sz w:val="20"/>
          <w:szCs w:val="20"/>
        </w:rPr>
        <w:t>110 a 151</w:t>
      </w:r>
      <w:r w:rsidR="00C122AC" w:rsidRPr="006A0A3F">
        <w:rPr>
          <w:rFonts w:ascii="Verdana" w:hAnsi="Verdana"/>
          <w:spacing w:val="-2"/>
          <w:sz w:val="20"/>
          <w:szCs w:val="20"/>
        </w:rPr>
        <w:t xml:space="preserve"> </w:t>
      </w:r>
      <w:r w:rsidRPr="006A0A3F">
        <w:rPr>
          <w:rFonts w:ascii="Verdana" w:hAnsi="Verdana"/>
          <w:spacing w:val="-2"/>
          <w:sz w:val="20"/>
          <w:szCs w:val="20"/>
        </w:rPr>
        <w:t>de esta Sentencia.</w:t>
      </w:r>
    </w:p>
    <w:p w14:paraId="7F7FA970" w14:textId="77777777" w:rsidR="005222A9" w:rsidRDefault="005222A9" w:rsidP="00AB01E3">
      <w:pPr>
        <w:spacing w:after="0" w:line="240" w:lineRule="auto"/>
        <w:contextualSpacing/>
        <w:jc w:val="both"/>
        <w:rPr>
          <w:rFonts w:ascii="Verdana" w:hAnsi="Verdana"/>
          <w:spacing w:val="-2"/>
          <w:sz w:val="20"/>
          <w:szCs w:val="20"/>
        </w:rPr>
      </w:pPr>
    </w:p>
    <w:p w14:paraId="12436A3B" w14:textId="77777777" w:rsidR="00925197" w:rsidRDefault="00925197" w:rsidP="00AB01E3">
      <w:pPr>
        <w:spacing w:after="0" w:line="240" w:lineRule="auto"/>
        <w:contextualSpacing/>
        <w:jc w:val="both"/>
        <w:rPr>
          <w:rFonts w:ascii="Verdana" w:hAnsi="Verdana"/>
          <w:spacing w:val="-2"/>
          <w:sz w:val="20"/>
          <w:szCs w:val="20"/>
        </w:rPr>
      </w:pPr>
    </w:p>
    <w:p w14:paraId="548E09E9" w14:textId="77777777" w:rsidR="00FD2B2A" w:rsidRPr="006A0A3F" w:rsidRDefault="00FD2B2A" w:rsidP="00AB01E3">
      <w:pPr>
        <w:spacing w:after="0" w:line="240" w:lineRule="auto"/>
        <w:contextualSpacing/>
        <w:jc w:val="both"/>
        <w:rPr>
          <w:rFonts w:ascii="Verdana" w:hAnsi="Verdana"/>
          <w:spacing w:val="-2"/>
          <w:sz w:val="20"/>
          <w:szCs w:val="20"/>
        </w:rPr>
      </w:pPr>
    </w:p>
    <w:p w14:paraId="7B3026D8" w14:textId="32F63199"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w:t>
      </w:r>
      <w:r w:rsidR="00BC56D6" w:rsidRPr="006A0A3F">
        <w:rPr>
          <w:rFonts w:ascii="Verdana" w:hAnsi="Verdana"/>
          <w:sz w:val="20"/>
          <w:szCs w:val="20"/>
        </w:rPr>
        <w:t>or</w:t>
      </w:r>
      <w:r w:rsidRPr="006A0A3F">
        <w:rPr>
          <w:rFonts w:ascii="Verdana" w:hAnsi="Verdana"/>
          <w:sz w:val="20"/>
          <w:szCs w:val="20"/>
        </w:rPr>
        <w:t xml:space="preserve"> seis votos contra uno</w:t>
      </w:r>
      <w:r w:rsidR="00BC56D6" w:rsidRPr="006A0A3F">
        <w:rPr>
          <w:rFonts w:ascii="Verdana" w:hAnsi="Verdana"/>
          <w:sz w:val="20"/>
          <w:szCs w:val="20"/>
        </w:rPr>
        <w:t xml:space="preserve">, que: </w:t>
      </w:r>
    </w:p>
    <w:p w14:paraId="014F3704" w14:textId="77777777" w:rsidR="00BC56D6" w:rsidRPr="006A0A3F" w:rsidRDefault="00BC56D6" w:rsidP="00BC56D6">
      <w:pPr>
        <w:spacing w:after="0" w:line="240" w:lineRule="auto"/>
        <w:jc w:val="both"/>
        <w:rPr>
          <w:rFonts w:ascii="Verdana" w:hAnsi="Verdana"/>
          <w:sz w:val="20"/>
          <w:szCs w:val="20"/>
        </w:rPr>
      </w:pPr>
    </w:p>
    <w:p w14:paraId="5F099C1B" w14:textId="7013168B" w:rsidR="008F2DBD" w:rsidRPr="006A0A3F" w:rsidRDefault="00AB01E3" w:rsidP="00AB01E3">
      <w:pPr>
        <w:spacing w:after="0" w:line="240" w:lineRule="auto"/>
        <w:contextualSpacing/>
        <w:jc w:val="both"/>
        <w:rPr>
          <w:rFonts w:ascii="Verdana" w:hAnsi="Verdana"/>
          <w:spacing w:val="-2"/>
          <w:sz w:val="20"/>
          <w:szCs w:val="20"/>
        </w:rPr>
      </w:pPr>
      <w:r w:rsidRPr="006A0A3F">
        <w:rPr>
          <w:rFonts w:ascii="Verdana" w:hAnsi="Verdana"/>
          <w:sz w:val="20"/>
          <w:szCs w:val="20"/>
        </w:rPr>
        <w:t>2.</w:t>
      </w:r>
      <w:r w:rsidRPr="006A0A3F">
        <w:rPr>
          <w:rFonts w:ascii="Verdana" w:hAnsi="Verdana"/>
          <w:sz w:val="20"/>
          <w:szCs w:val="20"/>
        </w:rPr>
        <w:tab/>
      </w:r>
      <w:r w:rsidR="008F2DBD" w:rsidRPr="006A0A3F">
        <w:rPr>
          <w:rFonts w:ascii="Verdana" w:hAnsi="Verdana"/>
          <w:spacing w:val="-2"/>
          <w:sz w:val="20"/>
          <w:szCs w:val="20"/>
        </w:rPr>
        <w:t xml:space="preserve">El Estado es responsable por la violación de la libertad de pensamiento y expresión, reconocida en el artículo </w:t>
      </w:r>
      <w:r w:rsidR="008F2DBD" w:rsidRPr="006A0A3F">
        <w:rPr>
          <w:rFonts w:ascii="Verdana" w:hAnsi="Verdana"/>
          <w:sz w:val="20"/>
        </w:rPr>
        <w:t xml:space="preserve">13.1 </w:t>
      </w:r>
      <w:r w:rsidR="008F2DBD" w:rsidRPr="006A0A3F">
        <w:rPr>
          <w:rFonts w:ascii="Verdana" w:hAnsi="Verdana"/>
          <w:spacing w:val="-2"/>
          <w:sz w:val="20"/>
          <w:szCs w:val="20"/>
        </w:rPr>
        <w:t>de la Convención Americana</w:t>
      </w:r>
      <w:r w:rsidR="00E57EF1" w:rsidRPr="006A0A3F">
        <w:rPr>
          <w:rFonts w:ascii="Verdana" w:hAnsi="Verdana"/>
          <w:spacing w:val="-2"/>
          <w:sz w:val="20"/>
          <w:szCs w:val="20"/>
        </w:rPr>
        <w:t xml:space="preserve"> sobre Derechos Humanos</w:t>
      </w:r>
      <w:r w:rsidR="008F2DBD" w:rsidRPr="006A0A3F">
        <w:rPr>
          <w:rFonts w:ascii="Verdana" w:hAnsi="Verdana"/>
          <w:spacing w:val="-2"/>
          <w:sz w:val="20"/>
          <w:szCs w:val="20"/>
        </w:rPr>
        <w:t xml:space="preserve">, </w:t>
      </w:r>
      <w:r w:rsidR="008F2DBD" w:rsidRPr="006A0A3F">
        <w:rPr>
          <w:rFonts w:ascii="Verdana" w:hAnsi="Verdana"/>
          <w:sz w:val="20"/>
          <w:szCs w:val="20"/>
        </w:rPr>
        <w:t xml:space="preserve">en relación con el principio de no discriminación </w:t>
      </w:r>
      <w:r w:rsidR="003A706B" w:rsidRPr="006A0A3F">
        <w:rPr>
          <w:rFonts w:ascii="Verdana" w:hAnsi="Verdana"/>
          <w:sz w:val="20"/>
          <w:szCs w:val="20"/>
        </w:rPr>
        <w:t>establecido</w:t>
      </w:r>
      <w:r w:rsidR="008F2DBD" w:rsidRPr="006A0A3F">
        <w:rPr>
          <w:rFonts w:ascii="Verdana" w:hAnsi="Verdana"/>
          <w:sz w:val="20"/>
          <w:szCs w:val="20"/>
        </w:rPr>
        <w:t xml:space="preserve"> en el artículo 1.1 de la misma, en perjuicio de las señoras Rocío San Miguel Sosa, </w:t>
      </w:r>
      <w:proofErr w:type="spellStart"/>
      <w:r w:rsidR="008F2DBD" w:rsidRPr="006A0A3F">
        <w:rPr>
          <w:rFonts w:ascii="Verdana" w:hAnsi="Verdana"/>
          <w:sz w:val="20"/>
          <w:szCs w:val="20"/>
        </w:rPr>
        <w:t>Magally</w:t>
      </w:r>
      <w:proofErr w:type="spellEnd"/>
      <w:r w:rsidR="008F2DBD" w:rsidRPr="006A0A3F">
        <w:rPr>
          <w:rFonts w:ascii="Verdana" w:hAnsi="Verdana"/>
          <w:sz w:val="20"/>
          <w:szCs w:val="20"/>
        </w:rPr>
        <w:t xml:space="preserve"> Chang Girón y Thais Coromoto Peña, </w:t>
      </w:r>
      <w:r w:rsidR="008F2DBD" w:rsidRPr="006A0A3F">
        <w:rPr>
          <w:rFonts w:ascii="Verdana" w:hAnsi="Verdana"/>
          <w:spacing w:val="-2"/>
          <w:sz w:val="20"/>
          <w:szCs w:val="20"/>
        </w:rPr>
        <w:t xml:space="preserve">en los términos de los párrafos </w:t>
      </w:r>
      <w:r w:rsidR="00FD2B2A">
        <w:rPr>
          <w:rFonts w:ascii="Verdana" w:hAnsi="Verdana"/>
          <w:spacing w:val="-2"/>
          <w:sz w:val="20"/>
          <w:szCs w:val="20"/>
        </w:rPr>
        <w:t>152 a 160</w:t>
      </w:r>
      <w:r w:rsidR="00C122AC" w:rsidRPr="006A0A3F">
        <w:rPr>
          <w:rFonts w:ascii="Verdana" w:hAnsi="Verdana"/>
          <w:spacing w:val="-2"/>
          <w:sz w:val="20"/>
          <w:szCs w:val="20"/>
        </w:rPr>
        <w:t xml:space="preserve"> </w:t>
      </w:r>
      <w:r w:rsidR="008F2DBD" w:rsidRPr="006A0A3F">
        <w:rPr>
          <w:rFonts w:ascii="Verdana" w:hAnsi="Verdana"/>
          <w:spacing w:val="-2"/>
          <w:sz w:val="20"/>
          <w:szCs w:val="20"/>
        </w:rPr>
        <w:t>de esta Sentencia.</w:t>
      </w:r>
    </w:p>
    <w:p w14:paraId="6E8D3650" w14:textId="77777777" w:rsidR="00BC56D6" w:rsidRPr="006A0A3F" w:rsidRDefault="00BC56D6" w:rsidP="00BC56D6">
      <w:pPr>
        <w:spacing w:after="0" w:line="240" w:lineRule="auto"/>
        <w:contextualSpacing/>
        <w:jc w:val="both"/>
        <w:rPr>
          <w:rFonts w:ascii="Verdana" w:hAnsi="Verdana"/>
          <w:spacing w:val="-2"/>
          <w:sz w:val="20"/>
          <w:szCs w:val="20"/>
        </w:rPr>
      </w:pPr>
    </w:p>
    <w:p w14:paraId="29D97A7F" w14:textId="0119F80E" w:rsidR="009E32DB" w:rsidRPr="006A0A3F" w:rsidRDefault="009E32DB" w:rsidP="00BC56D6">
      <w:pPr>
        <w:spacing w:after="0" w:line="240" w:lineRule="auto"/>
        <w:contextualSpacing/>
        <w:jc w:val="both"/>
        <w:rPr>
          <w:rFonts w:ascii="Verdana" w:hAnsi="Verdana"/>
          <w:spacing w:val="-2"/>
          <w:sz w:val="20"/>
          <w:szCs w:val="20"/>
        </w:rPr>
      </w:pPr>
      <w:r w:rsidRPr="006A0A3F">
        <w:rPr>
          <w:rFonts w:ascii="Verdana" w:hAnsi="Verdana"/>
          <w:spacing w:val="-2"/>
          <w:sz w:val="20"/>
          <w:szCs w:val="20"/>
        </w:rPr>
        <w:t>Disiente el Juez Humberto Antonio Sierra Porto.</w:t>
      </w:r>
    </w:p>
    <w:p w14:paraId="1041CF03" w14:textId="77777777" w:rsidR="009E32DB" w:rsidRDefault="009E32DB" w:rsidP="00BC56D6">
      <w:pPr>
        <w:spacing w:after="0" w:line="240" w:lineRule="auto"/>
        <w:contextualSpacing/>
        <w:jc w:val="both"/>
        <w:rPr>
          <w:rFonts w:ascii="Verdana" w:hAnsi="Verdana"/>
          <w:spacing w:val="-2"/>
          <w:sz w:val="20"/>
          <w:szCs w:val="20"/>
        </w:rPr>
      </w:pPr>
    </w:p>
    <w:p w14:paraId="1DFD1CB7" w14:textId="77777777" w:rsidR="00925197" w:rsidRDefault="00925197" w:rsidP="00BC56D6">
      <w:pPr>
        <w:spacing w:after="0" w:line="240" w:lineRule="auto"/>
        <w:contextualSpacing/>
        <w:jc w:val="both"/>
        <w:rPr>
          <w:rFonts w:ascii="Verdana" w:hAnsi="Verdana"/>
          <w:spacing w:val="-2"/>
          <w:sz w:val="20"/>
          <w:szCs w:val="20"/>
        </w:rPr>
      </w:pPr>
    </w:p>
    <w:p w14:paraId="25F21FCF" w14:textId="77777777" w:rsidR="00FD2B2A" w:rsidRPr="006A0A3F" w:rsidRDefault="00FD2B2A" w:rsidP="00BC56D6">
      <w:pPr>
        <w:spacing w:after="0" w:line="240" w:lineRule="auto"/>
        <w:contextualSpacing/>
        <w:jc w:val="both"/>
        <w:rPr>
          <w:rFonts w:ascii="Verdana" w:hAnsi="Verdana"/>
          <w:spacing w:val="-2"/>
          <w:sz w:val="20"/>
          <w:szCs w:val="20"/>
        </w:rPr>
      </w:pPr>
    </w:p>
    <w:p w14:paraId="3A697D72" w14:textId="7407B381"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w:t>
      </w:r>
      <w:r w:rsidR="00BC56D6" w:rsidRPr="006A0A3F">
        <w:rPr>
          <w:rFonts w:ascii="Verdana" w:hAnsi="Verdana"/>
          <w:sz w:val="20"/>
          <w:szCs w:val="20"/>
        </w:rPr>
        <w:t>or</w:t>
      </w:r>
      <w:r w:rsidRPr="006A0A3F">
        <w:rPr>
          <w:rFonts w:ascii="Verdana" w:hAnsi="Verdana"/>
          <w:sz w:val="20"/>
          <w:szCs w:val="20"/>
        </w:rPr>
        <w:t xml:space="preserve"> unanimidad</w:t>
      </w:r>
      <w:r w:rsidR="00BC56D6" w:rsidRPr="006A0A3F">
        <w:rPr>
          <w:rFonts w:ascii="Verdana" w:hAnsi="Verdana"/>
          <w:sz w:val="20"/>
          <w:szCs w:val="20"/>
        </w:rPr>
        <w:t xml:space="preserve">, que: </w:t>
      </w:r>
    </w:p>
    <w:p w14:paraId="250F4A9E" w14:textId="77777777" w:rsidR="008F2DBD" w:rsidRPr="006A0A3F" w:rsidRDefault="008F2DBD" w:rsidP="00AB01E3">
      <w:pPr>
        <w:spacing w:after="0" w:line="240" w:lineRule="auto"/>
        <w:contextualSpacing/>
        <w:jc w:val="both"/>
        <w:rPr>
          <w:rFonts w:ascii="Verdana" w:hAnsi="Verdana"/>
          <w:spacing w:val="-2"/>
          <w:sz w:val="20"/>
          <w:szCs w:val="20"/>
        </w:rPr>
      </w:pPr>
    </w:p>
    <w:p w14:paraId="4C37DF8D" w14:textId="2D0C6A62" w:rsidR="00AB01E3" w:rsidRPr="006A0A3F" w:rsidRDefault="00650B62" w:rsidP="00AB01E3">
      <w:pPr>
        <w:spacing w:after="0" w:line="240" w:lineRule="auto"/>
        <w:contextualSpacing/>
        <w:jc w:val="both"/>
        <w:rPr>
          <w:rFonts w:ascii="Verdana" w:hAnsi="Verdana"/>
          <w:spacing w:val="-2"/>
          <w:sz w:val="20"/>
          <w:szCs w:val="20"/>
        </w:rPr>
      </w:pPr>
      <w:r w:rsidRPr="006A0A3F">
        <w:rPr>
          <w:rFonts w:ascii="Verdana" w:eastAsia="Calibri" w:hAnsi="Verdana" w:cs="Helvetica"/>
          <w:sz w:val="20"/>
          <w:szCs w:val="20"/>
          <w:lang w:bidi="en-US"/>
        </w:rPr>
        <w:t>3</w:t>
      </w:r>
      <w:r w:rsidR="00AB01E3" w:rsidRPr="006A0A3F">
        <w:rPr>
          <w:rFonts w:ascii="Verdana" w:eastAsia="Calibri" w:hAnsi="Verdana" w:cs="Helvetica"/>
          <w:sz w:val="20"/>
          <w:szCs w:val="20"/>
          <w:lang w:bidi="en-US"/>
        </w:rPr>
        <w:t>.</w:t>
      </w:r>
      <w:r w:rsidR="00AB01E3" w:rsidRPr="006A0A3F">
        <w:rPr>
          <w:rFonts w:ascii="Verdana" w:eastAsia="Calibri" w:hAnsi="Verdana" w:cs="Helvetica"/>
          <w:sz w:val="20"/>
          <w:szCs w:val="20"/>
          <w:lang w:bidi="en-US"/>
        </w:rPr>
        <w:tab/>
      </w:r>
      <w:r w:rsidR="008F2DBD" w:rsidRPr="006A0A3F">
        <w:rPr>
          <w:rFonts w:ascii="Verdana" w:hAnsi="Verdana"/>
          <w:sz w:val="20"/>
          <w:szCs w:val="20"/>
        </w:rPr>
        <w:t xml:space="preserve">El Estado es responsable por </w:t>
      </w:r>
      <w:r w:rsidR="003A706B" w:rsidRPr="006A0A3F">
        <w:rPr>
          <w:rFonts w:ascii="Verdana" w:hAnsi="Verdana"/>
          <w:sz w:val="20"/>
          <w:szCs w:val="20"/>
        </w:rPr>
        <w:t>la violación de los</w:t>
      </w:r>
      <w:r w:rsidR="00BC56D6" w:rsidRPr="006A0A3F">
        <w:rPr>
          <w:rFonts w:ascii="Verdana" w:hAnsi="Verdana"/>
          <w:sz w:val="20"/>
          <w:szCs w:val="20"/>
        </w:rPr>
        <w:t xml:space="preserve"> derecho</w:t>
      </w:r>
      <w:r w:rsidR="003A706B" w:rsidRPr="006A0A3F">
        <w:rPr>
          <w:rFonts w:ascii="Verdana" w:hAnsi="Verdana"/>
          <w:sz w:val="20"/>
          <w:szCs w:val="20"/>
        </w:rPr>
        <w:t>s</w:t>
      </w:r>
      <w:r w:rsidR="00BC56D6" w:rsidRPr="006A0A3F">
        <w:rPr>
          <w:rFonts w:ascii="Verdana" w:hAnsi="Verdana"/>
          <w:sz w:val="20"/>
          <w:szCs w:val="20"/>
        </w:rPr>
        <w:t xml:space="preserve"> de acceso a la justicia y </w:t>
      </w:r>
      <w:r w:rsidR="008F2DBD" w:rsidRPr="006A0A3F">
        <w:rPr>
          <w:rFonts w:ascii="Verdana" w:hAnsi="Verdana"/>
          <w:sz w:val="20"/>
          <w:szCs w:val="20"/>
        </w:rPr>
        <w:t>a un recurso efectivo, reconocido</w:t>
      </w:r>
      <w:r w:rsidR="00BC56D6" w:rsidRPr="006A0A3F">
        <w:rPr>
          <w:rFonts w:ascii="Verdana" w:hAnsi="Verdana"/>
          <w:sz w:val="20"/>
          <w:szCs w:val="20"/>
        </w:rPr>
        <w:t>s</w:t>
      </w:r>
      <w:r w:rsidR="008F2DBD" w:rsidRPr="006A0A3F">
        <w:rPr>
          <w:rFonts w:ascii="Verdana" w:hAnsi="Verdana"/>
          <w:sz w:val="20"/>
          <w:szCs w:val="20"/>
        </w:rPr>
        <w:t xml:space="preserve"> en </w:t>
      </w:r>
      <w:r w:rsidR="00BC56D6" w:rsidRPr="006A0A3F">
        <w:rPr>
          <w:rFonts w:ascii="Verdana" w:hAnsi="Verdana"/>
          <w:sz w:val="20"/>
          <w:szCs w:val="20"/>
        </w:rPr>
        <w:t>los</w:t>
      </w:r>
      <w:r w:rsidR="008F2DBD" w:rsidRPr="006A0A3F">
        <w:rPr>
          <w:rFonts w:ascii="Verdana" w:hAnsi="Verdana"/>
          <w:sz w:val="20"/>
          <w:szCs w:val="20"/>
        </w:rPr>
        <w:t xml:space="preserve"> artículo</w:t>
      </w:r>
      <w:r w:rsidR="00BC56D6" w:rsidRPr="006A0A3F">
        <w:rPr>
          <w:rFonts w:ascii="Verdana" w:hAnsi="Verdana"/>
          <w:sz w:val="20"/>
          <w:szCs w:val="20"/>
        </w:rPr>
        <w:t xml:space="preserve">s 8.1 y </w:t>
      </w:r>
      <w:r w:rsidR="008F2DBD" w:rsidRPr="006A0A3F">
        <w:rPr>
          <w:rFonts w:ascii="Verdana" w:hAnsi="Verdana"/>
          <w:sz w:val="20"/>
          <w:szCs w:val="20"/>
        </w:rPr>
        <w:t>25.1 de la Convención Americana</w:t>
      </w:r>
      <w:r w:rsidR="00E57EF1" w:rsidRPr="006A0A3F">
        <w:rPr>
          <w:rFonts w:ascii="Verdana" w:hAnsi="Verdana"/>
          <w:sz w:val="20"/>
          <w:szCs w:val="20"/>
        </w:rPr>
        <w:t xml:space="preserve"> </w:t>
      </w:r>
      <w:r w:rsidR="00E57EF1" w:rsidRPr="006A0A3F">
        <w:rPr>
          <w:rFonts w:ascii="Verdana" w:hAnsi="Verdana"/>
          <w:spacing w:val="-2"/>
          <w:sz w:val="20"/>
          <w:szCs w:val="20"/>
        </w:rPr>
        <w:t>sobre Derechos Humanos</w:t>
      </w:r>
      <w:r w:rsidR="008F2DBD" w:rsidRPr="006A0A3F">
        <w:rPr>
          <w:rFonts w:ascii="Verdana" w:hAnsi="Verdana"/>
          <w:sz w:val="20"/>
          <w:szCs w:val="20"/>
        </w:rPr>
        <w:t xml:space="preserve">, en relación con el artículo 1.1 de la misma, en perjuicio de las señoras Rocío San Miguel Sosa, </w:t>
      </w:r>
      <w:proofErr w:type="spellStart"/>
      <w:r w:rsidR="008F2DBD" w:rsidRPr="006A0A3F">
        <w:rPr>
          <w:rFonts w:ascii="Verdana" w:hAnsi="Verdana"/>
          <w:sz w:val="20"/>
          <w:szCs w:val="20"/>
        </w:rPr>
        <w:t>Magally</w:t>
      </w:r>
      <w:proofErr w:type="spellEnd"/>
      <w:r w:rsidR="008F2DBD" w:rsidRPr="006A0A3F">
        <w:rPr>
          <w:rFonts w:ascii="Verdana" w:hAnsi="Verdana"/>
          <w:sz w:val="20"/>
          <w:szCs w:val="20"/>
        </w:rPr>
        <w:t xml:space="preserve"> Chang Girón y Thais Coromoto Peña, </w:t>
      </w:r>
      <w:r w:rsidR="008F2DBD" w:rsidRPr="006A0A3F">
        <w:rPr>
          <w:rFonts w:ascii="Verdana" w:hAnsi="Verdana"/>
          <w:spacing w:val="-2"/>
          <w:sz w:val="20"/>
          <w:szCs w:val="20"/>
        </w:rPr>
        <w:t xml:space="preserve">en los términos de los párrafos </w:t>
      </w:r>
      <w:r w:rsidR="00FD2B2A">
        <w:rPr>
          <w:rFonts w:ascii="Verdana" w:hAnsi="Verdana"/>
          <w:spacing w:val="-2"/>
          <w:sz w:val="20"/>
          <w:szCs w:val="20"/>
        </w:rPr>
        <w:t xml:space="preserve">177 a </w:t>
      </w:r>
      <w:r w:rsidR="00252048">
        <w:rPr>
          <w:rFonts w:ascii="Verdana" w:hAnsi="Verdana"/>
          <w:spacing w:val="-2"/>
          <w:sz w:val="20"/>
          <w:szCs w:val="20"/>
        </w:rPr>
        <w:t xml:space="preserve">196 y </w:t>
      </w:r>
      <w:r w:rsidR="00FD2B2A">
        <w:rPr>
          <w:rFonts w:ascii="Verdana" w:hAnsi="Verdana"/>
          <w:spacing w:val="-2"/>
          <w:sz w:val="20"/>
          <w:szCs w:val="20"/>
        </w:rPr>
        <w:t>200</w:t>
      </w:r>
      <w:r w:rsidR="00C122AC" w:rsidRPr="006A0A3F">
        <w:rPr>
          <w:rFonts w:ascii="Verdana" w:hAnsi="Verdana"/>
          <w:spacing w:val="-2"/>
          <w:sz w:val="20"/>
          <w:szCs w:val="20"/>
        </w:rPr>
        <w:t xml:space="preserve"> </w:t>
      </w:r>
      <w:r w:rsidR="008F2DBD" w:rsidRPr="006A0A3F">
        <w:rPr>
          <w:rFonts w:ascii="Verdana" w:hAnsi="Verdana"/>
          <w:spacing w:val="-2"/>
          <w:sz w:val="20"/>
          <w:szCs w:val="20"/>
        </w:rPr>
        <w:t>de esta Sentencia</w:t>
      </w:r>
      <w:r w:rsidR="008F2DBD" w:rsidRPr="006A0A3F">
        <w:rPr>
          <w:rFonts w:ascii="Verdana" w:hAnsi="Verdana"/>
          <w:sz w:val="20"/>
          <w:szCs w:val="20"/>
        </w:rPr>
        <w:t>.</w:t>
      </w:r>
    </w:p>
    <w:p w14:paraId="50F98970" w14:textId="77777777" w:rsidR="005222A9" w:rsidRDefault="005222A9" w:rsidP="00BC56D6">
      <w:pPr>
        <w:spacing w:after="0" w:line="240" w:lineRule="auto"/>
        <w:contextualSpacing/>
        <w:jc w:val="both"/>
        <w:rPr>
          <w:rFonts w:ascii="Verdana" w:hAnsi="Verdana"/>
          <w:spacing w:val="-2"/>
          <w:sz w:val="20"/>
          <w:szCs w:val="20"/>
        </w:rPr>
      </w:pPr>
    </w:p>
    <w:p w14:paraId="1D19D91C" w14:textId="77777777" w:rsidR="00FD2B2A" w:rsidRDefault="00FD2B2A" w:rsidP="00BC56D6">
      <w:pPr>
        <w:spacing w:after="0" w:line="240" w:lineRule="auto"/>
        <w:contextualSpacing/>
        <w:jc w:val="both"/>
        <w:rPr>
          <w:rFonts w:ascii="Verdana" w:hAnsi="Verdana"/>
          <w:spacing w:val="-2"/>
          <w:sz w:val="20"/>
          <w:szCs w:val="20"/>
        </w:rPr>
      </w:pPr>
    </w:p>
    <w:p w14:paraId="030A56F0" w14:textId="4AB034A3"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Por cinco votos contra dos</w:t>
      </w:r>
      <w:r w:rsidR="00BC56D6" w:rsidRPr="006A0A3F">
        <w:rPr>
          <w:rFonts w:ascii="Verdana" w:hAnsi="Verdana"/>
          <w:sz w:val="20"/>
          <w:szCs w:val="20"/>
        </w:rPr>
        <w:t xml:space="preserve">, que: </w:t>
      </w:r>
    </w:p>
    <w:p w14:paraId="16881345" w14:textId="77777777" w:rsidR="00AB01E3" w:rsidRPr="006A0A3F" w:rsidRDefault="00AB01E3" w:rsidP="00AB01E3">
      <w:pPr>
        <w:spacing w:after="0" w:line="240" w:lineRule="auto"/>
        <w:contextualSpacing/>
        <w:jc w:val="both"/>
        <w:rPr>
          <w:rFonts w:ascii="Verdana" w:eastAsia="Calibri" w:hAnsi="Verdana" w:cs="Helvetica"/>
          <w:sz w:val="20"/>
          <w:szCs w:val="20"/>
          <w:lang w:bidi="en-US"/>
        </w:rPr>
      </w:pPr>
    </w:p>
    <w:p w14:paraId="631164F0" w14:textId="1621759F" w:rsidR="004A0897" w:rsidRPr="006A0A3F" w:rsidRDefault="004A0897" w:rsidP="00AB01E3">
      <w:pPr>
        <w:spacing w:after="0" w:line="240" w:lineRule="auto"/>
        <w:contextualSpacing/>
        <w:jc w:val="both"/>
        <w:rPr>
          <w:rFonts w:ascii="Verdana" w:eastAsia="Calibri" w:hAnsi="Verdana" w:cs="Helvetica"/>
          <w:sz w:val="20"/>
          <w:szCs w:val="20"/>
          <w:lang w:bidi="en-US"/>
        </w:rPr>
      </w:pPr>
      <w:r w:rsidRPr="006A0A3F">
        <w:rPr>
          <w:rFonts w:ascii="Verdana" w:eastAsia="Calibri" w:hAnsi="Verdana" w:cs="Helvetica"/>
          <w:sz w:val="20"/>
          <w:szCs w:val="20"/>
          <w:lang w:bidi="en-US"/>
        </w:rPr>
        <w:t>4.</w:t>
      </w:r>
      <w:r w:rsidRPr="006A0A3F">
        <w:rPr>
          <w:rFonts w:ascii="Verdana" w:eastAsia="Calibri" w:hAnsi="Verdana" w:cs="Helvetica"/>
          <w:sz w:val="20"/>
          <w:szCs w:val="20"/>
          <w:lang w:bidi="en-US"/>
        </w:rPr>
        <w:tab/>
      </w:r>
      <w:r w:rsidRPr="006A0A3F">
        <w:rPr>
          <w:rFonts w:ascii="Verdana" w:hAnsi="Verdana"/>
          <w:sz w:val="20"/>
          <w:szCs w:val="20"/>
        </w:rPr>
        <w:t xml:space="preserve">El Estado es responsable por la violación </w:t>
      </w:r>
      <w:r w:rsidRPr="006A0A3F">
        <w:rPr>
          <w:rFonts w:ascii="Verdana" w:eastAsia="Batang" w:hAnsi="Verdana" w:cs="Times"/>
          <w:spacing w:val="-2"/>
          <w:sz w:val="20"/>
          <w:szCs w:val="20"/>
        </w:rPr>
        <w:t xml:space="preserve">del derecho al trabajo, reconocido en el artículo 26 </w:t>
      </w:r>
      <w:r w:rsidRPr="006A0A3F">
        <w:rPr>
          <w:rFonts w:ascii="Verdana" w:hAnsi="Verdana"/>
          <w:spacing w:val="-2"/>
          <w:sz w:val="20"/>
          <w:szCs w:val="20"/>
        </w:rPr>
        <w:t xml:space="preserve">de la Convención Americana sobre Derechos Humanos, </w:t>
      </w:r>
      <w:r w:rsidR="00E57EF1" w:rsidRPr="006A0A3F">
        <w:rPr>
          <w:rFonts w:ascii="Verdana" w:eastAsia="Cambria" w:hAnsi="Verdana" w:cs="Cambria"/>
          <w:color w:val="000000"/>
          <w:sz w:val="20"/>
          <w:szCs w:val="20"/>
          <w:u w:color="000000"/>
          <w:lang w:eastAsia="es-ES"/>
        </w:rPr>
        <w:t xml:space="preserve">en relación con los derechos a la participación política, a la libertad de expresión y de acceso a la justicia, así como con el principio de no discriminación, </w:t>
      </w:r>
      <w:r w:rsidR="001627E9" w:rsidRPr="006A0A3F">
        <w:rPr>
          <w:rFonts w:ascii="Verdana" w:eastAsia="Cambria" w:hAnsi="Verdana" w:cs="Cambria"/>
          <w:color w:val="000000"/>
          <w:sz w:val="20"/>
          <w:szCs w:val="20"/>
          <w:u w:color="000000"/>
          <w:lang w:eastAsia="es-ES"/>
        </w:rPr>
        <w:t>reconocidos en</w:t>
      </w:r>
      <w:r w:rsidR="00E57EF1" w:rsidRPr="006A0A3F">
        <w:rPr>
          <w:rFonts w:ascii="Verdana" w:eastAsia="Cambria" w:hAnsi="Verdana" w:cs="Cambria"/>
          <w:color w:val="000000"/>
          <w:sz w:val="20"/>
          <w:szCs w:val="20"/>
          <w:u w:color="000000"/>
          <w:lang w:eastAsia="es-ES"/>
        </w:rPr>
        <w:t xml:space="preserve"> los artículos 23.1, 13.1, 8.1, 25.1 y 1.1 de aquel instrumento,</w:t>
      </w:r>
      <w:r w:rsidRPr="006A0A3F">
        <w:rPr>
          <w:rFonts w:ascii="Verdana" w:hAnsi="Verdana"/>
          <w:spacing w:val="-2"/>
          <w:sz w:val="20"/>
          <w:szCs w:val="20"/>
        </w:rPr>
        <w:t xml:space="preserve"> en perjuicio de </w:t>
      </w:r>
      <w:r w:rsidRPr="006A0A3F">
        <w:rPr>
          <w:rFonts w:ascii="Verdana" w:hAnsi="Verdana"/>
          <w:sz w:val="20"/>
          <w:szCs w:val="20"/>
        </w:rPr>
        <w:t xml:space="preserve">las señoras Rocío San Miguel Sosa, </w:t>
      </w:r>
      <w:proofErr w:type="spellStart"/>
      <w:r w:rsidRPr="006A0A3F">
        <w:rPr>
          <w:rFonts w:ascii="Verdana" w:hAnsi="Verdana"/>
          <w:sz w:val="20"/>
          <w:szCs w:val="20"/>
        </w:rPr>
        <w:t>Magally</w:t>
      </w:r>
      <w:proofErr w:type="spellEnd"/>
      <w:r w:rsidRPr="006A0A3F">
        <w:rPr>
          <w:rFonts w:ascii="Verdana" w:hAnsi="Verdana"/>
          <w:sz w:val="20"/>
          <w:szCs w:val="20"/>
        </w:rPr>
        <w:t xml:space="preserve"> Chang Girón y Thais Coromoto Peña, </w:t>
      </w:r>
      <w:r w:rsidRPr="006A0A3F">
        <w:rPr>
          <w:rFonts w:ascii="Verdana" w:hAnsi="Verdana"/>
          <w:spacing w:val="-2"/>
          <w:sz w:val="20"/>
          <w:szCs w:val="20"/>
        </w:rPr>
        <w:t>e</w:t>
      </w:r>
      <w:r w:rsidR="00FD2B2A">
        <w:rPr>
          <w:rFonts w:ascii="Verdana" w:hAnsi="Verdana"/>
          <w:spacing w:val="-2"/>
          <w:sz w:val="20"/>
          <w:szCs w:val="20"/>
        </w:rPr>
        <w:t>n los términos de los párrafos 211 a 222</w:t>
      </w:r>
      <w:r w:rsidRPr="006A0A3F">
        <w:rPr>
          <w:rFonts w:ascii="Verdana" w:hAnsi="Verdana"/>
          <w:spacing w:val="-2"/>
          <w:sz w:val="20"/>
          <w:szCs w:val="20"/>
        </w:rPr>
        <w:t xml:space="preserve"> de esta Sentencia</w:t>
      </w:r>
      <w:r w:rsidR="008D6B7D" w:rsidRPr="006A0A3F">
        <w:rPr>
          <w:rFonts w:ascii="Verdana" w:hAnsi="Verdana"/>
          <w:spacing w:val="-2"/>
          <w:sz w:val="20"/>
          <w:szCs w:val="20"/>
        </w:rPr>
        <w:t>.</w:t>
      </w:r>
    </w:p>
    <w:p w14:paraId="5170B258" w14:textId="77777777" w:rsidR="00E57EF1" w:rsidRPr="006A0A3F" w:rsidRDefault="00E57EF1" w:rsidP="004A0897">
      <w:pPr>
        <w:spacing w:after="0" w:line="240" w:lineRule="auto"/>
        <w:contextualSpacing/>
        <w:jc w:val="both"/>
        <w:rPr>
          <w:rFonts w:ascii="Verdana" w:hAnsi="Verdana"/>
          <w:spacing w:val="-2"/>
          <w:sz w:val="20"/>
          <w:szCs w:val="20"/>
        </w:rPr>
      </w:pPr>
    </w:p>
    <w:p w14:paraId="64E02821" w14:textId="41938FAA" w:rsidR="009E32DB" w:rsidRPr="006A0A3F" w:rsidRDefault="009E32DB" w:rsidP="004A0897">
      <w:pPr>
        <w:spacing w:after="0" w:line="240" w:lineRule="auto"/>
        <w:contextualSpacing/>
        <w:jc w:val="both"/>
        <w:rPr>
          <w:rFonts w:ascii="Verdana" w:hAnsi="Verdana"/>
          <w:spacing w:val="-2"/>
          <w:sz w:val="20"/>
          <w:szCs w:val="20"/>
        </w:rPr>
      </w:pPr>
      <w:r w:rsidRPr="006A0A3F">
        <w:rPr>
          <w:rFonts w:ascii="Verdana" w:hAnsi="Verdana"/>
          <w:spacing w:val="-2"/>
          <w:sz w:val="20"/>
          <w:szCs w:val="20"/>
        </w:rPr>
        <w:t>Disienten los jueces Eduardo Vio Grossi y Humberto Antonio Sierra Porto.</w:t>
      </w:r>
    </w:p>
    <w:p w14:paraId="0734181A" w14:textId="77777777" w:rsidR="00FD2B2A" w:rsidRDefault="00FD2B2A" w:rsidP="004A0897">
      <w:pPr>
        <w:spacing w:after="0" w:line="240" w:lineRule="auto"/>
        <w:contextualSpacing/>
        <w:jc w:val="both"/>
        <w:rPr>
          <w:rFonts w:ascii="Verdana" w:hAnsi="Verdana"/>
          <w:spacing w:val="-2"/>
          <w:sz w:val="20"/>
          <w:szCs w:val="20"/>
        </w:rPr>
      </w:pPr>
    </w:p>
    <w:p w14:paraId="101A5F5D" w14:textId="77777777" w:rsidR="005222A9" w:rsidRDefault="005222A9" w:rsidP="004A0897">
      <w:pPr>
        <w:spacing w:after="0" w:line="240" w:lineRule="auto"/>
        <w:contextualSpacing/>
        <w:jc w:val="both"/>
        <w:rPr>
          <w:rFonts w:ascii="Verdana" w:hAnsi="Verdana"/>
          <w:spacing w:val="-2"/>
          <w:sz w:val="20"/>
          <w:szCs w:val="20"/>
        </w:rPr>
      </w:pPr>
    </w:p>
    <w:p w14:paraId="1124C193" w14:textId="77777777" w:rsidR="00925197" w:rsidRPr="006A0A3F" w:rsidRDefault="00925197" w:rsidP="004A0897">
      <w:pPr>
        <w:spacing w:after="0" w:line="240" w:lineRule="auto"/>
        <w:contextualSpacing/>
        <w:jc w:val="both"/>
        <w:rPr>
          <w:rFonts w:ascii="Verdana" w:hAnsi="Verdana"/>
          <w:spacing w:val="-2"/>
          <w:sz w:val="20"/>
          <w:szCs w:val="20"/>
        </w:rPr>
      </w:pPr>
    </w:p>
    <w:p w14:paraId="5BB43364" w14:textId="744F8C17" w:rsidR="004A0897" w:rsidRPr="006A0A3F" w:rsidRDefault="009E32DB" w:rsidP="004A0897">
      <w:pPr>
        <w:spacing w:after="0" w:line="240" w:lineRule="auto"/>
        <w:ind w:right="11"/>
        <w:jc w:val="both"/>
        <w:rPr>
          <w:rFonts w:ascii="Verdana" w:hAnsi="Verdana"/>
          <w:sz w:val="20"/>
          <w:szCs w:val="20"/>
        </w:rPr>
      </w:pPr>
      <w:r w:rsidRPr="006A0A3F">
        <w:rPr>
          <w:rFonts w:ascii="Verdana" w:hAnsi="Verdana"/>
          <w:sz w:val="20"/>
          <w:szCs w:val="20"/>
        </w:rPr>
        <w:t>Por unanimidad</w:t>
      </w:r>
      <w:r w:rsidR="004A0897" w:rsidRPr="006A0A3F">
        <w:rPr>
          <w:rFonts w:ascii="Verdana" w:hAnsi="Verdana"/>
          <w:sz w:val="20"/>
          <w:szCs w:val="20"/>
        </w:rPr>
        <w:t xml:space="preserve">, que: </w:t>
      </w:r>
    </w:p>
    <w:p w14:paraId="5F558F51" w14:textId="77777777" w:rsidR="004A0897" w:rsidRPr="006A0A3F" w:rsidRDefault="004A0897" w:rsidP="00AB01E3">
      <w:pPr>
        <w:spacing w:after="0" w:line="240" w:lineRule="auto"/>
        <w:contextualSpacing/>
        <w:jc w:val="both"/>
        <w:rPr>
          <w:rFonts w:ascii="Verdana" w:eastAsia="Calibri" w:hAnsi="Verdana" w:cs="Helvetica"/>
          <w:sz w:val="20"/>
          <w:szCs w:val="20"/>
          <w:lang w:bidi="en-US"/>
        </w:rPr>
      </w:pPr>
    </w:p>
    <w:p w14:paraId="7D57F8E2" w14:textId="5E811645" w:rsidR="00AB01E3" w:rsidRPr="006A0A3F" w:rsidRDefault="001D16D6" w:rsidP="00AB01E3">
      <w:pPr>
        <w:spacing w:after="0" w:line="240" w:lineRule="auto"/>
        <w:contextualSpacing/>
        <w:jc w:val="both"/>
        <w:rPr>
          <w:rFonts w:ascii="Verdana" w:hAnsi="Verdana"/>
          <w:spacing w:val="-2"/>
          <w:sz w:val="20"/>
          <w:szCs w:val="20"/>
        </w:rPr>
      </w:pPr>
      <w:r w:rsidRPr="006A0A3F">
        <w:rPr>
          <w:rFonts w:ascii="Verdana" w:eastAsia="Calibri" w:hAnsi="Verdana" w:cs="Helvetica"/>
          <w:sz w:val="20"/>
          <w:szCs w:val="20"/>
          <w:lang w:bidi="en-US"/>
        </w:rPr>
        <w:t>5</w:t>
      </w:r>
      <w:r w:rsidR="00AB01E3" w:rsidRPr="006A0A3F">
        <w:rPr>
          <w:rFonts w:ascii="Verdana" w:eastAsia="Calibri" w:hAnsi="Verdana" w:cs="Helvetica"/>
          <w:sz w:val="20"/>
          <w:szCs w:val="20"/>
          <w:lang w:bidi="en-US"/>
        </w:rPr>
        <w:t>.</w:t>
      </w:r>
      <w:r w:rsidR="00AB01E3" w:rsidRPr="006A0A3F">
        <w:rPr>
          <w:rFonts w:ascii="Verdana" w:eastAsia="Calibri" w:hAnsi="Verdana" w:cs="Helvetica"/>
          <w:sz w:val="20"/>
          <w:szCs w:val="20"/>
          <w:lang w:bidi="en-US"/>
        </w:rPr>
        <w:tab/>
      </w:r>
      <w:r w:rsidR="00AB01E3" w:rsidRPr="006A0A3F">
        <w:rPr>
          <w:rFonts w:ascii="Verdana" w:hAnsi="Verdana"/>
          <w:spacing w:val="-2"/>
          <w:sz w:val="20"/>
          <w:szCs w:val="20"/>
        </w:rPr>
        <w:t>El Estado no es responsable por la alegada violación del derecho a igual</w:t>
      </w:r>
      <w:r w:rsidR="007C51D0" w:rsidRPr="006A0A3F">
        <w:rPr>
          <w:rFonts w:ascii="Verdana" w:hAnsi="Verdana"/>
          <w:spacing w:val="-2"/>
          <w:sz w:val="20"/>
          <w:szCs w:val="20"/>
        </w:rPr>
        <w:t>dad</w:t>
      </w:r>
      <w:r w:rsidR="00AB01E3" w:rsidRPr="006A0A3F">
        <w:rPr>
          <w:rFonts w:ascii="Verdana" w:hAnsi="Verdana"/>
          <w:spacing w:val="-2"/>
          <w:sz w:val="20"/>
          <w:szCs w:val="20"/>
        </w:rPr>
        <w:t xml:space="preserve"> ante la ley, reconocido en el artículo 24 de la Convención</w:t>
      </w:r>
      <w:r w:rsidR="003A706B" w:rsidRPr="006A0A3F">
        <w:rPr>
          <w:rFonts w:ascii="Verdana" w:hAnsi="Verdana"/>
          <w:spacing w:val="-2"/>
          <w:sz w:val="20"/>
          <w:szCs w:val="20"/>
        </w:rPr>
        <w:t xml:space="preserve"> Americana sobre Derechos Humanos</w:t>
      </w:r>
      <w:r w:rsidR="00AB01E3" w:rsidRPr="006A0A3F">
        <w:rPr>
          <w:rFonts w:ascii="Verdana" w:hAnsi="Verdana"/>
          <w:spacing w:val="-2"/>
          <w:sz w:val="20"/>
          <w:szCs w:val="20"/>
        </w:rPr>
        <w:t xml:space="preserve">, por las razones señaladas en los párrafos </w:t>
      </w:r>
      <w:r w:rsidR="00FD2B2A">
        <w:rPr>
          <w:rFonts w:ascii="Verdana" w:hAnsi="Verdana"/>
          <w:spacing w:val="-2"/>
          <w:sz w:val="20"/>
          <w:szCs w:val="20"/>
        </w:rPr>
        <w:t>161 a 165</w:t>
      </w:r>
      <w:r w:rsidR="00C122AC" w:rsidRPr="006A0A3F">
        <w:rPr>
          <w:rFonts w:ascii="Verdana" w:hAnsi="Verdana"/>
          <w:spacing w:val="-2"/>
          <w:sz w:val="20"/>
          <w:szCs w:val="20"/>
        </w:rPr>
        <w:t xml:space="preserve"> </w:t>
      </w:r>
      <w:r w:rsidR="00AB01E3" w:rsidRPr="006A0A3F">
        <w:rPr>
          <w:rFonts w:ascii="Verdana" w:hAnsi="Verdana"/>
          <w:spacing w:val="-2"/>
          <w:sz w:val="20"/>
          <w:szCs w:val="20"/>
        </w:rPr>
        <w:t>de esta Sentencia.</w:t>
      </w:r>
    </w:p>
    <w:p w14:paraId="107481C6" w14:textId="77777777" w:rsidR="00BC56D6" w:rsidRDefault="00BC56D6" w:rsidP="00BC56D6">
      <w:pPr>
        <w:spacing w:after="0" w:line="240" w:lineRule="auto"/>
        <w:contextualSpacing/>
        <w:jc w:val="both"/>
        <w:rPr>
          <w:rFonts w:ascii="Verdana" w:hAnsi="Verdana"/>
          <w:spacing w:val="-2"/>
          <w:sz w:val="20"/>
          <w:szCs w:val="20"/>
        </w:rPr>
      </w:pPr>
    </w:p>
    <w:p w14:paraId="4A22E870" w14:textId="77777777" w:rsidR="00925197" w:rsidRDefault="00925197" w:rsidP="00BC56D6">
      <w:pPr>
        <w:spacing w:after="0" w:line="240" w:lineRule="auto"/>
        <w:contextualSpacing/>
        <w:jc w:val="both"/>
        <w:rPr>
          <w:rFonts w:ascii="Verdana" w:hAnsi="Verdana"/>
          <w:spacing w:val="-2"/>
          <w:sz w:val="20"/>
          <w:szCs w:val="20"/>
        </w:rPr>
      </w:pPr>
    </w:p>
    <w:p w14:paraId="5EC925CF" w14:textId="77777777" w:rsidR="005222A9" w:rsidRPr="006A0A3F" w:rsidRDefault="005222A9" w:rsidP="00BC56D6">
      <w:pPr>
        <w:spacing w:after="0" w:line="240" w:lineRule="auto"/>
        <w:contextualSpacing/>
        <w:jc w:val="both"/>
        <w:rPr>
          <w:rFonts w:ascii="Verdana" w:hAnsi="Verdana"/>
          <w:spacing w:val="-2"/>
          <w:sz w:val="20"/>
          <w:szCs w:val="20"/>
        </w:rPr>
      </w:pPr>
    </w:p>
    <w:p w14:paraId="60A34EB0" w14:textId="38091807"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Por unanimidad</w:t>
      </w:r>
      <w:r w:rsidR="00BC56D6" w:rsidRPr="006A0A3F">
        <w:rPr>
          <w:rFonts w:ascii="Verdana" w:hAnsi="Verdana"/>
          <w:sz w:val="20"/>
          <w:szCs w:val="20"/>
        </w:rPr>
        <w:t xml:space="preserve">, que: </w:t>
      </w:r>
    </w:p>
    <w:p w14:paraId="32F3E67F" w14:textId="77777777" w:rsidR="00AB01E3" w:rsidRPr="006A0A3F" w:rsidRDefault="00AB01E3" w:rsidP="00AB01E3">
      <w:pPr>
        <w:spacing w:after="0" w:line="240" w:lineRule="auto"/>
        <w:contextualSpacing/>
        <w:jc w:val="both"/>
        <w:rPr>
          <w:rFonts w:ascii="Verdana" w:hAnsi="Verdana"/>
          <w:spacing w:val="-2"/>
          <w:sz w:val="20"/>
          <w:szCs w:val="20"/>
        </w:rPr>
      </w:pPr>
    </w:p>
    <w:p w14:paraId="51DE5B4B" w14:textId="25D3822F" w:rsidR="00AB01E3" w:rsidRPr="006A0A3F" w:rsidRDefault="001D16D6" w:rsidP="00AB01E3">
      <w:pPr>
        <w:spacing w:after="0" w:line="240" w:lineRule="auto"/>
        <w:contextualSpacing/>
        <w:jc w:val="both"/>
        <w:rPr>
          <w:rFonts w:ascii="Verdana" w:hAnsi="Verdana"/>
          <w:spacing w:val="-2"/>
          <w:sz w:val="20"/>
          <w:szCs w:val="20"/>
        </w:rPr>
      </w:pPr>
      <w:r w:rsidRPr="006A0A3F">
        <w:rPr>
          <w:rFonts w:ascii="Verdana" w:eastAsia="Calibri" w:hAnsi="Verdana" w:cs="Helvetica"/>
          <w:sz w:val="20"/>
          <w:szCs w:val="20"/>
          <w:lang w:bidi="en-US"/>
        </w:rPr>
        <w:t>6</w:t>
      </w:r>
      <w:r w:rsidR="00AB01E3" w:rsidRPr="006A0A3F">
        <w:rPr>
          <w:rFonts w:ascii="Verdana" w:eastAsia="Calibri" w:hAnsi="Verdana" w:cs="Helvetica"/>
          <w:sz w:val="20"/>
          <w:szCs w:val="20"/>
          <w:lang w:bidi="en-US"/>
        </w:rPr>
        <w:t>.</w:t>
      </w:r>
      <w:r w:rsidR="00AB01E3" w:rsidRPr="006A0A3F">
        <w:rPr>
          <w:rFonts w:ascii="Verdana" w:eastAsia="Calibri" w:hAnsi="Verdana" w:cs="Helvetica"/>
          <w:sz w:val="20"/>
          <w:szCs w:val="20"/>
          <w:lang w:bidi="en-US"/>
        </w:rPr>
        <w:tab/>
      </w:r>
      <w:r w:rsidR="00AB01E3" w:rsidRPr="006A0A3F">
        <w:rPr>
          <w:rFonts w:ascii="Verdana" w:hAnsi="Verdana"/>
          <w:spacing w:val="-2"/>
          <w:sz w:val="20"/>
          <w:szCs w:val="20"/>
        </w:rPr>
        <w:t>El Estado no es responsable por el alegado incumplimiento del deber de adoptar disposiciones de derecho interno, establecido en el artículo 2 de la Convención Americana</w:t>
      </w:r>
      <w:r w:rsidR="003A706B" w:rsidRPr="006A0A3F">
        <w:rPr>
          <w:rFonts w:ascii="Verdana" w:hAnsi="Verdana"/>
          <w:spacing w:val="-2"/>
          <w:sz w:val="20"/>
          <w:szCs w:val="20"/>
        </w:rPr>
        <w:t xml:space="preserve"> sobre Derechos Humanos</w:t>
      </w:r>
      <w:r w:rsidR="00AB01E3" w:rsidRPr="006A0A3F">
        <w:rPr>
          <w:rFonts w:ascii="Verdana" w:hAnsi="Verdana"/>
          <w:spacing w:val="-2"/>
          <w:sz w:val="20"/>
          <w:szCs w:val="20"/>
        </w:rPr>
        <w:t xml:space="preserve">, por las razones señaladas en los párrafos </w:t>
      </w:r>
      <w:r w:rsidR="00FD2B2A">
        <w:rPr>
          <w:rFonts w:ascii="Verdana" w:hAnsi="Verdana"/>
          <w:spacing w:val="-2"/>
          <w:sz w:val="20"/>
          <w:szCs w:val="20"/>
        </w:rPr>
        <w:t>166 y 167</w:t>
      </w:r>
      <w:r w:rsidR="00C122AC" w:rsidRPr="006A0A3F">
        <w:rPr>
          <w:rFonts w:ascii="Verdana" w:hAnsi="Verdana"/>
          <w:spacing w:val="-2"/>
          <w:sz w:val="20"/>
          <w:szCs w:val="20"/>
        </w:rPr>
        <w:t xml:space="preserve"> de</w:t>
      </w:r>
      <w:r w:rsidR="00AB01E3" w:rsidRPr="006A0A3F">
        <w:rPr>
          <w:rFonts w:ascii="Verdana" w:hAnsi="Verdana"/>
          <w:spacing w:val="-2"/>
          <w:sz w:val="20"/>
          <w:szCs w:val="20"/>
        </w:rPr>
        <w:t xml:space="preserve"> esta Sentencia.</w:t>
      </w:r>
    </w:p>
    <w:p w14:paraId="7F7F2C83" w14:textId="77777777" w:rsidR="00BC56D6" w:rsidRDefault="00BC56D6" w:rsidP="00BC56D6">
      <w:pPr>
        <w:spacing w:after="0" w:line="240" w:lineRule="auto"/>
        <w:contextualSpacing/>
        <w:jc w:val="both"/>
        <w:rPr>
          <w:rFonts w:ascii="Verdana" w:hAnsi="Verdana"/>
          <w:spacing w:val="-2"/>
          <w:sz w:val="20"/>
          <w:szCs w:val="20"/>
        </w:rPr>
      </w:pPr>
    </w:p>
    <w:p w14:paraId="65BC6AC9" w14:textId="77777777" w:rsidR="005222A9" w:rsidRDefault="005222A9" w:rsidP="00BC56D6">
      <w:pPr>
        <w:spacing w:after="0" w:line="240" w:lineRule="auto"/>
        <w:contextualSpacing/>
        <w:jc w:val="both"/>
        <w:rPr>
          <w:rFonts w:ascii="Verdana" w:hAnsi="Verdana"/>
          <w:spacing w:val="-2"/>
          <w:sz w:val="20"/>
          <w:szCs w:val="20"/>
        </w:rPr>
      </w:pPr>
    </w:p>
    <w:p w14:paraId="383BE7D4" w14:textId="77777777" w:rsidR="00925197" w:rsidRPr="006A0A3F" w:rsidRDefault="00925197" w:rsidP="00BC56D6">
      <w:pPr>
        <w:spacing w:after="0" w:line="240" w:lineRule="auto"/>
        <w:contextualSpacing/>
        <w:jc w:val="both"/>
        <w:rPr>
          <w:rFonts w:ascii="Verdana" w:hAnsi="Verdana"/>
          <w:spacing w:val="-2"/>
          <w:sz w:val="20"/>
          <w:szCs w:val="20"/>
        </w:rPr>
      </w:pPr>
    </w:p>
    <w:p w14:paraId="4CDB8B5C" w14:textId="4A9C78AE"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Por cinco votos contra dos</w:t>
      </w:r>
      <w:r w:rsidR="00BC56D6" w:rsidRPr="006A0A3F">
        <w:rPr>
          <w:rFonts w:ascii="Verdana" w:hAnsi="Verdana"/>
          <w:sz w:val="20"/>
          <w:szCs w:val="20"/>
        </w:rPr>
        <w:t xml:space="preserve">, que: </w:t>
      </w:r>
    </w:p>
    <w:p w14:paraId="5A613F2F" w14:textId="77777777" w:rsidR="00AB01E3" w:rsidRPr="006A0A3F" w:rsidRDefault="00AB01E3" w:rsidP="00AB01E3">
      <w:pPr>
        <w:spacing w:after="0" w:line="240" w:lineRule="auto"/>
        <w:contextualSpacing/>
        <w:jc w:val="both"/>
        <w:rPr>
          <w:rFonts w:ascii="Verdana" w:eastAsia="Calibri" w:hAnsi="Verdana" w:cs="Helvetica"/>
          <w:sz w:val="20"/>
          <w:szCs w:val="20"/>
          <w:lang w:bidi="en-US"/>
        </w:rPr>
      </w:pPr>
    </w:p>
    <w:p w14:paraId="5FC1E057" w14:textId="2D4E47BA" w:rsidR="00AB01E3" w:rsidRPr="006A0A3F" w:rsidRDefault="001D16D6" w:rsidP="00AB01E3">
      <w:pPr>
        <w:spacing w:after="0" w:line="240" w:lineRule="auto"/>
        <w:contextualSpacing/>
        <w:jc w:val="both"/>
        <w:rPr>
          <w:rFonts w:ascii="Verdana" w:hAnsi="Verdana"/>
          <w:spacing w:val="-2"/>
          <w:sz w:val="20"/>
          <w:szCs w:val="20"/>
        </w:rPr>
      </w:pPr>
      <w:r w:rsidRPr="006A0A3F">
        <w:rPr>
          <w:rFonts w:ascii="Verdana" w:eastAsia="Calibri" w:hAnsi="Verdana" w:cs="Helvetica"/>
          <w:sz w:val="20"/>
          <w:szCs w:val="20"/>
          <w:lang w:bidi="en-US"/>
        </w:rPr>
        <w:t>7</w:t>
      </w:r>
      <w:r w:rsidR="00AB01E3" w:rsidRPr="006A0A3F">
        <w:rPr>
          <w:rFonts w:ascii="Verdana" w:eastAsia="Calibri" w:hAnsi="Verdana" w:cs="Helvetica"/>
          <w:sz w:val="20"/>
          <w:szCs w:val="20"/>
          <w:lang w:bidi="en-US"/>
        </w:rPr>
        <w:t>.</w:t>
      </w:r>
      <w:r w:rsidR="00AB01E3" w:rsidRPr="006A0A3F">
        <w:rPr>
          <w:rFonts w:ascii="Verdana" w:eastAsia="Calibri" w:hAnsi="Verdana" w:cs="Helvetica"/>
          <w:sz w:val="20"/>
          <w:szCs w:val="20"/>
          <w:lang w:bidi="en-US"/>
        </w:rPr>
        <w:tab/>
      </w:r>
      <w:r w:rsidR="00AB01E3" w:rsidRPr="006A0A3F">
        <w:rPr>
          <w:rFonts w:ascii="Verdana" w:hAnsi="Verdana"/>
          <w:spacing w:val="-2"/>
          <w:sz w:val="20"/>
          <w:szCs w:val="20"/>
        </w:rPr>
        <w:t xml:space="preserve">El Estado no es responsable por la alegada violación del derecho a las garantías judiciales, específicamente a ser oído por </w:t>
      </w:r>
      <w:r w:rsidR="001627E9" w:rsidRPr="006A0A3F">
        <w:rPr>
          <w:rFonts w:ascii="Verdana" w:hAnsi="Verdana"/>
          <w:spacing w:val="-2"/>
          <w:sz w:val="20"/>
          <w:szCs w:val="20"/>
        </w:rPr>
        <w:t>un juez independiente</w:t>
      </w:r>
      <w:r w:rsidR="00AB01E3" w:rsidRPr="006A0A3F">
        <w:rPr>
          <w:rFonts w:ascii="Verdana" w:hAnsi="Verdana"/>
          <w:spacing w:val="-2"/>
          <w:sz w:val="20"/>
          <w:szCs w:val="20"/>
        </w:rPr>
        <w:t xml:space="preserve"> y en</w:t>
      </w:r>
      <w:r w:rsidR="001627E9" w:rsidRPr="006A0A3F">
        <w:rPr>
          <w:rFonts w:ascii="Verdana" w:hAnsi="Verdana"/>
          <w:spacing w:val="-2"/>
          <w:sz w:val="20"/>
          <w:szCs w:val="20"/>
        </w:rPr>
        <w:t xml:space="preserve"> un plazo razonable, reconocido</w:t>
      </w:r>
      <w:r w:rsidR="00AB01E3" w:rsidRPr="006A0A3F">
        <w:rPr>
          <w:rFonts w:ascii="Verdana" w:hAnsi="Verdana"/>
          <w:spacing w:val="-2"/>
          <w:sz w:val="20"/>
          <w:szCs w:val="20"/>
        </w:rPr>
        <w:t xml:space="preserve"> en el artículo 8.1 de la Convención Americana</w:t>
      </w:r>
      <w:r w:rsidR="003A706B" w:rsidRPr="006A0A3F">
        <w:rPr>
          <w:rFonts w:ascii="Verdana" w:hAnsi="Verdana"/>
          <w:spacing w:val="-2"/>
          <w:sz w:val="20"/>
          <w:szCs w:val="20"/>
        </w:rPr>
        <w:t xml:space="preserve"> sobre Derechos Humanos</w:t>
      </w:r>
      <w:r w:rsidR="00AB01E3" w:rsidRPr="006A0A3F">
        <w:rPr>
          <w:rFonts w:ascii="Verdana" w:hAnsi="Verdana"/>
          <w:spacing w:val="-2"/>
          <w:sz w:val="20"/>
          <w:szCs w:val="20"/>
        </w:rPr>
        <w:t xml:space="preserve">, por las razones señaladas en los párrafos </w:t>
      </w:r>
      <w:r w:rsidR="00A67909">
        <w:rPr>
          <w:rFonts w:ascii="Verdana" w:hAnsi="Verdana"/>
          <w:spacing w:val="-2"/>
          <w:sz w:val="20"/>
          <w:szCs w:val="20"/>
        </w:rPr>
        <w:t xml:space="preserve">197 y </w:t>
      </w:r>
      <w:r w:rsidR="00FD2B2A">
        <w:rPr>
          <w:rFonts w:ascii="Verdana" w:hAnsi="Verdana"/>
          <w:spacing w:val="-2"/>
          <w:sz w:val="20"/>
          <w:szCs w:val="20"/>
        </w:rPr>
        <w:t>201 a 210</w:t>
      </w:r>
      <w:r w:rsidR="00AB01E3" w:rsidRPr="006A0A3F">
        <w:rPr>
          <w:rFonts w:ascii="Verdana" w:hAnsi="Verdana"/>
          <w:spacing w:val="-2"/>
          <w:sz w:val="20"/>
          <w:szCs w:val="20"/>
        </w:rPr>
        <w:t xml:space="preserve"> de esta Sentencia.</w:t>
      </w:r>
    </w:p>
    <w:p w14:paraId="34FCBF5E" w14:textId="77777777" w:rsidR="00BC56D6" w:rsidRPr="006A0A3F" w:rsidRDefault="00BC56D6" w:rsidP="00BC56D6">
      <w:pPr>
        <w:spacing w:after="0" w:line="240" w:lineRule="auto"/>
        <w:contextualSpacing/>
        <w:jc w:val="both"/>
        <w:rPr>
          <w:rFonts w:ascii="Verdana" w:hAnsi="Verdana"/>
          <w:spacing w:val="-2"/>
          <w:sz w:val="20"/>
          <w:szCs w:val="20"/>
        </w:rPr>
      </w:pPr>
    </w:p>
    <w:p w14:paraId="07C093E1" w14:textId="410C289F" w:rsidR="009E32DB" w:rsidRPr="006A0A3F" w:rsidRDefault="009E32DB" w:rsidP="00BC56D6">
      <w:pPr>
        <w:spacing w:after="0" w:line="240" w:lineRule="auto"/>
        <w:contextualSpacing/>
        <w:jc w:val="both"/>
        <w:rPr>
          <w:rFonts w:ascii="Verdana" w:hAnsi="Verdana"/>
          <w:spacing w:val="-2"/>
          <w:sz w:val="20"/>
          <w:szCs w:val="20"/>
        </w:rPr>
      </w:pPr>
      <w:r w:rsidRPr="006A0A3F">
        <w:rPr>
          <w:rFonts w:ascii="Verdana" w:hAnsi="Verdana"/>
          <w:spacing w:val="-2"/>
          <w:sz w:val="20"/>
          <w:szCs w:val="20"/>
        </w:rPr>
        <w:t xml:space="preserve">Disienten los jueces </w:t>
      </w:r>
      <w:r w:rsidRPr="006A0A3F">
        <w:rPr>
          <w:rFonts w:ascii="Verdana" w:hAnsi="Verdana"/>
          <w:sz w:val="20"/>
          <w:szCs w:val="20"/>
        </w:rPr>
        <w:t xml:space="preserve">Eduardo Ferrer Mac-Gregor </w:t>
      </w:r>
      <w:proofErr w:type="spellStart"/>
      <w:r w:rsidRPr="006A0A3F">
        <w:rPr>
          <w:rFonts w:ascii="Verdana" w:hAnsi="Verdana"/>
          <w:sz w:val="20"/>
          <w:szCs w:val="20"/>
        </w:rPr>
        <w:t>Poisot</w:t>
      </w:r>
      <w:proofErr w:type="spellEnd"/>
      <w:r w:rsidRPr="006A0A3F">
        <w:rPr>
          <w:rFonts w:ascii="Verdana" w:hAnsi="Verdana"/>
          <w:sz w:val="20"/>
          <w:szCs w:val="20"/>
        </w:rPr>
        <w:t xml:space="preserve"> y Eduardo Vio Grossi.</w:t>
      </w:r>
    </w:p>
    <w:p w14:paraId="62696C02" w14:textId="77777777" w:rsidR="00FD2B2A" w:rsidRDefault="00FD2B2A" w:rsidP="00BC56D6">
      <w:pPr>
        <w:spacing w:after="0" w:line="240" w:lineRule="auto"/>
        <w:contextualSpacing/>
        <w:jc w:val="both"/>
        <w:rPr>
          <w:rFonts w:ascii="Verdana" w:hAnsi="Verdana"/>
          <w:spacing w:val="-2"/>
          <w:sz w:val="20"/>
          <w:szCs w:val="20"/>
        </w:rPr>
      </w:pPr>
    </w:p>
    <w:p w14:paraId="6D39935E" w14:textId="77777777" w:rsidR="00925197" w:rsidRDefault="00925197" w:rsidP="00BC56D6">
      <w:pPr>
        <w:spacing w:after="0" w:line="240" w:lineRule="auto"/>
        <w:contextualSpacing/>
        <w:jc w:val="both"/>
        <w:rPr>
          <w:rFonts w:ascii="Verdana" w:hAnsi="Verdana"/>
          <w:spacing w:val="-2"/>
          <w:sz w:val="20"/>
          <w:szCs w:val="20"/>
        </w:rPr>
      </w:pPr>
    </w:p>
    <w:p w14:paraId="08599324" w14:textId="77777777" w:rsidR="005222A9" w:rsidRPr="006A0A3F" w:rsidRDefault="005222A9" w:rsidP="00BC56D6">
      <w:pPr>
        <w:spacing w:after="0" w:line="240" w:lineRule="auto"/>
        <w:contextualSpacing/>
        <w:jc w:val="both"/>
        <w:rPr>
          <w:rFonts w:ascii="Verdana" w:hAnsi="Verdana"/>
          <w:spacing w:val="-2"/>
          <w:sz w:val="20"/>
          <w:szCs w:val="20"/>
        </w:rPr>
      </w:pPr>
    </w:p>
    <w:p w14:paraId="5F464D98" w14:textId="51C2FC1E" w:rsidR="00BC56D6" w:rsidRPr="006A0A3F" w:rsidRDefault="009E32DB" w:rsidP="00BC56D6">
      <w:pPr>
        <w:spacing w:after="0" w:line="240" w:lineRule="auto"/>
        <w:ind w:right="11"/>
        <w:jc w:val="both"/>
        <w:rPr>
          <w:rFonts w:ascii="Verdana" w:hAnsi="Verdana"/>
          <w:sz w:val="20"/>
          <w:szCs w:val="20"/>
        </w:rPr>
      </w:pPr>
      <w:r w:rsidRPr="006A0A3F">
        <w:rPr>
          <w:rFonts w:ascii="Verdana" w:hAnsi="Verdana"/>
          <w:sz w:val="20"/>
          <w:szCs w:val="20"/>
        </w:rPr>
        <w:t>Por unanimidad</w:t>
      </w:r>
      <w:r w:rsidR="00BC56D6" w:rsidRPr="006A0A3F">
        <w:rPr>
          <w:rFonts w:ascii="Verdana" w:hAnsi="Verdana"/>
          <w:sz w:val="20"/>
          <w:szCs w:val="20"/>
        </w:rPr>
        <w:t xml:space="preserve">, que: </w:t>
      </w:r>
    </w:p>
    <w:p w14:paraId="2D3C5376" w14:textId="77777777" w:rsidR="00BC56D6" w:rsidRPr="006A0A3F" w:rsidRDefault="00BC56D6" w:rsidP="00AB01E3">
      <w:pPr>
        <w:spacing w:after="0" w:line="240" w:lineRule="auto"/>
        <w:contextualSpacing/>
        <w:jc w:val="both"/>
        <w:rPr>
          <w:rFonts w:ascii="Verdana" w:hAnsi="Verdana"/>
          <w:spacing w:val="-2"/>
          <w:sz w:val="20"/>
          <w:szCs w:val="20"/>
        </w:rPr>
      </w:pPr>
    </w:p>
    <w:p w14:paraId="3CD31DF5" w14:textId="768B2DDB" w:rsidR="00AB01E3" w:rsidRPr="006A0A3F" w:rsidRDefault="00805094" w:rsidP="00AB01E3">
      <w:pPr>
        <w:spacing w:after="0" w:line="240" w:lineRule="auto"/>
        <w:jc w:val="both"/>
        <w:rPr>
          <w:rFonts w:ascii="Verdana" w:hAnsi="Verdana"/>
          <w:spacing w:val="-2"/>
          <w:sz w:val="20"/>
          <w:szCs w:val="20"/>
        </w:rPr>
      </w:pPr>
      <w:r w:rsidRPr="006A0A3F">
        <w:rPr>
          <w:rFonts w:ascii="Verdana" w:hAnsi="Verdana"/>
          <w:spacing w:val="-2"/>
          <w:sz w:val="20"/>
          <w:szCs w:val="20"/>
        </w:rPr>
        <w:t>8</w:t>
      </w:r>
      <w:r w:rsidR="00AB01E3" w:rsidRPr="006A0A3F">
        <w:rPr>
          <w:rFonts w:ascii="Verdana" w:hAnsi="Verdana"/>
          <w:spacing w:val="-2"/>
          <w:sz w:val="20"/>
          <w:szCs w:val="20"/>
        </w:rPr>
        <w:t>.</w:t>
      </w:r>
      <w:r w:rsidR="00AB01E3" w:rsidRPr="006A0A3F">
        <w:rPr>
          <w:rFonts w:ascii="Verdana" w:hAnsi="Verdana"/>
          <w:spacing w:val="-2"/>
          <w:sz w:val="20"/>
          <w:szCs w:val="20"/>
        </w:rPr>
        <w:tab/>
        <w:t xml:space="preserve">El Estado no es responsable por la alegada violación del derecho a la integridad personal, reconocido en </w:t>
      </w:r>
      <w:r w:rsidR="00017EF6" w:rsidRPr="006A0A3F">
        <w:rPr>
          <w:rFonts w:ascii="Verdana" w:hAnsi="Verdana"/>
          <w:spacing w:val="-2"/>
          <w:sz w:val="20"/>
          <w:szCs w:val="20"/>
        </w:rPr>
        <w:t>los</w:t>
      </w:r>
      <w:r w:rsidR="00AB01E3" w:rsidRPr="006A0A3F">
        <w:rPr>
          <w:rFonts w:ascii="Verdana" w:hAnsi="Verdana"/>
          <w:spacing w:val="-2"/>
          <w:sz w:val="20"/>
          <w:szCs w:val="20"/>
        </w:rPr>
        <w:t xml:space="preserve"> artículo</w:t>
      </w:r>
      <w:r w:rsidR="00017EF6" w:rsidRPr="006A0A3F">
        <w:rPr>
          <w:rFonts w:ascii="Verdana" w:hAnsi="Verdana"/>
          <w:spacing w:val="-2"/>
          <w:sz w:val="20"/>
          <w:szCs w:val="20"/>
        </w:rPr>
        <w:t>s</w:t>
      </w:r>
      <w:r w:rsidR="00AB01E3" w:rsidRPr="006A0A3F">
        <w:rPr>
          <w:rFonts w:ascii="Verdana" w:hAnsi="Verdana"/>
          <w:spacing w:val="-2"/>
          <w:sz w:val="20"/>
          <w:szCs w:val="20"/>
        </w:rPr>
        <w:t xml:space="preserve"> 5.1</w:t>
      </w:r>
      <w:r w:rsidR="00017EF6" w:rsidRPr="006A0A3F">
        <w:rPr>
          <w:rFonts w:ascii="Verdana" w:hAnsi="Verdana"/>
          <w:spacing w:val="-2"/>
          <w:sz w:val="20"/>
          <w:szCs w:val="20"/>
        </w:rPr>
        <w:t xml:space="preserve"> y 5.2</w:t>
      </w:r>
      <w:r w:rsidR="00AB01E3" w:rsidRPr="006A0A3F">
        <w:rPr>
          <w:rFonts w:ascii="Verdana" w:hAnsi="Verdana"/>
          <w:spacing w:val="-2"/>
          <w:sz w:val="20"/>
          <w:szCs w:val="20"/>
        </w:rPr>
        <w:t xml:space="preserve"> de la Convención Americana</w:t>
      </w:r>
      <w:r w:rsidR="003A706B" w:rsidRPr="006A0A3F">
        <w:rPr>
          <w:rFonts w:ascii="Verdana" w:hAnsi="Verdana"/>
          <w:spacing w:val="-2"/>
          <w:sz w:val="20"/>
          <w:szCs w:val="20"/>
        </w:rPr>
        <w:t xml:space="preserve"> sobre Derechos Humanos</w:t>
      </w:r>
      <w:r w:rsidR="00AB01E3" w:rsidRPr="006A0A3F">
        <w:rPr>
          <w:rFonts w:ascii="Verdana" w:hAnsi="Verdana"/>
          <w:spacing w:val="-2"/>
          <w:sz w:val="20"/>
          <w:szCs w:val="20"/>
        </w:rPr>
        <w:t xml:space="preserve">, por las razones señaladas en </w:t>
      </w:r>
      <w:r w:rsidR="00E57EF1" w:rsidRPr="006A0A3F">
        <w:rPr>
          <w:rFonts w:ascii="Verdana" w:hAnsi="Verdana"/>
          <w:spacing w:val="-2"/>
          <w:sz w:val="20"/>
          <w:szCs w:val="20"/>
        </w:rPr>
        <w:t>los</w:t>
      </w:r>
      <w:r w:rsidR="00AB01E3" w:rsidRPr="006A0A3F">
        <w:rPr>
          <w:rFonts w:ascii="Verdana" w:hAnsi="Verdana"/>
          <w:spacing w:val="-2"/>
          <w:sz w:val="20"/>
          <w:szCs w:val="20"/>
        </w:rPr>
        <w:t xml:space="preserve"> párrafo</w:t>
      </w:r>
      <w:r w:rsidR="00E57EF1" w:rsidRPr="006A0A3F">
        <w:rPr>
          <w:rFonts w:ascii="Verdana" w:hAnsi="Verdana"/>
          <w:spacing w:val="-2"/>
          <w:sz w:val="20"/>
          <w:szCs w:val="20"/>
        </w:rPr>
        <w:t>s</w:t>
      </w:r>
      <w:r w:rsidR="00AB01E3" w:rsidRPr="006A0A3F">
        <w:rPr>
          <w:rFonts w:ascii="Verdana" w:hAnsi="Verdana"/>
          <w:spacing w:val="-2"/>
          <w:sz w:val="20"/>
          <w:szCs w:val="20"/>
        </w:rPr>
        <w:t xml:space="preserve"> </w:t>
      </w:r>
      <w:r w:rsidR="00FD2B2A">
        <w:rPr>
          <w:rFonts w:ascii="Verdana" w:hAnsi="Verdana"/>
          <w:spacing w:val="-2"/>
          <w:sz w:val="20"/>
          <w:szCs w:val="20"/>
        </w:rPr>
        <w:t>168 a 172</w:t>
      </w:r>
      <w:r w:rsidR="00E57EF1" w:rsidRPr="006A0A3F">
        <w:rPr>
          <w:rFonts w:ascii="Verdana" w:hAnsi="Verdana"/>
          <w:spacing w:val="-2"/>
          <w:sz w:val="20"/>
          <w:szCs w:val="20"/>
        </w:rPr>
        <w:t xml:space="preserve"> </w:t>
      </w:r>
      <w:r w:rsidR="00AB01E3" w:rsidRPr="006A0A3F">
        <w:rPr>
          <w:rFonts w:ascii="Verdana" w:hAnsi="Verdana"/>
          <w:spacing w:val="-2"/>
          <w:sz w:val="20"/>
          <w:szCs w:val="20"/>
        </w:rPr>
        <w:t>de esta Sentencia.</w:t>
      </w:r>
    </w:p>
    <w:p w14:paraId="0A311547" w14:textId="77777777" w:rsidR="00AB01E3" w:rsidRDefault="00AB01E3" w:rsidP="00AB01E3">
      <w:pPr>
        <w:spacing w:after="0" w:line="240" w:lineRule="auto"/>
        <w:jc w:val="both"/>
        <w:rPr>
          <w:rFonts w:ascii="Verdana" w:hAnsi="Verdana"/>
          <w:sz w:val="20"/>
          <w:szCs w:val="20"/>
        </w:rPr>
      </w:pPr>
    </w:p>
    <w:p w14:paraId="1809ED08" w14:textId="77777777" w:rsidR="00AB01E3" w:rsidRDefault="00AB01E3" w:rsidP="00AB01E3">
      <w:pPr>
        <w:spacing w:after="0" w:line="240" w:lineRule="auto"/>
        <w:jc w:val="both"/>
        <w:rPr>
          <w:rFonts w:ascii="Verdana" w:hAnsi="Verdana"/>
          <w:sz w:val="20"/>
          <w:szCs w:val="20"/>
        </w:rPr>
      </w:pPr>
    </w:p>
    <w:p w14:paraId="54D777CE" w14:textId="77777777" w:rsidR="00925197" w:rsidRPr="006A0A3F" w:rsidRDefault="00925197" w:rsidP="00AB01E3">
      <w:pPr>
        <w:spacing w:after="0" w:line="240" w:lineRule="auto"/>
        <w:jc w:val="both"/>
        <w:rPr>
          <w:rFonts w:ascii="Verdana" w:hAnsi="Verdana"/>
          <w:sz w:val="20"/>
          <w:szCs w:val="20"/>
        </w:rPr>
      </w:pPr>
    </w:p>
    <w:p w14:paraId="4FD71423" w14:textId="77777777" w:rsidR="00AB01E3" w:rsidRPr="006A0A3F" w:rsidRDefault="00AB01E3" w:rsidP="00AB01E3">
      <w:pPr>
        <w:spacing w:after="0" w:line="240" w:lineRule="auto"/>
        <w:jc w:val="both"/>
        <w:rPr>
          <w:rFonts w:ascii="Verdana" w:hAnsi="Verdana"/>
          <w:sz w:val="20"/>
          <w:szCs w:val="20"/>
        </w:rPr>
      </w:pPr>
      <w:r w:rsidRPr="006A0A3F">
        <w:rPr>
          <w:rFonts w:ascii="Verdana" w:hAnsi="Verdana"/>
          <w:b/>
          <w:sz w:val="20"/>
          <w:szCs w:val="20"/>
        </w:rPr>
        <w:t xml:space="preserve">Y </w:t>
      </w:r>
      <w:r w:rsidRPr="006A0A3F">
        <w:rPr>
          <w:rFonts w:ascii="Verdana" w:hAnsi="Verdana"/>
          <w:b/>
          <w:smallCaps/>
          <w:sz w:val="20"/>
          <w:szCs w:val="20"/>
        </w:rPr>
        <w:t>DISPONE,</w:t>
      </w:r>
    </w:p>
    <w:p w14:paraId="3FC3A648" w14:textId="77777777" w:rsidR="00FD2B2A" w:rsidRDefault="00FD2B2A" w:rsidP="00AB01E3">
      <w:pPr>
        <w:spacing w:after="0" w:line="240" w:lineRule="auto"/>
        <w:ind w:right="11"/>
        <w:jc w:val="both"/>
        <w:rPr>
          <w:rFonts w:ascii="Verdana" w:hAnsi="Verdana"/>
          <w:sz w:val="20"/>
          <w:szCs w:val="20"/>
        </w:rPr>
      </w:pPr>
    </w:p>
    <w:p w14:paraId="5AE11189" w14:textId="77777777" w:rsidR="00A67A4E" w:rsidRPr="006A0A3F" w:rsidRDefault="00A67A4E" w:rsidP="00AB01E3">
      <w:pPr>
        <w:spacing w:after="0" w:line="240" w:lineRule="auto"/>
        <w:ind w:right="11"/>
        <w:jc w:val="both"/>
        <w:rPr>
          <w:rFonts w:ascii="Verdana" w:hAnsi="Verdana"/>
          <w:sz w:val="20"/>
          <w:szCs w:val="20"/>
        </w:rPr>
      </w:pPr>
    </w:p>
    <w:p w14:paraId="067CFE89" w14:textId="10A937F2" w:rsidR="00AB01E3" w:rsidRPr="006A0A3F" w:rsidRDefault="009E32DB" w:rsidP="00AB01E3">
      <w:pPr>
        <w:spacing w:after="0" w:line="240" w:lineRule="auto"/>
        <w:ind w:right="11"/>
        <w:jc w:val="both"/>
        <w:rPr>
          <w:rFonts w:ascii="Verdana" w:hAnsi="Verdana"/>
          <w:sz w:val="20"/>
          <w:szCs w:val="20"/>
        </w:rPr>
      </w:pPr>
      <w:r w:rsidRPr="006A0A3F">
        <w:rPr>
          <w:rFonts w:ascii="Verdana" w:hAnsi="Verdana"/>
          <w:sz w:val="20"/>
          <w:szCs w:val="20"/>
        </w:rPr>
        <w:t>Por unanimidad</w:t>
      </w:r>
      <w:r w:rsidR="00AB01E3" w:rsidRPr="006A0A3F">
        <w:rPr>
          <w:rFonts w:ascii="Verdana" w:hAnsi="Verdana"/>
          <w:sz w:val="20"/>
          <w:szCs w:val="20"/>
        </w:rPr>
        <w:t xml:space="preserve">, que: </w:t>
      </w:r>
    </w:p>
    <w:p w14:paraId="2C14EB1D" w14:textId="77777777" w:rsidR="00FD2B2A" w:rsidRDefault="00FD2B2A" w:rsidP="00AB01E3">
      <w:pPr>
        <w:spacing w:after="0" w:line="240" w:lineRule="auto"/>
        <w:jc w:val="both"/>
        <w:rPr>
          <w:rFonts w:ascii="Verdana" w:hAnsi="Verdana"/>
          <w:sz w:val="20"/>
          <w:szCs w:val="20"/>
        </w:rPr>
      </w:pPr>
    </w:p>
    <w:p w14:paraId="7B0C742E" w14:textId="77777777" w:rsidR="005222A9" w:rsidRPr="006A0A3F" w:rsidRDefault="005222A9" w:rsidP="00AB01E3">
      <w:pPr>
        <w:spacing w:after="0" w:line="240" w:lineRule="auto"/>
        <w:jc w:val="both"/>
        <w:rPr>
          <w:rFonts w:ascii="Verdana" w:hAnsi="Verdana"/>
          <w:sz w:val="20"/>
          <w:szCs w:val="20"/>
        </w:rPr>
      </w:pPr>
    </w:p>
    <w:p w14:paraId="48E444EB" w14:textId="5B08B4D0" w:rsidR="00AB01E3" w:rsidRPr="006A0A3F" w:rsidRDefault="00805094" w:rsidP="00AB01E3">
      <w:pPr>
        <w:spacing w:after="0" w:line="240" w:lineRule="auto"/>
        <w:contextualSpacing/>
        <w:jc w:val="both"/>
        <w:rPr>
          <w:rFonts w:ascii="Verdana" w:hAnsi="Verdana"/>
          <w:sz w:val="20"/>
          <w:szCs w:val="20"/>
        </w:rPr>
      </w:pPr>
      <w:r w:rsidRPr="006A0A3F">
        <w:rPr>
          <w:rFonts w:ascii="Verdana" w:hAnsi="Verdana"/>
          <w:sz w:val="20"/>
          <w:szCs w:val="20"/>
        </w:rPr>
        <w:lastRenderedPageBreak/>
        <w:t>9</w:t>
      </w:r>
      <w:r w:rsidR="00AB01E3" w:rsidRPr="006A0A3F">
        <w:rPr>
          <w:rFonts w:ascii="Verdana" w:hAnsi="Verdana"/>
          <w:sz w:val="20"/>
          <w:szCs w:val="20"/>
        </w:rPr>
        <w:t xml:space="preserve">. </w:t>
      </w:r>
      <w:r w:rsidR="00AB01E3" w:rsidRPr="006A0A3F">
        <w:rPr>
          <w:rFonts w:ascii="Verdana" w:hAnsi="Verdana"/>
          <w:sz w:val="20"/>
          <w:szCs w:val="20"/>
        </w:rPr>
        <w:tab/>
        <w:t>Esta Sentencia constituye</w:t>
      </w:r>
      <w:r w:rsidR="00741FBF" w:rsidRPr="006A0A3F">
        <w:rPr>
          <w:rFonts w:ascii="Verdana" w:hAnsi="Verdana"/>
          <w:sz w:val="20"/>
          <w:szCs w:val="20"/>
        </w:rPr>
        <w:t>, por sí misma,</w:t>
      </w:r>
      <w:r w:rsidR="00AB01E3" w:rsidRPr="006A0A3F">
        <w:rPr>
          <w:rFonts w:ascii="Verdana" w:hAnsi="Verdana"/>
          <w:sz w:val="20"/>
          <w:szCs w:val="20"/>
        </w:rPr>
        <w:t xml:space="preserve"> una forma de reparación. </w:t>
      </w:r>
    </w:p>
    <w:p w14:paraId="7E7CBF4E" w14:textId="77777777" w:rsidR="00FD2B2A" w:rsidRDefault="00FD2B2A" w:rsidP="00AB01E3">
      <w:pPr>
        <w:spacing w:after="0" w:line="240" w:lineRule="auto"/>
        <w:contextualSpacing/>
        <w:jc w:val="both"/>
        <w:rPr>
          <w:rStyle w:val="apple-style-span"/>
          <w:rFonts w:ascii="Verdana" w:eastAsia="MS Mincho" w:hAnsi="Verdana"/>
          <w:sz w:val="20"/>
          <w:szCs w:val="20"/>
        </w:rPr>
      </w:pPr>
    </w:p>
    <w:p w14:paraId="6F6E71B1" w14:textId="77777777" w:rsidR="005222A9" w:rsidRDefault="005222A9" w:rsidP="00AB01E3">
      <w:pPr>
        <w:spacing w:after="0" w:line="240" w:lineRule="auto"/>
        <w:contextualSpacing/>
        <w:jc w:val="both"/>
        <w:rPr>
          <w:rStyle w:val="apple-style-span"/>
          <w:rFonts w:ascii="Verdana" w:eastAsia="MS Mincho" w:hAnsi="Verdana"/>
          <w:sz w:val="20"/>
          <w:szCs w:val="20"/>
        </w:rPr>
      </w:pPr>
    </w:p>
    <w:p w14:paraId="691C0103" w14:textId="77777777" w:rsidR="00925197" w:rsidRPr="006A0A3F" w:rsidRDefault="00925197" w:rsidP="00AB01E3">
      <w:pPr>
        <w:spacing w:after="0" w:line="240" w:lineRule="auto"/>
        <w:contextualSpacing/>
        <w:jc w:val="both"/>
        <w:rPr>
          <w:rStyle w:val="apple-style-span"/>
          <w:rFonts w:ascii="Verdana" w:eastAsia="MS Mincho" w:hAnsi="Verdana"/>
          <w:sz w:val="20"/>
          <w:szCs w:val="20"/>
        </w:rPr>
      </w:pPr>
    </w:p>
    <w:p w14:paraId="60330301" w14:textId="74D00075" w:rsidR="00E57EF1" w:rsidRPr="006A0A3F" w:rsidRDefault="00AB01E3" w:rsidP="00AB01E3">
      <w:pPr>
        <w:spacing w:after="0" w:line="240" w:lineRule="auto"/>
        <w:contextualSpacing/>
        <w:jc w:val="both"/>
        <w:rPr>
          <w:rStyle w:val="apple-style-span"/>
          <w:rFonts w:ascii="Verdana" w:eastAsia="MS Mincho" w:hAnsi="Verdana"/>
          <w:sz w:val="20"/>
          <w:szCs w:val="20"/>
        </w:rPr>
      </w:pPr>
      <w:r w:rsidRPr="006A0A3F">
        <w:rPr>
          <w:rStyle w:val="apple-style-span"/>
          <w:rFonts w:ascii="Verdana" w:eastAsia="MS Mincho" w:hAnsi="Verdana"/>
          <w:sz w:val="20"/>
          <w:szCs w:val="20"/>
        </w:rPr>
        <w:t>1</w:t>
      </w:r>
      <w:r w:rsidR="00805094" w:rsidRPr="006A0A3F">
        <w:rPr>
          <w:rStyle w:val="apple-style-span"/>
          <w:rFonts w:ascii="Verdana" w:eastAsia="MS Mincho" w:hAnsi="Verdana"/>
          <w:sz w:val="20"/>
          <w:szCs w:val="20"/>
        </w:rPr>
        <w:t>0</w:t>
      </w:r>
      <w:r w:rsidRPr="006A0A3F">
        <w:rPr>
          <w:rStyle w:val="apple-style-span"/>
          <w:rFonts w:ascii="Verdana" w:eastAsia="MS Mincho" w:hAnsi="Verdana"/>
          <w:sz w:val="20"/>
          <w:szCs w:val="20"/>
        </w:rPr>
        <w:t>.</w:t>
      </w:r>
      <w:r w:rsidRPr="006A0A3F">
        <w:rPr>
          <w:rStyle w:val="apple-style-span"/>
          <w:rFonts w:ascii="Verdana" w:eastAsia="MS Mincho" w:hAnsi="Verdana"/>
          <w:sz w:val="20"/>
          <w:szCs w:val="20"/>
        </w:rPr>
        <w:tab/>
      </w:r>
      <w:r w:rsidR="00E57EF1" w:rsidRPr="006A0A3F">
        <w:rPr>
          <w:rFonts w:ascii="Verdana" w:hAnsi="Verdana"/>
          <w:sz w:val="20"/>
        </w:rPr>
        <w:t>El Estado debe adoptar las medidas necesarias para que los hechos relevantes de desviación de poder no queden en impunidad, en</w:t>
      </w:r>
      <w:r w:rsidR="00FD2B2A">
        <w:rPr>
          <w:rFonts w:ascii="Verdana" w:hAnsi="Verdana"/>
          <w:sz w:val="20"/>
        </w:rPr>
        <w:t xml:space="preserve"> los términos de los párrafos 230 a 232</w:t>
      </w:r>
      <w:r w:rsidR="00E57EF1" w:rsidRPr="006A0A3F">
        <w:rPr>
          <w:rFonts w:ascii="Verdana" w:hAnsi="Verdana"/>
          <w:sz w:val="20"/>
        </w:rPr>
        <w:t xml:space="preserve"> de esta Sentencia.</w:t>
      </w:r>
    </w:p>
    <w:p w14:paraId="74941BE5" w14:textId="77777777" w:rsidR="00FD2B2A" w:rsidRDefault="00FD2B2A" w:rsidP="00AB01E3">
      <w:pPr>
        <w:spacing w:after="0" w:line="240" w:lineRule="auto"/>
        <w:contextualSpacing/>
        <w:jc w:val="both"/>
        <w:rPr>
          <w:rStyle w:val="apple-style-span"/>
          <w:rFonts w:ascii="Verdana" w:eastAsia="MS Mincho" w:hAnsi="Verdana"/>
          <w:sz w:val="20"/>
          <w:szCs w:val="20"/>
        </w:rPr>
      </w:pPr>
    </w:p>
    <w:p w14:paraId="725FAE7F" w14:textId="77777777" w:rsidR="00925197" w:rsidRDefault="00925197" w:rsidP="00AB01E3">
      <w:pPr>
        <w:spacing w:after="0" w:line="240" w:lineRule="auto"/>
        <w:contextualSpacing/>
        <w:jc w:val="both"/>
        <w:rPr>
          <w:rStyle w:val="apple-style-span"/>
          <w:rFonts w:ascii="Verdana" w:eastAsia="MS Mincho" w:hAnsi="Verdana"/>
          <w:sz w:val="20"/>
          <w:szCs w:val="20"/>
        </w:rPr>
      </w:pPr>
    </w:p>
    <w:p w14:paraId="5BB6393E" w14:textId="77777777" w:rsidR="00925197" w:rsidRPr="006A0A3F" w:rsidRDefault="00925197" w:rsidP="00AB01E3">
      <w:pPr>
        <w:spacing w:after="0" w:line="240" w:lineRule="auto"/>
        <w:contextualSpacing/>
        <w:jc w:val="both"/>
        <w:rPr>
          <w:rStyle w:val="apple-style-span"/>
          <w:rFonts w:ascii="Verdana" w:eastAsia="MS Mincho" w:hAnsi="Verdana"/>
          <w:sz w:val="20"/>
          <w:szCs w:val="20"/>
        </w:rPr>
      </w:pPr>
    </w:p>
    <w:p w14:paraId="5193FF23" w14:textId="4321AF3E" w:rsidR="00AB01E3" w:rsidRPr="006A0A3F" w:rsidRDefault="00E57EF1" w:rsidP="00AB01E3">
      <w:pPr>
        <w:spacing w:after="0" w:line="240" w:lineRule="auto"/>
        <w:contextualSpacing/>
        <w:jc w:val="both"/>
      </w:pPr>
      <w:r w:rsidRPr="006A0A3F">
        <w:rPr>
          <w:rStyle w:val="apple-style-span"/>
          <w:rFonts w:ascii="Verdana" w:eastAsia="MS Mincho" w:hAnsi="Verdana"/>
          <w:sz w:val="20"/>
          <w:szCs w:val="20"/>
        </w:rPr>
        <w:t>11.</w:t>
      </w:r>
      <w:r w:rsidRPr="006A0A3F">
        <w:rPr>
          <w:rStyle w:val="apple-style-span"/>
          <w:rFonts w:ascii="Verdana" w:eastAsia="MS Mincho" w:hAnsi="Verdana"/>
          <w:sz w:val="20"/>
          <w:szCs w:val="20"/>
        </w:rPr>
        <w:tab/>
      </w:r>
      <w:r w:rsidR="00AB01E3" w:rsidRPr="006A0A3F">
        <w:rPr>
          <w:rStyle w:val="apple-style-span"/>
          <w:rFonts w:ascii="Verdana" w:eastAsia="MS Mincho" w:hAnsi="Verdana"/>
          <w:sz w:val="20"/>
          <w:szCs w:val="20"/>
        </w:rPr>
        <w:t xml:space="preserve">El Estado </w:t>
      </w:r>
      <w:r w:rsidR="00AB01E3" w:rsidRPr="006A0A3F">
        <w:rPr>
          <w:rFonts w:ascii="Verdana" w:hAnsi="Verdana"/>
          <w:sz w:val="20"/>
          <w:szCs w:val="20"/>
        </w:rPr>
        <w:t>debe</w:t>
      </w:r>
      <w:r w:rsidR="00AB01E3" w:rsidRPr="006A0A3F">
        <w:rPr>
          <w:rStyle w:val="apple-style-span"/>
          <w:rFonts w:ascii="Verdana" w:eastAsia="MS Mincho" w:hAnsi="Verdana"/>
          <w:sz w:val="20"/>
          <w:szCs w:val="20"/>
        </w:rPr>
        <w:t xml:space="preserve"> realizar las publicaciones que se indican en el párrafo </w:t>
      </w:r>
      <w:r w:rsidR="00FD2B2A">
        <w:rPr>
          <w:rStyle w:val="apple-style-span"/>
          <w:rFonts w:ascii="Verdana" w:eastAsia="MS Mincho" w:hAnsi="Verdana"/>
          <w:sz w:val="20"/>
          <w:szCs w:val="20"/>
        </w:rPr>
        <w:t>233</w:t>
      </w:r>
      <w:r w:rsidR="00AB01E3" w:rsidRPr="006A0A3F">
        <w:rPr>
          <w:rStyle w:val="apple-style-span"/>
          <w:rFonts w:ascii="Verdana" w:eastAsia="MS Mincho" w:hAnsi="Verdana"/>
          <w:sz w:val="20"/>
          <w:szCs w:val="20"/>
        </w:rPr>
        <w:t xml:space="preserve"> del presente Fallo, </w:t>
      </w:r>
      <w:r w:rsidR="00AB01E3" w:rsidRPr="006A0A3F">
        <w:rPr>
          <w:rFonts w:ascii="Verdana" w:hAnsi="Verdana"/>
          <w:sz w:val="20"/>
          <w:szCs w:val="20"/>
        </w:rPr>
        <w:t xml:space="preserve">dentro del plazo de seis meses contado desde la notificación de la presente Sentencia y en los términos de los párrafos </w:t>
      </w:r>
      <w:r w:rsidR="00FD2B2A">
        <w:rPr>
          <w:rFonts w:ascii="Verdana" w:hAnsi="Verdana"/>
          <w:sz w:val="20"/>
          <w:szCs w:val="20"/>
        </w:rPr>
        <w:t>233 y 234</w:t>
      </w:r>
      <w:r w:rsidR="00AB01E3" w:rsidRPr="006A0A3F">
        <w:rPr>
          <w:rFonts w:ascii="Verdana" w:hAnsi="Verdana"/>
          <w:sz w:val="20"/>
          <w:szCs w:val="20"/>
        </w:rPr>
        <w:t xml:space="preserve"> de la misma.</w:t>
      </w:r>
      <w:r w:rsidR="00AB01E3" w:rsidRPr="006A0A3F">
        <w:rPr>
          <w:rStyle w:val="apple-style-span"/>
          <w:rFonts w:ascii="Verdana" w:eastAsia="MS Mincho" w:hAnsi="Verdana"/>
          <w:sz w:val="20"/>
          <w:szCs w:val="20"/>
        </w:rPr>
        <w:t xml:space="preserve"> </w:t>
      </w:r>
    </w:p>
    <w:p w14:paraId="1264A01A" w14:textId="77777777" w:rsidR="00E57EF1" w:rsidRDefault="00E57EF1" w:rsidP="00AB01E3">
      <w:pPr>
        <w:spacing w:after="0" w:line="240" w:lineRule="auto"/>
        <w:contextualSpacing/>
        <w:jc w:val="both"/>
        <w:rPr>
          <w:rFonts w:ascii="Verdana" w:hAnsi="Verdana" w:cs="Verdana"/>
          <w:sz w:val="20"/>
          <w:szCs w:val="20"/>
        </w:rPr>
      </w:pPr>
    </w:p>
    <w:p w14:paraId="78BEEA25" w14:textId="77777777" w:rsidR="00925197" w:rsidRDefault="00925197" w:rsidP="00AB01E3">
      <w:pPr>
        <w:spacing w:after="0" w:line="240" w:lineRule="auto"/>
        <w:contextualSpacing/>
        <w:jc w:val="both"/>
        <w:rPr>
          <w:rFonts w:ascii="Verdana" w:hAnsi="Verdana" w:cs="Verdana"/>
          <w:sz w:val="20"/>
          <w:szCs w:val="20"/>
        </w:rPr>
      </w:pPr>
    </w:p>
    <w:p w14:paraId="27D203AC" w14:textId="77777777" w:rsidR="005222A9" w:rsidRPr="006A0A3F" w:rsidRDefault="005222A9" w:rsidP="00AB01E3">
      <w:pPr>
        <w:spacing w:after="0" w:line="240" w:lineRule="auto"/>
        <w:contextualSpacing/>
        <w:jc w:val="both"/>
        <w:rPr>
          <w:rFonts w:ascii="Verdana" w:hAnsi="Verdana" w:cs="Verdana"/>
          <w:sz w:val="20"/>
          <w:szCs w:val="20"/>
        </w:rPr>
      </w:pPr>
    </w:p>
    <w:p w14:paraId="1D1A87A9" w14:textId="1A1F1C4C" w:rsidR="00AB01E3" w:rsidRPr="006A0A3F" w:rsidRDefault="00AB01E3" w:rsidP="00AB01E3">
      <w:pPr>
        <w:spacing w:after="0" w:line="240" w:lineRule="auto"/>
        <w:contextualSpacing/>
        <w:jc w:val="both"/>
        <w:rPr>
          <w:rFonts w:ascii="Verdana" w:hAnsi="Verdana"/>
          <w:sz w:val="20"/>
          <w:szCs w:val="20"/>
        </w:rPr>
      </w:pPr>
      <w:r w:rsidRPr="006A0A3F">
        <w:rPr>
          <w:rFonts w:ascii="Verdana" w:hAnsi="Verdana" w:cs="Verdana"/>
          <w:sz w:val="20"/>
          <w:szCs w:val="20"/>
        </w:rPr>
        <w:t>1</w:t>
      </w:r>
      <w:r w:rsidR="00E57EF1" w:rsidRPr="006A0A3F">
        <w:rPr>
          <w:rFonts w:ascii="Verdana" w:hAnsi="Verdana" w:cs="Verdana"/>
          <w:sz w:val="20"/>
          <w:szCs w:val="20"/>
        </w:rPr>
        <w:t>2</w:t>
      </w:r>
      <w:r w:rsidRPr="006A0A3F">
        <w:rPr>
          <w:rFonts w:ascii="Verdana" w:hAnsi="Verdana" w:cs="Verdana"/>
          <w:sz w:val="20"/>
          <w:szCs w:val="20"/>
        </w:rPr>
        <w:t>.</w:t>
      </w:r>
      <w:r w:rsidRPr="006A0A3F">
        <w:rPr>
          <w:rFonts w:ascii="Verdana" w:hAnsi="Verdana" w:cs="Verdana"/>
          <w:sz w:val="20"/>
          <w:szCs w:val="20"/>
        </w:rPr>
        <w:tab/>
        <w:t xml:space="preserve">El Estado </w:t>
      </w:r>
      <w:r w:rsidRPr="006A0A3F">
        <w:rPr>
          <w:rFonts w:ascii="Verdana" w:hAnsi="Verdana"/>
          <w:sz w:val="20"/>
          <w:szCs w:val="20"/>
        </w:rPr>
        <w:t>debe</w:t>
      </w:r>
      <w:r w:rsidRPr="006A0A3F">
        <w:rPr>
          <w:rFonts w:ascii="Verdana" w:hAnsi="Verdana" w:cs="Verdana"/>
          <w:sz w:val="20"/>
          <w:szCs w:val="20"/>
        </w:rPr>
        <w:t xml:space="preserve"> pagar las cantidades fijadas en los párrafos </w:t>
      </w:r>
      <w:r w:rsidR="00BC0E95">
        <w:rPr>
          <w:rFonts w:ascii="Verdana" w:hAnsi="Verdana" w:cs="Verdana"/>
          <w:sz w:val="20"/>
          <w:szCs w:val="20"/>
        </w:rPr>
        <w:t>238, 240 y 250</w:t>
      </w:r>
      <w:r w:rsidR="005A2A10" w:rsidRPr="006A0A3F">
        <w:rPr>
          <w:rFonts w:ascii="Verdana" w:hAnsi="Verdana" w:cs="Verdana"/>
          <w:sz w:val="20"/>
          <w:szCs w:val="20"/>
        </w:rPr>
        <w:t xml:space="preserve"> </w:t>
      </w:r>
      <w:r w:rsidRPr="006A0A3F">
        <w:rPr>
          <w:rFonts w:ascii="Verdana" w:hAnsi="Verdana" w:cs="Verdana"/>
          <w:sz w:val="20"/>
          <w:szCs w:val="20"/>
        </w:rPr>
        <w:t>de la presente Sentencia por concepto de indemnizaciones</w:t>
      </w:r>
      <w:r w:rsidR="005A2A10" w:rsidRPr="006A0A3F">
        <w:rPr>
          <w:rFonts w:ascii="Verdana" w:hAnsi="Verdana" w:cs="Verdana"/>
          <w:sz w:val="20"/>
          <w:szCs w:val="20"/>
        </w:rPr>
        <w:t xml:space="preserve"> compensatorias</w:t>
      </w:r>
      <w:r w:rsidRPr="006A0A3F">
        <w:rPr>
          <w:rFonts w:ascii="Verdana" w:hAnsi="Verdana" w:cs="Verdana"/>
          <w:sz w:val="20"/>
          <w:szCs w:val="20"/>
        </w:rPr>
        <w:t xml:space="preserve"> </w:t>
      </w:r>
      <w:r w:rsidRPr="006A0A3F">
        <w:rPr>
          <w:rFonts w:ascii="Verdana" w:hAnsi="Verdana"/>
          <w:sz w:val="20"/>
          <w:szCs w:val="20"/>
        </w:rPr>
        <w:t>por daños materiales e inmateriales</w:t>
      </w:r>
      <w:r w:rsidR="005A2A10" w:rsidRPr="006A0A3F">
        <w:rPr>
          <w:rFonts w:ascii="Verdana" w:hAnsi="Verdana"/>
          <w:sz w:val="20"/>
          <w:szCs w:val="20"/>
        </w:rPr>
        <w:t xml:space="preserve"> y costas y gastos</w:t>
      </w:r>
      <w:r w:rsidRPr="006A0A3F">
        <w:rPr>
          <w:rFonts w:ascii="Verdana" w:hAnsi="Verdana"/>
          <w:sz w:val="20"/>
          <w:szCs w:val="20"/>
        </w:rPr>
        <w:t>,</w:t>
      </w:r>
      <w:r w:rsidRPr="006A0A3F">
        <w:rPr>
          <w:rFonts w:ascii="Verdana" w:hAnsi="Verdana" w:cs="Verdana"/>
          <w:sz w:val="20"/>
          <w:szCs w:val="20"/>
        </w:rPr>
        <w:t xml:space="preserve"> en los términos de los referidos párrafos y de los párrafos </w:t>
      </w:r>
      <w:r w:rsidR="00BC0E95">
        <w:rPr>
          <w:rFonts w:ascii="Verdana" w:hAnsi="Verdana" w:cs="Verdana"/>
          <w:sz w:val="20"/>
          <w:szCs w:val="20"/>
        </w:rPr>
        <w:t>251 a 256</w:t>
      </w:r>
      <w:r w:rsidRPr="006A0A3F">
        <w:rPr>
          <w:rFonts w:ascii="Verdana" w:hAnsi="Verdana" w:cs="Verdana"/>
          <w:sz w:val="20"/>
          <w:szCs w:val="20"/>
        </w:rPr>
        <w:t xml:space="preserve"> del presente Fallo.  </w:t>
      </w:r>
    </w:p>
    <w:p w14:paraId="43A7FB34" w14:textId="77777777" w:rsidR="00E57EF1" w:rsidRDefault="00E57EF1" w:rsidP="00D55934">
      <w:pPr>
        <w:spacing w:after="0" w:line="240" w:lineRule="auto"/>
        <w:contextualSpacing/>
        <w:jc w:val="both"/>
        <w:rPr>
          <w:rFonts w:ascii="Verdana" w:hAnsi="Verdana"/>
          <w:sz w:val="20"/>
          <w:szCs w:val="20"/>
        </w:rPr>
      </w:pPr>
    </w:p>
    <w:p w14:paraId="4F29797D" w14:textId="77777777" w:rsidR="00925197" w:rsidRDefault="00925197" w:rsidP="00D55934">
      <w:pPr>
        <w:spacing w:after="0" w:line="240" w:lineRule="auto"/>
        <w:contextualSpacing/>
        <w:jc w:val="both"/>
        <w:rPr>
          <w:rFonts w:ascii="Verdana" w:hAnsi="Verdana"/>
          <w:sz w:val="20"/>
          <w:szCs w:val="20"/>
        </w:rPr>
      </w:pPr>
    </w:p>
    <w:p w14:paraId="3EE393CF" w14:textId="77777777" w:rsidR="005222A9" w:rsidRPr="006A0A3F" w:rsidRDefault="005222A9" w:rsidP="00D55934">
      <w:pPr>
        <w:spacing w:after="0" w:line="240" w:lineRule="auto"/>
        <w:contextualSpacing/>
        <w:jc w:val="both"/>
        <w:rPr>
          <w:rFonts w:ascii="Verdana" w:hAnsi="Verdana"/>
          <w:sz w:val="20"/>
          <w:szCs w:val="20"/>
        </w:rPr>
      </w:pPr>
    </w:p>
    <w:p w14:paraId="632F32CD" w14:textId="7E70C915" w:rsidR="00D55934" w:rsidRPr="006A0A3F" w:rsidRDefault="00D55934" w:rsidP="00D55934">
      <w:pPr>
        <w:spacing w:after="0" w:line="240" w:lineRule="auto"/>
        <w:contextualSpacing/>
        <w:jc w:val="both"/>
        <w:rPr>
          <w:rFonts w:ascii="Verdana" w:hAnsi="Verdana"/>
          <w:sz w:val="20"/>
          <w:szCs w:val="20"/>
        </w:rPr>
      </w:pPr>
      <w:r w:rsidRPr="006A0A3F">
        <w:rPr>
          <w:rFonts w:ascii="Verdana" w:hAnsi="Verdana"/>
          <w:sz w:val="20"/>
          <w:szCs w:val="20"/>
        </w:rPr>
        <w:t>1</w:t>
      </w:r>
      <w:r w:rsidR="00E57EF1" w:rsidRPr="006A0A3F">
        <w:rPr>
          <w:rFonts w:ascii="Verdana" w:hAnsi="Verdana"/>
          <w:sz w:val="20"/>
          <w:szCs w:val="20"/>
        </w:rPr>
        <w:t>3</w:t>
      </w:r>
      <w:r w:rsidRPr="006A0A3F">
        <w:rPr>
          <w:rFonts w:ascii="Verdana" w:hAnsi="Verdana"/>
          <w:sz w:val="20"/>
          <w:szCs w:val="20"/>
        </w:rPr>
        <w:t>.</w:t>
      </w:r>
      <w:r w:rsidRPr="006A0A3F">
        <w:rPr>
          <w:rFonts w:ascii="Verdana" w:hAnsi="Verdana"/>
          <w:sz w:val="20"/>
          <w:szCs w:val="20"/>
        </w:rPr>
        <w:tab/>
        <w:t xml:space="preserve">El Estado debe </w:t>
      </w:r>
      <w:r w:rsidRPr="006A0A3F">
        <w:rPr>
          <w:rFonts w:ascii="Verdana" w:hAnsi="Verdana" w:cs="Verdana"/>
          <w:sz w:val="20"/>
          <w:szCs w:val="20"/>
        </w:rPr>
        <w:t>rendir</w:t>
      </w:r>
      <w:r w:rsidRPr="006A0A3F">
        <w:rPr>
          <w:rFonts w:ascii="Verdana" w:hAnsi="Verdana"/>
          <w:sz w:val="20"/>
          <w:szCs w:val="20"/>
        </w:rPr>
        <w:t xml:space="preserve"> al Tribunal un informe sobre las medidas adoptadas para cumplir con </w:t>
      </w:r>
      <w:r w:rsidRPr="006A0A3F">
        <w:rPr>
          <w:rFonts w:ascii="Verdana" w:hAnsi="Verdana" w:cs="Verdana"/>
          <w:sz w:val="20"/>
          <w:szCs w:val="20"/>
        </w:rPr>
        <w:t>la presente Sentencia</w:t>
      </w:r>
      <w:r w:rsidRPr="006A0A3F">
        <w:rPr>
          <w:rFonts w:ascii="Verdana" w:hAnsi="Verdana"/>
          <w:sz w:val="20"/>
          <w:szCs w:val="20"/>
        </w:rPr>
        <w:t>,</w:t>
      </w:r>
      <w:r w:rsidRPr="006A0A3F">
        <w:rPr>
          <w:rFonts w:ascii="Verdana" w:hAnsi="Verdana" w:cs="Verdana"/>
          <w:sz w:val="20"/>
          <w:szCs w:val="20"/>
        </w:rPr>
        <w:t xml:space="preserve"> dentro del plazo de un año contado a partir de la notificación de </w:t>
      </w:r>
      <w:r w:rsidRPr="006A0A3F">
        <w:rPr>
          <w:rFonts w:ascii="Verdana" w:hAnsi="Verdana"/>
          <w:sz w:val="20"/>
          <w:szCs w:val="20"/>
        </w:rPr>
        <w:t xml:space="preserve">la misma, y además debe presentar un informe, en el plazo de seis meses </w:t>
      </w:r>
      <w:r w:rsidRPr="006A0A3F">
        <w:rPr>
          <w:rFonts w:ascii="Verdana" w:hAnsi="Verdana" w:cs="Verdana"/>
          <w:sz w:val="20"/>
          <w:szCs w:val="20"/>
        </w:rPr>
        <w:t xml:space="preserve">contado a partir de la notificación de </w:t>
      </w:r>
      <w:r w:rsidRPr="006A0A3F">
        <w:rPr>
          <w:rFonts w:ascii="Verdana" w:hAnsi="Verdana"/>
          <w:sz w:val="20"/>
          <w:szCs w:val="20"/>
        </w:rPr>
        <w:t>la misma, en el cual indique –para cada una de las medidas de reparación ordenadas– cuáles son los órganos, instituciones o autoridades estatales encargadas o responsables de implementarlas, que incluya un cronograma de trabajo para su cumplimiento total.</w:t>
      </w:r>
    </w:p>
    <w:p w14:paraId="583754B4" w14:textId="77777777" w:rsidR="00E57EF1" w:rsidRDefault="00E57EF1" w:rsidP="00D55934">
      <w:pPr>
        <w:spacing w:after="0" w:line="240" w:lineRule="auto"/>
        <w:contextualSpacing/>
        <w:jc w:val="both"/>
        <w:rPr>
          <w:rFonts w:ascii="Verdana" w:hAnsi="Verdana"/>
          <w:sz w:val="20"/>
          <w:szCs w:val="20"/>
        </w:rPr>
      </w:pPr>
    </w:p>
    <w:p w14:paraId="0526878E" w14:textId="77777777" w:rsidR="00925197" w:rsidRDefault="00925197" w:rsidP="00D55934">
      <w:pPr>
        <w:spacing w:after="0" w:line="240" w:lineRule="auto"/>
        <w:contextualSpacing/>
        <w:jc w:val="both"/>
        <w:rPr>
          <w:rFonts w:ascii="Verdana" w:hAnsi="Verdana"/>
          <w:sz w:val="20"/>
          <w:szCs w:val="20"/>
        </w:rPr>
      </w:pPr>
    </w:p>
    <w:p w14:paraId="3BAA3A20" w14:textId="77777777" w:rsidR="005222A9" w:rsidRDefault="005222A9" w:rsidP="00D55934">
      <w:pPr>
        <w:spacing w:after="0" w:line="240" w:lineRule="auto"/>
        <w:contextualSpacing/>
        <w:jc w:val="both"/>
        <w:rPr>
          <w:rFonts w:ascii="Verdana" w:hAnsi="Verdana"/>
          <w:sz w:val="20"/>
          <w:szCs w:val="20"/>
        </w:rPr>
      </w:pPr>
    </w:p>
    <w:p w14:paraId="789F4E93" w14:textId="064CF3AC" w:rsidR="00D55934" w:rsidRPr="006A0A3F" w:rsidRDefault="00D55934" w:rsidP="00D55934">
      <w:pPr>
        <w:spacing w:after="0" w:line="240" w:lineRule="auto"/>
        <w:contextualSpacing/>
        <w:jc w:val="both"/>
        <w:rPr>
          <w:rFonts w:ascii="Verdana" w:hAnsi="Verdana"/>
          <w:sz w:val="20"/>
          <w:szCs w:val="20"/>
        </w:rPr>
      </w:pPr>
      <w:r w:rsidRPr="006A0A3F">
        <w:rPr>
          <w:rFonts w:ascii="Verdana" w:hAnsi="Verdana"/>
          <w:sz w:val="20"/>
          <w:szCs w:val="20"/>
        </w:rPr>
        <w:t>1</w:t>
      </w:r>
      <w:r w:rsidR="00E57EF1" w:rsidRPr="006A0A3F">
        <w:rPr>
          <w:rFonts w:ascii="Verdana" w:hAnsi="Verdana"/>
          <w:sz w:val="20"/>
          <w:szCs w:val="20"/>
        </w:rPr>
        <w:t>4</w:t>
      </w:r>
      <w:r w:rsidRPr="006A0A3F">
        <w:rPr>
          <w:rFonts w:ascii="Verdana" w:hAnsi="Verdana"/>
          <w:sz w:val="20"/>
          <w:szCs w:val="20"/>
        </w:rPr>
        <w:t>.</w:t>
      </w:r>
      <w:r w:rsidRPr="006A0A3F">
        <w:rPr>
          <w:rFonts w:ascii="Verdana" w:hAnsi="Verdana"/>
          <w:sz w:val="20"/>
          <w:szCs w:val="20"/>
        </w:rPr>
        <w:tab/>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 misma.</w:t>
      </w:r>
    </w:p>
    <w:p w14:paraId="12965969" w14:textId="77777777" w:rsidR="00D55934" w:rsidRDefault="00D55934" w:rsidP="00D55934">
      <w:pPr>
        <w:spacing w:after="0" w:line="240" w:lineRule="auto"/>
        <w:jc w:val="both"/>
        <w:rPr>
          <w:rFonts w:ascii="Verdana" w:hAnsi="Verdana"/>
          <w:sz w:val="20"/>
          <w:szCs w:val="20"/>
        </w:rPr>
      </w:pPr>
    </w:p>
    <w:p w14:paraId="322B0F94" w14:textId="77777777" w:rsidR="00925197" w:rsidRDefault="00925197" w:rsidP="00D55934">
      <w:pPr>
        <w:spacing w:after="0" w:line="240" w:lineRule="auto"/>
        <w:jc w:val="both"/>
        <w:rPr>
          <w:rFonts w:ascii="Verdana" w:hAnsi="Verdana"/>
          <w:sz w:val="20"/>
          <w:szCs w:val="20"/>
        </w:rPr>
      </w:pPr>
    </w:p>
    <w:p w14:paraId="0C84B3DF" w14:textId="77777777" w:rsidR="005222A9" w:rsidRDefault="005222A9" w:rsidP="00D55934">
      <w:pPr>
        <w:spacing w:after="0" w:line="240" w:lineRule="auto"/>
        <w:jc w:val="both"/>
        <w:rPr>
          <w:rFonts w:ascii="Verdana" w:hAnsi="Verdana"/>
          <w:sz w:val="20"/>
          <w:szCs w:val="20"/>
        </w:rPr>
      </w:pPr>
    </w:p>
    <w:p w14:paraId="7001082A" w14:textId="77777777" w:rsidR="00925197" w:rsidRPr="006A0A3F" w:rsidRDefault="00925197" w:rsidP="00D55934">
      <w:pPr>
        <w:spacing w:after="0" w:line="240" w:lineRule="auto"/>
        <w:jc w:val="both"/>
        <w:rPr>
          <w:rFonts w:ascii="Verdana" w:hAnsi="Verdana"/>
          <w:sz w:val="20"/>
          <w:szCs w:val="20"/>
        </w:rPr>
      </w:pPr>
    </w:p>
    <w:p w14:paraId="15C8A94B" w14:textId="02B8478E" w:rsidR="009E32DB" w:rsidRPr="008F2A57" w:rsidRDefault="009E32DB" w:rsidP="00D55934">
      <w:pPr>
        <w:spacing w:after="0" w:line="240" w:lineRule="auto"/>
        <w:jc w:val="both"/>
        <w:rPr>
          <w:rFonts w:ascii="Verdana" w:hAnsi="Verdana"/>
          <w:sz w:val="20"/>
          <w:szCs w:val="20"/>
        </w:rPr>
      </w:pPr>
      <w:r w:rsidRPr="006A0A3F">
        <w:rPr>
          <w:rFonts w:ascii="Verdana" w:hAnsi="Verdana"/>
          <w:sz w:val="20"/>
          <w:szCs w:val="20"/>
        </w:rPr>
        <w:t xml:space="preserve">Los jueces Eduardo Ferrer Mac-Gregor </w:t>
      </w:r>
      <w:proofErr w:type="spellStart"/>
      <w:r w:rsidRPr="006A0A3F">
        <w:rPr>
          <w:rFonts w:ascii="Verdana" w:hAnsi="Verdana"/>
          <w:sz w:val="20"/>
          <w:szCs w:val="20"/>
        </w:rPr>
        <w:t>Poisot</w:t>
      </w:r>
      <w:proofErr w:type="spellEnd"/>
      <w:r w:rsidRPr="006A0A3F">
        <w:rPr>
          <w:rFonts w:ascii="Verdana" w:hAnsi="Verdana"/>
          <w:sz w:val="20"/>
          <w:szCs w:val="20"/>
        </w:rPr>
        <w:t>, Eduardo Vio Grossi y Humberto Antonio Sierra Porto</w:t>
      </w:r>
      <w:r w:rsidR="003C68FE">
        <w:rPr>
          <w:rFonts w:ascii="Verdana" w:hAnsi="Verdana"/>
          <w:sz w:val="20"/>
          <w:szCs w:val="20"/>
        </w:rPr>
        <w:t xml:space="preserve"> hicieron conocer a la Corte su voto concurrente y parcialmente disidente, su voto parcialmente disidente y su voto</w:t>
      </w:r>
      <w:r w:rsidRPr="006A0A3F">
        <w:rPr>
          <w:rFonts w:ascii="Verdana" w:hAnsi="Verdana"/>
          <w:sz w:val="20"/>
          <w:szCs w:val="20"/>
        </w:rPr>
        <w:t xml:space="preserve"> </w:t>
      </w:r>
      <w:r w:rsidR="003C68FE">
        <w:rPr>
          <w:rFonts w:ascii="Verdana" w:hAnsi="Verdana"/>
          <w:sz w:val="20"/>
          <w:szCs w:val="20"/>
        </w:rPr>
        <w:t>parcialmente disidente</w:t>
      </w:r>
      <w:r w:rsidRPr="008F2A57">
        <w:rPr>
          <w:rFonts w:ascii="Verdana" w:hAnsi="Verdana"/>
          <w:sz w:val="20"/>
          <w:szCs w:val="20"/>
        </w:rPr>
        <w:t xml:space="preserve">, </w:t>
      </w:r>
      <w:r w:rsidR="003C68FE">
        <w:rPr>
          <w:rFonts w:ascii="Verdana" w:hAnsi="Verdana"/>
          <w:sz w:val="20"/>
          <w:szCs w:val="20"/>
        </w:rPr>
        <w:t xml:space="preserve">respectivamente, </w:t>
      </w:r>
      <w:r w:rsidRPr="008F2A57">
        <w:rPr>
          <w:rFonts w:ascii="Verdana" w:hAnsi="Verdana"/>
          <w:sz w:val="20"/>
          <w:szCs w:val="20"/>
        </w:rPr>
        <w:t>los cuales acompañan esta Sentencia.</w:t>
      </w:r>
    </w:p>
    <w:p w14:paraId="617603D1" w14:textId="77777777" w:rsidR="009E32DB" w:rsidRDefault="009E32DB" w:rsidP="00D55934">
      <w:pPr>
        <w:spacing w:after="0" w:line="240" w:lineRule="auto"/>
        <w:jc w:val="both"/>
        <w:rPr>
          <w:rFonts w:ascii="Verdana" w:hAnsi="Verdana"/>
          <w:sz w:val="20"/>
          <w:szCs w:val="20"/>
        </w:rPr>
      </w:pPr>
    </w:p>
    <w:p w14:paraId="07F4A78E" w14:textId="77777777" w:rsidR="00925197" w:rsidRPr="006A0A3F" w:rsidRDefault="00925197" w:rsidP="00D55934">
      <w:pPr>
        <w:spacing w:after="0" w:line="240" w:lineRule="auto"/>
        <w:jc w:val="both"/>
        <w:rPr>
          <w:rFonts w:ascii="Verdana" w:hAnsi="Verdana"/>
          <w:sz w:val="20"/>
          <w:szCs w:val="20"/>
        </w:rPr>
      </w:pPr>
    </w:p>
    <w:p w14:paraId="1D04E882" w14:textId="77777777" w:rsidR="009E32DB" w:rsidRDefault="009E32DB" w:rsidP="00D55934">
      <w:pPr>
        <w:spacing w:after="0" w:line="240" w:lineRule="auto"/>
        <w:jc w:val="both"/>
        <w:rPr>
          <w:rFonts w:ascii="Verdana" w:hAnsi="Verdana"/>
          <w:sz w:val="20"/>
          <w:szCs w:val="20"/>
        </w:rPr>
      </w:pPr>
    </w:p>
    <w:p w14:paraId="2099E991" w14:textId="77777777" w:rsidR="00A67A4E" w:rsidRPr="006A0A3F" w:rsidRDefault="00A67A4E" w:rsidP="00D55934">
      <w:pPr>
        <w:spacing w:after="0" w:line="240" w:lineRule="auto"/>
        <w:jc w:val="both"/>
        <w:rPr>
          <w:rFonts w:ascii="Verdana" w:hAnsi="Verdana"/>
          <w:sz w:val="20"/>
          <w:szCs w:val="20"/>
        </w:rPr>
      </w:pPr>
    </w:p>
    <w:p w14:paraId="2F403091" w14:textId="73A3BF5C"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 xml:space="preserve">Redactada en español en San José, Costa Rica, el </w:t>
      </w:r>
      <w:r w:rsidR="00E57EF1" w:rsidRPr="006A0A3F">
        <w:rPr>
          <w:rFonts w:ascii="Verdana" w:hAnsi="Verdana"/>
          <w:sz w:val="20"/>
          <w:szCs w:val="20"/>
        </w:rPr>
        <w:t>8</w:t>
      </w:r>
      <w:r w:rsidRPr="006A0A3F">
        <w:rPr>
          <w:rFonts w:ascii="Verdana" w:hAnsi="Verdana"/>
          <w:sz w:val="20"/>
          <w:szCs w:val="20"/>
        </w:rPr>
        <w:t xml:space="preserve"> de febrero de 2018.</w:t>
      </w:r>
    </w:p>
    <w:p w14:paraId="65BD4AC7" w14:textId="77777777" w:rsidR="00D55934" w:rsidRPr="006A0A3F" w:rsidRDefault="00D55934" w:rsidP="00D55934">
      <w:pPr>
        <w:spacing w:after="0" w:line="240" w:lineRule="auto"/>
        <w:jc w:val="both"/>
        <w:rPr>
          <w:rFonts w:ascii="Verdana" w:hAnsi="Verdana"/>
          <w:sz w:val="20"/>
          <w:szCs w:val="20"/>
        </w:rPr>
      </w:pPr>
    </w:p>
    <w:p w14:paraId="582BF0FD" w14:textId="23D3E672" w:rsidR="009E32DB" w:rsidRPr="006A0A3F" w:rsidRDefault="009E32DB">
      <w:pPr>
        <w:rPr>
          <w:rFonts w:ascii="Verdana" w:hAnsi="Verdana"/>
          <w:sz w:val="20"/>
          <w:szCs w:val="20"/>
        </w:rPr>
      </w:pPr>
      <w:r w:rsidRPr="006A0A3F">
        <w:rPr>
          <w:rFonts w:ascii="Verdana" w:hAnsi="Verdana"/>
          <w:sz w:val="20"/>
          <w:szCs w:val="20"/>
        </w:rPr>
        <w:br w:type="page"/>
      </w:r>
    </w:p>
    <w:p w14:paraId="1A4AFFD5" w14:textId="77777777" w:rsidR="005B77F9" w:rsidRPr="006A0A3F" w:rsidRDefault="005B77F9" w:rsidP="00D55934">
      <w:pPr>
        <w:spacing w:after="0" w:line="240" w:lineRule="auto"/>
        <w:jc w:val="both"/>
        <w:rPr>
          <w:rFonts w:ascii="Verdana" w:hAnsi="Verdana"/>
          <w:sz w:val="20"/>
          <w:szCs w:val="20"/>
        </w:rPr>
      </w:pPr>
    </w:p>
    <w:p w14:paraId="29EAA61C" w14:textId="2B2B9230" w:rsidR="00D55934" w:rsidRPr="006A0A3F" w:rsidRDefault="00497A51" w:rsidP="00D55934">
      <w:pPr>
        <w:spacing w:after="0" w:line="240" w:lineRule="auto"/>
        <w:jc w:val="both"/>
        <w:rPr>
          <w:rFonts w:ascii="Verdana" w:eastAsia="Times" w:hAnsi="Verdana"/>
          <w:sz w:val="20"/>
          <w:szCs w:val="20"/>
        </w:rPr>
      </w:pPr>
      <w:r>
        <w:rPr>
          <w:rFonts w:ascii="Verdana" w:eastAsia="Times" w:hAnsi="Verdana"/>
          <w:sz w:val="20"/>
          <w:szCs w:val="20"/>
        </w:rPr>
        <w:t xml:space="preserve">Corte IDH. </w:t>
      </w:r>
      <w:r w:rsidR="00D55934" w:rsidRPr="00C94CA1">
        <w:rPr>
          <w:rFonts w:ascii="Verdana" w:eastAsia="Times" w:hAnsi="Verdana"/>
          <w:i/>
          <w:sz w:val="20"/>
          <w:szCs w:val="20"/>
        </w:rPr>
        <w:t>Caso San Miguel Sosa y otras vs. Venezuela</w:t>
      </w:r>
      <w:r w:rsidR="00D55934" w:rsidRPr="006A0A3F">
        <w:rPr>
          <w:rFonts w:ascii="Verdana" w:eastAsia="Times" w:hAnsi="Verdana"/>
          <w:sz w:val="20"/>
          <w:szCs w:val="20"/>
        </w:rPr>
        <w:t>, Fondo, Reparaciones y Costas.</w:t>
      </w:r>
      <w:r>
        <w:rPr>
          <w:rFonts w:ascii="Verdana" w:eastAsia="Times" w:hAnsi="Verdana"/>
          <w:sz w:val="20"/>
          <w:szCs w:val="20"/>
        </w:rPr>
        <w:t xml:space="preserve"> </w:t>
      </w:r>
      <w:r w:rsidRPr="006A0A3F">
        <w:rPr>
          <w:rFonts w:ascii="Verdana" w:eastAsia="Times" w:hAnsi="Verdana"/>
          <w:sz w:val="20"/>
          <w:szCs w:val="20"/>
        </w:rPr>
        <w:t xml:space="preserve">Sentencia de </w:t>
      </w:r>
      <w:r>
        <w:rPr>
          <w:rFonts w:ascii="Verdana" w:eastAsia="Times" w:hAnsi="Verdana"/>
          <w:sz w:val="20"/>
          <w:szCs w:val="20"/>
        </w:rPr>
        <w:t>8 de febrero de 2018</w:t>
      </w:r>
      <w:r w:rsidRPr="006A0A3F">
        <w:rPr>
          <w:rFonts w:ascii="Verdana" w:eastAsia="Times" w:hAnsi="Verdana"/>
          <w:sz w:val="20"/>
          <w:szCs w:val="20"/>
        </w:rPr>
        <w:t>.</w:t>
      </w:r>
    </w:p>
    <w:p w14:paraId="4B424474" w14:textId="77777777" w:rsidR="006111D2" w:rsidRPr="006A0A3F" w:rsidRDefault="006111D2" w:rsidP="00D55934">
      <w:pPr>
        <w:spacing w:after="0" w:line="240" w:lineRule="auto"/>
        <w:jc w:val="both"/>
        <w:rPr>
          <w:rFonts w:ascii="Verdana" w:hAnsi="Verdana"/>
          <w:sz w:val="20"/>
          <w:szCs w:val="20"/>
        </w:rPr>
      </w:pPr>
    </w:p>
    <w:p w14:paraId="28D2248B" w14:textId="77777777" w:rsidR="00D55934" w:rsidRPr="006A0A3F" w:rsidRDefault="00D55934" w:rsidP="00D55934">
      <w:pPr>
        <w:spacing w:after="0" w:line="240" w:lineRule="auto"/>
        <w:jc w:val="both"/>
        <w:rPr>
          <w:rFonts w:ascii="Verdana" w:hAnsi="Verdana"/>
          <w:sz w:val="20"/>
          <w:szCs w:val="20"/>
        </w:rPr>
      </w:pPr>
    </w:p>
    <w:p w14:paraId="39E343F3" w14:textId="77777777" w:rsidR="00516C2D" w:rsidRPr="006A0A3F" w:rsidRDefault="00516C2D" w:rsidP="00D55934">
      <w:pPr>
        <w:spacing w:after="0" w:line="240" w:lineRule="auto"/>
        <w:jc w:val="both"/>
        <w:rPr>
          <w:rFonts w:ascii="Verdana" w:hAnsi="Verdana"/>
          <w:sz w:val="20"/>
          <w:szCs w:val="20"/>
        </w:rPr>
      </w:pPr>
    </w:p>
    <w:p w14:paraId="79936E0F" w14:textId="77777777" w:rsidR="00516C2D" w:rsidRPr="006A0A3F" w:rsidRDefault="00516C2D" w:rsidP="00D55934">
      <w:pPr>
        <w:spacing w:after="0" w:line="240" w:lineRule="auto"/>
        <w:jc w:val="both"/>
        <w:rPr>
          <w:rFonts w:ascii="Verdana" w:hAnsi="Verdana"/>
          <w:sz w:val="20"/>
          <w:szCs w:val="20"/>
        </w:rPr>
      </w:pPr>
    </w:p>
    <w:p w14:paraId="6C31219E" w14:textId="77777777" w:rsidR="00516C2D" w:rsidRPr="006A0A3F" w:rsidRDefault="00516C2D" w:rsidP="00D55934">
      <w:pPr>
        <w:spacing w:after="0" w:line="240" w:lineRule="auto"/>
        <w:jc w:val="both"/>
        <w:rPr>
          <w:rFonts w:ascii="Verdana" w:hAnsi="Verdana"/>
          <w:sz w:val="20"/>
          <w:szCs w:val="20"/>
        </w:rPr>
      </w:pPr>
    </w:p>
    <w:p w14:paraId="20D0BAFF" w14:textId="3BBED037" w:rsidR="00D55934" w:rsidRPr="006A0A3F" w:rsidRDefault="00D55934" w:rsidP="00D55934">
      <w:pPr>
        <w:spacing w:after="0" w:line="240" w:lineRule="auto"/>
        <w:jc w:val="center"/>
        <w:rPr>
          <w:rFonts w:ascii="Verdana" w:hAnsi="Verdana"/>
          <w:sz w:val="20"/>
          <w:szCs w:val="20"/>
        </w:rPr>
      </w:pPr>
      <w:r w:rsidRPr="006A0A3F">
        <w:rPr>
          <w:rFonts w:ascii="Verdana" w:hAnsi="Verdana"/>
          <w:sz w:val="20"/>
          <w:szCs w:val="20"/>
        </w:rPr>
        <w:t xml:space="preserve">Eduardo Ferrer Mac-Gregor </w:t>
      </w:r>
      <w:proofErr w:type="spellStart"/>
      <w:r w:rsidRPr="006A0A3F">
        <w:rPr>
          <w:rFonts w:ascii="Verdana" w:hAnsi="Verdana"/>
          <w:sz w:val="20"/>
          <w:szCs w:val="20"/>
        </w:rPr>
        <w:t>Poisot</w:t>
      </w:r>
      <w:proofErr w:type="spellEnd"/>
      <w:r w:rsidRPr="006A0A3F">
        <w:rPr>
          <w:rFonts w:ascii="Verdana" w:hAnsi="Verdana"/>
          <w:sz w:val="20"/>
          <w:szCs w:val="20"/>
        </w:rPr>
        <w:t xml:space="preserve"> </w:t>
      </w:r>
    </w:p>
    <w:p w14:paraId="02A27B98" w14:textId="77777777" w:rsidR="00D55934" w:rsidRPr="006A0A3F" w:rsidRDefault="00D55934" w:rsidP="00D55934">
      <w:pPr>
        <w:spacing w:after="0" w:line="240" w:lineRule="auto"/>
        <w:jc w:val="center"/>
        <w:rPr>
          <w:rFonts w:ascii="Verdana" w:hAnsi="Verdana"/>
          <w:sz w:val="20"/>
          <w:szCs w:val="20"/>
        </w:rPr>
      </w:pPr>
      <w:r w:rsidRPr="006A0A3F">
        <w:rPr>
          <w:rFonts w:ascii="Verdana" w:hAnsi="Verdana"/>
          <w:sz w:val="20"/>
          <w:szCs w:val="20"/>
        </w:rPr>
        <w:t>Presidente</w:t>
      </w:r>
    </w:p>
    <w:p w14:paraId="4617E216" w14:textId="77777777" w:rsidR="00D55934" w:rsidRPr="006A0A3F" w:rsidRDefault="00D55934" w:rsidP="00D55934">
      <w:pPr>
        <w:spacing w:after="0" w:line="240" w:lineRule="auto"/>
        <w:jc w:val="both"/>
        <w:rPr>
          <w:rFonts w:ascii="Verdana" w:hAnsi="Verdana"/>
          <w:sz w:val="20"/>
          <w:szCs w:val="20"/>
        </w:rPr>
      </w:pPr>
    </w:p>
    <w:p w14:paraId="3A09C646" w14:textId="77777777" w:rsidR="00516C2D" w:rsidRPr="006A0A3F" w:rsidRDefault="00516C2D" w:rsidP="00D55934">
      <w:pPr>
        <w:spacing w:after="0" w:line="240" w:lineRule="auto"/>
        <w:jc w:val="both"/>
        <w:rPr>
          <w:rFonts w:ascii="Verdana" w:hAnsi="Verdana"/>
          <w:sz w:val="20"/>
          <w:szCs w:val="20"/>
        </w:rPr>
      </w:pPr>
    </w:p>
    <w:p w14:paraId="3F79721C" w14:textId="77777777" w:rsidR="009E32DB" w:rsidRPr="006A0A3F" w:rsidRDefault="009E32DB" w:rsidP="00D55934">
      <w:pPr>
        <w:spacing w:after="0" w:line="240" w:lineRule="auto"/>
        <w:jc w:val="both"/>
        <w:rPr>
          <w:rFonts w:ascii="Verdana" w:hAnsi="Verdana"/>
          <w:sz w:val="20"/>
          <w:szCs w:val="20"/>
        </w:rPr>
      </w:pPr>
    </w:p>
    <w:p w14:paraId="02A893B0" w14:textId="77777777" w:rsidR="00516C2D" w:rsidRPr="006A0A3F" w:rsidRDefault="00516C2D" w:rsidP="00D55934">
      <w:pPr>
        <w:spacing w:after="0" w:line="240" w:lineRule="auto"/>
        <w:jc w:val="both"/>
        <w:rPr>
          <w:rFonts w:ascii="Verdana" w:hAnsi="Verdana"/>
          <w:sz w:val="20"/>
          <w:szCs w:val="20"/>
        </w:rPr>
      </w:pPr>
    </w:p>
    <w:p w14:paraId="208CA43F" w14:textId="63869ABB"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 xml:space="preserve">Eduardo Vio Grossi </w:t>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t>Roberto F. Caldas</w:t>
      </w:r>
    </w:p>
    <w:p w14:paraId="4FEDC3B7" w14:textId="77777777" w:rsidR="00D55934" w:rsidRPr="006A0A3F" w:rsidRDefault="00D55934" w:rsidP="00D55934">
      <w:pPr>
        <w:spacing w:after="0" w:line="240" w:lineRule="auto"/>
        <w:jc w:val="both"/>
        <w:rPr>
          <w:rFonts w:ascii="Verdana" w:hAnsi="Verdana"/>
          <w:sz w:val="20"/>
          <w:szCs w:val="20"/>
        </w:rPr>
      </w:pPr>
    </w:p>
    <w:p w14:paraId="5A244D9E" w14:textId="77777777" w:rsidR="00516C2D" w:rsidRPr="006A0A3F" w:rsidRDefault="00516C2D" w:rsidP="00D55934">
      <w:pPr>
        <w:spacing w:after="0" w:line="240" w:lineRule="auto"/>
        <w:jc w:val="both"/>
        <w:rPr>
          <w:rFonts w:ascii="Verdana" w:hAnsi="Verdana"/>
          <w:sz w:val="20"/>
          <w:szCs w:val="20"/>
        </w:rPr>
      </w:pPr>
    </w:p>
    <w:p w14:paraId="1C11989A" w14:textId="77777777" w:rsidR="009E32DB" w:rsidRPr="006A0A3F" w:rsidRDefault="009E32DB" w:rsidP="00D55934">
      <w:pPr>
        <w:spacing w:after="0" w:line="240" w:lineRule="auto"/>
        <w:jc w:val="both"/>
        <w:rPr>
          <w:rFonts w:ascii="Verdana" w:hAnsi="Verdana"/>
          <w:sz w:val="20"/>
          <w:szCs w:val="20"/>
        </w:rPr>
      </w:pPr>
    </w:p>
    <w:p w14:paraId="3F0FA600" w14:textId="77777777" w:rsidR="00516C2D" w:rsidRPr="006A0A3F" w:rsidRDefault="00516C2D" w:rsidP="00D55934">
      <w:pPr>
        <w:spacing w:after="0" w:line="240" w:lineRule="auto"/>
        <w:jc w:val="both"/>
        <w:rPr>
          <w:rFonts w:ascii="Verdana" w:hAnsi="Verdana"/>
          <w:sz w:val="20"/>
          <w:szCs w:val="20"/>
        </w:rPr>
      </w:pPr>
    </w:p>
    <w:p w14:paraId="6F7A2662" w14:textId="2EAC9145"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Humberto A. Sierra Porto</w:t>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t xml:space="preserve">       Elizabeth Odio Benito</w:t>
      </w:r>
    </w:p>
    <w:p w14:paraId="3A4F41E0" w14:textId="77777777" w:rsidR="00D55934" w:rsidRPr="006A0A3F" w:rsidRDefault="00D55934" w:rsidP="00D55934">
      <w:pPr>
        <w:spacing w:after="0" w:line="240" w:lineRule="auto"/>
        <w:jc w:val="both"/>
        <w:rPr>
          <w:rFonts w:ascii="Verdana" w:hAnsi="Verdana"/>
          <w:sz w:val="20"/>
          <w:szCs w:val="20"/>
        </w:rPr>
      </w:pPr>
    </w:p>
    <w:p w14:paraId="6C81D8CA" w14:textId="77777777" w:rsidR="00516C2D" w:rsidRPr="006A0A3F" w:rsidRDefault="00516C2D" w:rsidP="00D55934">
      <w:pPr>
        <w:spacing w:after="0" w:line="240" w:lineRule="auto"/>
        <w:jc w:val="both"/>
        <w:rPr>
          <w:rFonts w:ascii="Verdana" w:hAnsi="Verdana"/>
          <w:sz w:val="20"/>
          <w:szCs w:val="20"/>
        </w:rPr>
      </w:pPr>
    </w:p>
    <w:p w14:paraId="2E43A7CA" w14:textId="77777777" w:rsidR="00516C2D" w:rsidRPr="006A0A3F" w:rsidRDefault="00516C2D" w:rsidP="00D55934">
      <w:pPr>
        <w:spacing w:after="0" w:line="240" w:lineRule="auto"/>
        <w:jc w:val="both"/>
        <w:rPr>
          <w:rFonts w:ascii="Verdana" w:hAnsi="Verdana"/>
          <w:sz w:val="20"/>
          <w:szCs w:val="20"/>
        </w:rPr>
      </w:pPr>
    </w:p>
    <w:p w14:paraId="11BE8746" w14:textId="77777777" w:rsidR="009E32DB" w:rsidRPr="006A0A3F" w:rsidRDefault="009E32DB" w:rsidP="00D55934">
      <w:pPr>
        <w:spacing w:after="0" w:line="240" w:lineRule="auto"/>
        <w:jc w:val="both"/>
        <w:rPr>
          <w:rFonts w:ascii="Verdana" w:hAnsi="Verdana"/>
          <w:sz w:val="20"/>
          <w:szCs w:val="20"/>
        </w:rPr>
      </w:pPr>
    </w:p>
    <w:p w14:paraId="0D9F0F30" w14:textId="78922699"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 xml:space="preserve">Eugenio Raúl </w:t>
      </w:r>
      <w:proofErr w:type="spellStart"/>
      <w:r w:rsidRPr="006A0A3F">
        <w:rPr>
          <w:rFonts w:ascii="Verdana" w:hAnsi="Verdana"/>
          <w:sz w:val="20"/>
          <w:szCs w:val="20"/>
        </w:rPr>
        <w:t>Zaffaroni</w:t>
      </w:r>
      <w:proofErr w:type="spellEnd"/>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r>
      <w:r w:rsidRPr="006A0A3F">
        <w:rPr>
          <w:rFonts w:ascii="Verdana" w:hAnsi="Verdana"/>
          <w:sz w:val="20"/>
          <w:szCs w:val="20"/>
        </w:rPr>
        <w:tab/>
        <w:t xml:space="preserve">  L. Patricio Pazmiño Freire</w:t>
      </w:r>
    </w:p>
    <w:p w14:paraId="6E4661EA" w14:textId="77777777" w:rsidR="00D55934" w:rsidRPr="006A0A3F" w:rsidRDefault="00D55934" w:rsidP="00D55934">
      <w:pPr>
        <w:spacing w:after="0" w:line="240" w:lineRule="auto"/>
        <w:jc w:val="both"/>
        <w:rPr>
          <w:rFonts w:ascii="Verdana" w:hAnsi="Verdana"/>
          <w:sz w:val="20"/>
          <w:szCs w:val="20"/>
        </w:rPr>
      </w:pPr>
    </w:p>
    <w:p w14:paraId="5C245EAC" w14:textId="77777777" w:rsidR="00516C2D" w:rsidRPr="006A0A3F" w:rsidRDefault="00516C2D" w:rsidP="00D55934">
      <w:pPr>
        <w:spacing w:after="0" w:line="240" w:lineRule="auto"/>
        <w:jc w:val="both"/>
        <w:rPr>
          <w:rFonts w:ascii="Verdana" w:hAnsi="Verdana"/>
          <w:sz w:val="20"/>
          <w:szCs w:val="20"/>
        </w:rPr>
      </w:pPr>
    </w:p>
    <w:p w14:paraId="065AA317" w14:textId="77777777" w:rsidR="009E32DB" w:rsidRPr="006A0A3F" w:rsidRDefault="009E32DB" w:rsidP="00D55934">
      <w:pPr>
        <w:spacing w:after="0" w:line="240" w:lineRule="auto"/>
        <w:jc w:val="both"/>
        <w:rPr>
          <w:rFonts w:ascii="Verdana" w:hAnsi="Verdana"/>
          <w:sz w:val="20"/>
          <w:szCs w:val="20"/>
        </w:rPr>
      </w:pPr>
    </w:p>
    <w:p w14:paraId="4321A730" w14:textId="77777777" w:rsidR="009E32DB" w:rsidRPr="006A0A3F" w:rsidRDefault="009E32DB" w:rsidP="00D55934">
      <w:pPr>
        <w:spacing w:after="0" w:line="240" w:lineRule="auto"/>
        <w:jc w:val="both"/>
        <w:rPr>
          <w:rFonts w:ascii="Verdana" w:hAnsi="Verdana"/>
          <w:sz w:val="20"/>
          <w:szCs w:val="20"/>
        </w:rPr>
      </w:pPr>
    </w:p>
    <w:p w14:paraId="531A52B4" w14:textId="77777777" w:rsidR="00516C2D" w:rsidRPr="006A0A3F" w:rsidRDefault="00516C2D" w:rsidP="00D55934">
      <w:pPr>
        <w:spacing w:after="0" w:line="240" w:lineRule="auto"/>
        <w:jc w:val="both"/>
        <w:rPr>
          <w:rFonts w:ascii="Verdana" w:hAnsi="Verdana"/>
          <w:sz w:val="20"/>
          <w:szCs w:val="20"/>
        </w:rPr>
      </w:pPr>
    </w:p>
    <w:p w14:paraId="0624540F" w14:textId="77777777" w:rsidR="00D55934" w:rsidRPr="006A0A3F" w:rsidRDefault="00D55934" w:rsidP="00D55934">
      <w:pPr>
        <w:spacing w:after="0" w:line="240" w:lineRule="auto"/>
        <w:jc w:val="center"/>
        <w:rPr>
          <w:rFonts w:ascii="Verdana" w:hAnsi="Verdana"/>
          <w:sz w:val="20"/>
          <w:szCs w:val="20"/>
        </w:rPr>
      </w:pPr>
      <w:r w:rsidRPr="006A0A3F">
        <w:rPr>
          <w:rFonts w:ascii="Verdana" w:hAnsi="Verdana"/>
          <w:sz w:val="20"/>
          <w:szCs w:val="20"/>
        </w:rPr>
        <w:t>Pablo Saavedra Alessandri</w:t>
      </w:r>
    </w:p>
    <w:p w14:paraId="3AB984A3" w14:textId="77777777" w:rsidR="00D55934" w:rsidRPr="006A0A3F" w:rsidRDefault="00D55934" w:rsidP="00D55934">
      <w:pPr>
        <w:spacing w:after="0" w:line="240" w:lineRule="auto"/>
        <w:jc w:val="center"/>
        <w:rPr>
          <w:rFonts w:ascii="Verdana" w:hAnsi="Verdana"/>
          <w:sz w:val="20"/>
          <w:szCs w:val="20"/>
        </w:rPr>
      </w:pPr>
      <w:r w:rsidRPr="006A0A3F">
        <w:rPr>
          <w:rFonts w:ascii="Verdana" w:hAnsi="Verdana"/>
          <w:sz w:val="20"/>
          <w:szCs w:val="20"/>
        </w:rPr>
        <w:t>Secretario</w:t>
      </w:r>
    </w:p>
    <w:p w14:paraId="68AF9DE0" w14:textId="77777777" w:rsidR="006111D2" w:rsidRPr="006A0A3F" w:rsidRDefault="006111D2" w:rsidP="00D55934">
      <w:pPr>
        <w:spacing w:after="0" w:line="240" w:lineRule="auto"/>
        <w:jc w:val="both"/>
        <w:rPr>
          <w:rFonts w:ascii="Verdana" w:hAnsi="Verdana"/>
          <w:sz w:val="20"/>
          <w:szCs w:val="20"/>
        </w:rPr>
      </w:pPr>
    </w:p>
    <w:p w14:paraId="707D195C" w14:textId="77777777" w:rsidR="00516C2D" w:rsidRPr="006A0A3F" w:rsidRDefault="00516C2D" w:rsidP="00D55934">
      <w:pPr>
        <w:spacing w:after="0" w:line="240" w:lineRule="auto"/>
        <w:jc w:val="both"/>
        <w:rPr>
          <w:rFonts w:ascii="Verdana" w:hAnsi="Verdana"/>
          <w:sz w:val="20"/>
          <w:szCs w:val="20"/>
        </w:rPr>
      </w:pPr>
    </w:p>
    <w:p w14:paraId="6AE62C18" w14:textId="77777777" w:rsidR="00516C2D" w:rsidRPr="006A0A3F" w:rsidRDefault="00516C2D" w:rsidP="00D55934">
      <w:pPr>
        <w:spacing w:after="0" w:line="240" w:lineRule="auto"/>
        <w:jc w:val="both"/>
        <w:rPr>
          <w:rFonts w:ascii="Verdana" w:hAnsi="Verdana"/>
          <w:sz w:val="20"/>
          <w:szCs w:val="20"/>
        </w:rPr>
      </w:pPr>
    </w:p>
    <w:p w14:paraId="43E7F764" w14:textId="77777777" w:rsidR="009E32DB" w:rsidRPr="006A0A3F" w:rsidRDefault="009E32DB" w:rsidP="00D55934">
      <w:pPr>
        <w:spacing w:after="0" w:line="240" w:lineRule="auto"/>
        <w:jc w:val="both"/>
        <w:rPr>
          <w:rFonts w:ascii="Verdana" w:hAnsi="Verdana"/>
          <w:sz w:val="20"/>
          <w:szCs w:val="20"/>
        </w:rPr>
      </w:pPr>
    </w:p>
    <w:p w14:paraId="0749F230" w14:textId="77777777" w:rsidR="009E32DB" w:rsidRPr="006A0A3F" w:rsidRDefault="009E32DB" w:rsidP="00D55934">
      <w:pPr>
        <w:spacing w:after="0" w:line="240" w:lineRule="auto"/>
        <w:jc w:val="both"/>
        <w:rPr>
          <w:rFonts w:ascii="Verdana" w:hAnsi="Verdana"/>
          <w:sz w:val="20"/>
          <w:szCs w:val="20"/>
        </w:rPr>
      </w:pPr>
    </w:p>
    <w:p w14:paraId="3E1756FD" w14:textId="77777777" w:rsidR="00516C2D" w:rsidRPr="006A0A3F" w:rsidRDefault="00516C2D" w:rsidP="00D55934">
      <w:pPr>
        <w:spacing w:after="0" w:line="240" w:lineRule="auto"/>
        <w:jc w:val="both"/>
        <w:rPr>
          <w:rFonts w:ascii="Verdana" w:hAnsi="Verdana"/>
          <w:sz w:val="20"/>
          <w:szCs w:val="20"/>
        </w:rPr>
      </w:pPr>
    </w:p>
    <w:p w14:paraId="3194EE4B" w14:textId="77777777"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Comuníquese y ejecútese,</w:t>
      </w:r>
    </w:p>
    <w:p w14:paraId="3FB5C781" w14:textId="77777777" w:rsidR="006111D2" w:rsidRPr="006A0A3F" w:rsidRDefault="006111D2" w:rsidP="00D55934">
      <w:pPr>
        <w:spacing w:after="0" w:line="240" w:lineRule="auto"/>
        <w:jc w:val="both"/>
        <w:rPr>
          <w:rFonts w:ascii="Verdana" w:hAnsi="Verdana"/>
          <w:sz w:val="20"/>
          <w:szCs w:val="20"/>
        </w:rPr>
      </w:pPr>
    </w:p>
    <w:p w14:paraId="445E3714" w14:textId="77777777" w:rsidR="006111D2" w:rsidRPr="006A0A3F" w:rsidRDefault="006111D2" w:rsidP="00D55934">
      <w:pPr>
        <w:spacing w:after="0" w:line="240" w:lineRule="auto"/>
        <w:jc w:val="both"/>
        <w:rPr>
          <w:rFonts w:ascii="Verdana" w:hAnsi="Verdana"/>
          <w:sz w:val="20"/>
          <w:szCs w:val="20"/>
        </w:rPr>
      </w:pPr>
    </w:p>
    <w:p w14:paraId="7EC042E2" w14:textId="77777777" w:rsidR="00516C2D" w:rsidRPr="006A0A3F" w:rsidRDefault="00516C2D" w:rsidP="00D55934">
      <w:pPr>
        <w:spacing w:after="0" w:line="240" w:lineRule="auto"/>
        <w:jc w:val="both"/>
        <w:rPr>
          <w:rFonts w:ascii="Verdana" w:hAnsi="Verdana"/>
          <w:sz w:val="20"/>
          <w:szCs w:val="20"/>
        </w:rPr>
      </w:pPr>
    </w:p>
    <w:p w14:paraId="3D1A365E" w14:textId="5C24C6D7" w:rsidR="00D55934" w:rsidRPr="006A0A3F" w:rsidRDefault="00D55934" w:rsidP="00D55934">
      <w:pPr>
        <w:spacing w:after="0" w:line="240" w:lineRule="auto"/>
        <w:ind w:left="5664"/>
        <w:jc w:val="both"/>
        <w:rPr>
          <w:rFonts w:ascii="Verdana" w:hAnsi="Verdana"/>
          <w:sz w:val="20"/>
          <w:szCs w:val="20"/>
        </w:rPr>
      </w:pPr>
      <w:r w:rsidRPr="006A0A3F">
        <w:rPr>
          <w:rFonts w:ascii="Verdana" w:hAnsi="Verdana"/>
          <w:sz w:val="20"/>
          <w:szCs w:val="20"/>
        </w:rPr>
        <w:t xml:space="preserve">Eduardo Ferrer Mac-Gregor </w:t>
      </w:r>
      <w:proofErr w:type="spellStart"/>
      <w:r w:rsidRPr="006A0A3F">
        <w:rPr>
          <w:rFonts w:ascii="Verdana" w:hAnsi="Verdana"/>
          <w:sz w:val="20"/>
          <w:szCs w:val="20"/>
        </w:rPr>
        <w:t>Poisot</w:t>
      </w:r>
      <w:proofErr w:type="spellEnd"/>
    </w:p>
    <w:p w14:paraId="31A499AD" w14:textId="09ECFAEE" w:rsidR="00D55934" w:rsidRPr="006A0A3F" w:rsidRDefault="00D55934" w:rsidP="00D55934">
      <w:pPr>
        <w:spacing w:after="0" w:line="240" w:lineRule="auto"/>
        <w:ind w:left="6360" w:firstLine="720"/>
        <w:jc w:val="both"/>
        <w:rPr>
          <w:rFonts w:ascii="Verdana" w:hAnsi="Verdana"/>
          <w:sz w:val="20"/>
          <w:szCs w:val="20"/>
        </w:rPr>
      </w:pPr>
      <w:r w:rsidRPr="006A0A3F">
        <w:rPr>
          <w:rFonts w:ascii="Verdana" w:hAnsi="Verdana"/>
          <w:sz w:val="20"/>
          <w:szCs w:val="20"/>
        </w:rPr>
        <w:t>Presidente</w:t>
      </w:r>
    </w:p>
    <w:p w14:paraId="6A02F1BC" w14:textId="77777777" w:rsidR="006111D2" w:rsidRPr="006A0A3F" w:rsidRDefault="006111D2" w:rsidP="00D55934">
      <w:pPr>
        <w:spacing w:after="0" w:line="240" w:lineRule="auto"/>
        <w:ind w:left="5040" w:firstLine="720"/>
        <w:jc w:val="both"/>
        <w:rPr>
          <w:rFonts w:ascii="Verdana" w:hAnsi="Verdana"/>
          <w:sz w:val="20"/>
          <w:szCs w:val="20"/>
        </w:rPr>
      </w:pPr>
    </w:p>
    <w:p w14:paraId="60875876" w14:textId="77777777" w:rsidR="00D55934" w:rsidRPr="006A0A3F" w:rsidRDefault="00D55934" w:rsidP="00D55934">
      <w:pPr>
        <w:spacing w:after="0" w:line="240" w:lineRule="auto"/>
        <w:jc w:val="both"/>
        <w:rPr>
          <w:rFonts w:ascii="Verdana" w:hAnsi="Verdana"/>
          <w:sz w:val="20"/>
          <w:szCs w:val="20"/>
        </w:rPr>
      </w:pPr>
    </w:p>
    <w:p w14:paraId="40BADF13" w14:textId="77777777" w:rsidR="009E32DB" w:rsidRPr="006A0A3F" w:rsidRDefault="009E32DB" w:rsidP="00D55934">
      <w:pPr>
        <w:spacing w:after="0" w:line="240" w:lineRule="auto"/>
        <w:jc w:val="both"/>
        <w:rPr>
          <w:rFonts w:ascii="Verdana" w:hAnsi="Verdana"/>
          <w:sz w:val="20"/>
          <w:szCs w:val="20"/>
        </w:rPr>
      </w:pPr>
    </w:p>
    <w:p w14:paraId="072E674E" w14:textId="77777777" w:rsidR="009E32DB" w:rsidRPr="006A0A3F" w:rsidRDefault="009E32DB" w:rsidP="00D55934">
      <w:pPr>
        <w:spacing w:after="0" w:line="240" w:lineRule="auto"/>
        <w:jc w:val="both"/>
        <w:rPr>
          <w:rFonts w:ascii="Verdana" w:hAnsi="Verdana"/>
          <w:sz w:val="20"/>
          <w:szCs w:val="20"/>
        </w:rPr>
      </w:pPr>
    </w:p>
    <w:p w14:paraId="6DCAFBC5" w14:textId="77777777" w:rsidR="00516C2D" w:rsidRPr="006A0A3F" w:rsidRDefault="00516C2D" w:rsidP="00D55934">
      <w:pPr>
        <w:spacing w:after="0" w:line="240" w:lineRule="auto"/>
        <w:jc w:val="both"/>
        <w:rPr>
          <w:rFonts w:ascii="Verdana" w:hAnsi="Verdana"/>
          <w:sz w:val="20"/>
          <w:szCs w:val="20"/>
        </w:rPr>
      </w:pPr>
    </w:p>
    <w:p w14:paraId="5CF042CF" w14:textId="77777777" w:rsidR="00D55934" w:rsidRPr="006A0A3F" w:rsidRDefault="00D55934" w:rsidP="00D55934">
      <w:pPr>
        <w:spacing w:after="0" w:line="240" w:lineRule="auto"/>
        <w:jc w:val="both"/>
        <w:rPr>
          <w:rFonts w:ascii="Verdana" w:hAnsi="Verdana"/>
          <w:sz w:val="20"/>
          <w:szCs w:val="20"/>
        </w:rPr>
      </w:pPr>
      <w:r w:rsidRPr="006A0A3F">
        <w:rPr>
          <w:rFonts w:ascii="Verdana" w:hAnsi="Verdana"/>
          <w:sz w:val="20"/>
          <w:szCs w:val="20"/>
        </w:rPr>
        <w:t>Pablo Saavedra Alessandri</w:t>
      </w:r>
    </w:p>
    <w:p w14:paraId="3C10E028" w14:textId="4655FEEF" w:rsidR="0027007E" w:rsidRDefault="00D55934" w:rsidP="00E97DDD">
      <w:pPr>
        <w:spacing w:after="0" w:line="240" w:lineRule="auto"/>
        <w:jc w:val="both"/>
        <w:rPr>
          <w:rFonts w:ascii="Verdana" w:hAnsi="Verdana"/>
          <w:sz w:val="20"/>
          <w:szCs w:val="20"/>
        </w:rPr>
        <w:sectPr w:rsidR="0027007E" w:rsidSect="00BB007C">
          <w:headerReference w:type="default" r:id="rId11"/>
          <w:footerReference w:type="default" r:id="rId12"/>
          <w:pgSz w:w="12240" w:h="15840"/>
          <w:pgMar w:top="1417" w:right="1183" w:bottom="851" w:left="1276" w:header="708" w:footer="708" w:gutter="0"/>
          <w:cols w:space="708"/>
          <w:titlePg/>
          <w:docGrid w:linePitch="360"/>
        </w:sectPr>
      </w:pPr>
      <w:r w:rsidRPr="006A0A3F">
        <w:rPr>
          <w:rFonts w:ascii="Verdana" w:hAnsi="Verdana"/>
          <w:sz w:val="20"/>
          <w:szCs w:val="20"/>
        </w:rPr>
        <w:tab/>
        <w:t>Secretario</w:t>
      </w:r>
    </w:p>
    <w:p w14:paraId="329650C2" w14:textId="77777777" w:rsidR="0027007E" w:rsidRPr="0027007E" w:rsidRDefault="0027007E" w:rsidP="00E97DDD">
      <w:pPr>
        <w:spacing w:after="0" w:line="240" w:lineRule="auto"/>
        <w:ind w:right="-138"/>
        <w:rPr>
          <w:rFonts w:ascii="Verdana" w:eastAsia="MS Mincho" w:hAnsi="Verdana" w:cs="Times New Roman"/>
          <w:b/>
          <w:sz w:val="20"/>
          <w:szCs w:val="20"/>
          <w:lang w:val="es-ES_tradnl"/>
        </w:rPr>
      </w:pPr>
    </w:p>
    <w:p w14:paraId="4BA4F712" w14:textId="77777777" w:rsidR="0027007E" w:rsidRPr="0027007E" w:rsidRDefault="0027007E" w:rsidP="0027007E">
      <w:pPr>
        <w:spacing w:after="0" w:line="240" w:lineRule="auto"/>
        <w:ind w:left="-142" w:right="-138"/>
        <w:jc w:val="center"/>
        <w:rPr>
          <w:rFonts w:ascii="Verdana" w:eastAsia="MS Mincho" w:hAnsi="Verdana" w:cs="Times New Roman"/>
          <w:b/>
          <w:sz w:val="20"/>
          <w:szCs w:val="20"/>
          <w:lang w:val="es-ES_tradnl"/>
        </w:rPr>
      </w:pPr>
    </w:p>
    <w:p w14:paraId="12A74A27" w14:textId="77777777" w:rsidR="0027007E" w:rsidRPr="0027007E" w:rsidRDefault="0027007E" w:rsidP="0027007E">
      <w:pPr>
        <w:spacing w:after="0" w:line="240" w:lineRule="auto"/>
        <w:ind w:left="-142" w:right="-138"/>
        <w:jc w:val="center"/>
        <w:rPr>
          <w:rFonts w:ascii="Verdana" w:eastAsia="MS Mincho" w:hAnsi="Verdana" w:cs="Times New Roman"/>
          <w:b/>
          <w:sz w:val="20"/>
          <w:szCs w:val="20"/>
          <w:lang w:val="es-ES_tradnl"/>
        </w:rPr>
      </w:pPr>
    </w:p>
    <w:p w14:paraId="36D48120" w14:textId="77777777" w:rsidR="0027007E" w:rsidRPr="0027007E" w:rsidRDefault="0027007E" w:rsidP="0027007E">
      <w:pPr>
        <w:spacing w:after="0" w:line="240" w:lineRule="auto"/>
        <w:ind w:left="-142" w:right="-138"/>
        <w:jc w:val="center"/>
        <w:rPr>
          <w:rFonts w:ascii="Verdana" w:eastAsia="MS Mincho" w:hAnsi="Verdana" w:cs="Times New Roman"/>
          <w:b/>
          <w:sz w:val="20"/>
          <w:szCs w:val="20"/>
          <w:lang w:val="es-ES_tradnl"/>
        </w:rPr>
      </w:pPr>
    </w:p>
    <w:p w14:paraId="116A82FE" w14:textId="77777777" w:rsidR="0027007E" w:rsidRPr="0027007E" w:rsidRDefault="0027007E" w:rsidP="0027007E">
      <w:pPr>
        <w:spacing w:after="0" w:line="240" w:lineRule="auto"/>
        <w:ind w:left="-142" w:right="-138"/>
        <w:jc w:val="center"/>
        <w:rPr>
          <w:rFonts w:ascii="Verdana" w:eastAsia="MS Mincho" w:hAnsi="Verdana" w:cs="Times New Roman"/>
          <w:b/>
          <w:sz w:val="20"/>
          <w:szCs w:val="20"/>
          <w:lang w:val="es-ES_tradnl"/>
        </w:rPr>
      </w:pPr>
    </w:p>
    <w:p w14:paraId="3E2FFFFF" w14:textId="77777777" w:rsidR="0027007E" w:rsidRPr="0027007E" w:rsidRDefault="0027007E" w:rsidP="0027007E">
      <w:pPr>
        <w:spacing w:after="0" w:line="240" w:lineRule="auto"/>
        <w:rPr>
          <w:rFonts w:ascii="Verdana" w:eastAsia="MS Mincho" w:hAnsi="Verdana" w:cs="Times New Roman"/>
          <w:b/>
          <w:sz w:val="20"/>
          <w:szCs w:val="20"/>
          <w:lang w:val="es-ES_tradnl" w:eastAsia="es-ES"/>
        </w:rPr>
      </w:pPr>
    </w:p>
    <w:p w14:paraId="527CBC8B" w14:textId="77777777" w:rsidR="0027007E" w:rsidRPr="0027007E" w:rsidRDefault="0027007E" w:rsidP="0027007E">
      <w:pPr>
        <w:spacing w:after="0" w:line="240" w:lineRule="auto"/>
        <w:ind w:left="2160" w:right="96" w:hanging="2160"/>
        <w:jc w:val="center"/>
        <w:rPr>
          <w:rFonts w:ascii="Verdana" w:eastAsia="MS Mincho" w:hAnsi="Verdana" w:cs="Times New Roman"/>
          <w:b/>
          <w:sz w:val="20"/>
          <w:szCs w:val="20"/>
          <w:lang w:val="es-ES_tradnl" w:eastAsia="es-ES"/>
        </w:rPr>
      </w:pPr>
      <w:r w:rsidRPr="0027007E">
        <w:rPr>
          <w:rFonts w:ascii="Verdana" w:eastAsia="MS Mincho" w:hAnsi="Verdana" w:cs="Times New Roman"/>
          <w:b/>
          <w:sz w:val="20"/>
          <w:szCs w:val="20"/>
          <w:lang w:val="es-ES_tradnl" w:eastAsia="es-ES"/>
        </w:rPr>
        <w:t xml:space="preserve">VOTO CONCURRENTE Y PARCIALMENTE DISIDENTE DEL </w:t>
      </w:r>
    </w:p>
    <w:p w14:paraId="1659F159" w14:textId="77777777" w:rsidR="0027007E" w:rsidRPr="0027007E" w:rsidRDefault="0027007E" w:rsidP="0027007E">
      <w:pPr>
        <w:spacing w:after="0" w:line="240" w:lineRule="auto"/>
        <w:ind w:left="2160" w:right="96" w:hanging="2160"/>
        <w:jc w:val="center"/>
        <w:rPr>
          <w:rFonts w:ascii="Verdana" w:eastAsia="MS Mincho" w:hAnsi="Verdana" w:cs="Times New Roman"/>
          <w:b/>
          <w:sz w:val="20"/>
          <w:szCs w:val="20"/>
          <w:lang w:val="es-ES_tradnl" w:eastAsia="es-ES"/>
        </w:rPr>
      </w:pPr>
      <w:r w:rsidRPr="0027007E">
        <w:rPr>
          <w:rFonts w:ascii="Verdana" w:eastAsia="MS Mincho" w:hAnsi="Verdana" w:cs="Times New Roman"/>
          <w:b/>
          <w:sz w:val="20"/>
          <w:szCs w:val="20"/>
          <w:lang w:val="es-ES_tradnl" w:eastAsia="es-ES"/>
        </w:rPr>
        <w:t>JUEZ EDUARDO FERRER MAC-GREGOR POISOT</w:t>
      </w:r>
    </w:p>
    <w:p w14:paraId="138C9670" w14:textId="77777777" w:rsidR="0027007E" w:rsidRPr="0027007E" w:rsidRDefault="0027007E" w:rsidP="0027007E">
      <w:pPr>
        <w:spacing w:after="0" w:line="240" w:lineRule="auto"/>
        <w:jc w:val="center"/>
        <w:rPr>
          <w:rFonts w:ascii="Verdana" w:eastAsia="MS Mincho" w:hAnsi="Verdana" w:cs="Times New Roman"/>
          <w:b/>
          <w:i/>
          <w:sz w:val="20"/>
          <w:szCs w:val="20"/>
          <w:lang w:val="es-ES_tradnl" w:eastAsia="es-ES"/>
        </w:rPr>
      </w:pPr>
    </w:p>
    <w:p w14:paraId="1373F585" w14:textId="77777777" w:rsidR="0027007E" w:rsidRPr="0027007E" w:rsidRDefault="0027007E" w:rsidP="0027007E">
      <w:pPr>
        <w:spacing w:after="0" w:line="240" w:lineRule="auto"/>
        <w:jc w:val="center"/>
        <w:rPr>
          <w:rFonts w:ascii="Verdana" w:eastAsia="MS Mincho" w:hAnsi="Verdana" w:cs="Times New Roman"/>
          <w:b/>
          <w:i/>
          <w:sz w:val="20"/>
          <w:szCs w:val="20"/>
          <w:u w:val="single"/>
          <w:lang w:val="es-ES_tradnl" w:eastAsia="es-ES"/>
        </w:rPr>
      </w:pPr>
      <w:r w:rsidRPr="0027007E">
        <w:rPr>
          <w:rFonts w:ascii="Verdana" w:eastAsia="MS Mincho" w:hAnsi="Verdana" w:cs="Times New Roman"/>
          <w:b/>
          <w:i/>
          <w:sz w:val="20"/>
          <w:szCs w:val="20"/>
          <w:u w:val="single"/>
          <w:lang w:val="es-ES_tradnl" w:eastAsia="es-ES"/>
        </w:rPr>
        <w:t xml:space="preserve">CASO SAN MIGUEL SOSA Y OTRAS VS. VENEZUELA </w:t>
      </w:r>
    </w:p>
    <w:p w14:paraId="629EB6F2" w14:textId="77777777" w:rsidR="0027007E" w:rsidRPr="0027007E" w:rsidRDefault="0027007E" w:rsidP="0027007E">
      <w:pPr>
        <w:spacing w:after="0" w:line="240" w:lineRule="auto"/>
        <w:jc w:val="center"/>
        <w:rPr>
          <w:rFonts w:ascii="Verdana" w:eastAsia="MS Mincho" w:hAnsi="Verdana" w:cs="Times New Roman"/>
          <w:b/>
          <w:i/>
          <w:sz w:val="20"/>
          <w:szCs w:val="20"/>
          <w:lang w:val="es-ES_tradnl" w:eastAsia="es-ES"/>
        </w:rPr>
      </w:pPr>
    </w:p>
    <w:p w14:paraId="7DDD54A0" w14:textId="77777777" w:rsidR="0027007E" w:rsidRPr="0027007E" w:rsidRDefault="0027007E" w:rsidP="0027007E">
      <w:pPr>
        <w:spacing w:after="0" w:line="240" w:lineRule="auto"/>
        <w:jc w:val="center"/>
        <w:rPr>
          <w:rFonts w:ascii="Verdana" w:eastAsia="MS Mincho" w:hAnsi="Verdana" w:cs="Times New Roman"/>
          <w:b/>
          <w:sz w:val="20"/>
          <w:szCs w:val="20"/>
          <w:lang w:val="es-ES_tradnl" w:eastAsia="es-ES"/>
        </w:rPr>
      </w:pPr>
      <w:r w:rsidRPr="0027007E">
        <w:rPr>
          <w:rFonts w:ascii="Verdana" w:eastAsia="MS Mincho" w:hAnsi="Verdana" w:cs="Times New Roman"/>
          <w:b/>
          <w:sz w:val="20"/>
          <w:szCs w:val="20"/>
          <w:lang w:val="es-ES_tradnl" w:eastAsia="es-ES"/>
        </w:rPr>
        <w:t>SENTENCIA DE 8 DE FEBRERO DE 2018</w:t>
      </w:r>
    </w:p>
    <w:p w14:paraId="2F0481DA" w14:textId="77777777" w:rsidR="0027007E" w:rsidRPr="0027007E" w:rsidRDefault="0027007E" w:rsidP="0027007E">
      <w:pPr>
        <w:numPr>
          <w:ilvl w:val="1"/>
          <w:numId w:val="0"/>
        </w:numPr>
        <w:spacing w:after="0" w:line="240" w:lineRule="auto"/>
        <w:ind w:left="-142" w:right="-138"/>
        <w:jc w:val="center"/>
        <w:rPr>
          <w:rFonts w:ascii="Verdana" w:eastAsia="Times New Roman" w:hAnsi="Verdana" w:cs="Times New Roman"/>
          <w:b/>
          <w:i/>
          <w:iCs/>
          <w:spacing w:val="15"/>
          <w:sz w:val="20"/>
          <w:szCs w:val="20"/>
          <w:lang w:val="es-ES_tradnl"/>
        </w:rPr>
      </w:pPr>
      <w:r w:rsidRPr="0027007E">
        <w:rPr>
          <w:rFonts w:ascii="Verdana" w:eastAsia="Times New Roman" w:hAnsi="Verdana" w:cs="Times New Roman"/>
          <w:b/>
          <w:i/>
          <w:iCs/>
          <w:spacing w:val="15"/>
          <w:sz w:val="20"/>
          <w:szCs w:val="20"/>
          <w:lang w:val="es-ES_tradnl"/>
        </w:rPr>
        <w:t>(Fondo, Reparaciones y Costas)</w:t>
      </w:r>
    </w:p>
    <w:p w14:paraId="5AF6481C" w14:textId="77777777" w:rsidR="0027007E" w:rsidRPr="0027007E" w:rsidRDefault="0027007E" w:rsidP="0027007E">
      <w:pPr>
        <w:spacing w:after="0" w:line="240" w:lineRule="auto"/>
        <w:rPr>
          <w:rFonts w:ascii="Verdana" w:eastAsia="MS Mincho" w:hAnsi="Verdana" w:cs="Times New Roman"/>
          <w:sz w:val="20"/>
          <w:szCs w:val="20"/>
          <w:lang w:val="es-ES_tradnl" w:eastAsia="es-ES"/>
        </w:rPr>
      </w:pPr>
    </w:p>
    <w:p w14:paraId="353931B0" w14:textId="77777777" w:rsidR="0027007E" w:rsidRPr="0027007E" w:rsidRDefault="0027007E" w:rsidP="0027007E">
      <w:pPr>
        <w:spacing w:after="0" w:line="240" w:lineRule="auto"/>
        <w:rPr>
          <w:rFonts w:ascii="Verdana" w:eastAsia="MS Mincho" w:hAnsi="Verdana" w:cs="Times New Roman"/>
          <w:sz w:val="20"/>
          <w:szCs w:val="20"/>
          <w:lang w:val="es-ES_tradnl" w:eastAsia="es-ES"/>
        </w:rPr>
      </w:pPr>
    </w:p>
    <w:p w14:paraId="6E340CC5" w14:textId="77777777" w:rsidR="0027007E" w:rsidRPr="0027007E" w:rsidRDefault="0027007E" w:rsidP="0027007E">
      <w:pPr>
        <w:spacing w:after="0" w:line="240" w:lineRule="auto"/>
        <w:jc w:val="center"/>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INTRODUCCIÓN </w:t>
      </w:r>
    </w:p>
    <w:p w14:paraId="5DDAC79E" w14:textId="77777777" w:rsidR="0027007E" w:rsidRPr="0027007E" w:rsidRDefault="0027007E" w:rsidP="0027007E">
      <w:pPr>
        <w:spacing w:after="0" w:line="240" w:lineRule="auto"/>
        <w:rPr>
          <w:rFonts w:ascii="Verdana" w:eastAsia="MS Mincho" w:hAnsi="Verdana" w:cs="Times New Roman"/>
          <w:b/>
          <w:sz w:val="20"/>
          <w:szCs w:val="20"/>
          <w:lang w:val="es-ES_tradnl" w:eastAsia="es-ES"/>
        </w:rPr>
      </w:pPr>
    </w:p>
    <w:p w14:paraId="2D28E160"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b/>
          <w:sz w:val="20"/>
          <w:szCs w:val="20"/>
          <w:lang w:val="es-ES_tradnl" w:eastAsia="es-ES"/>
        </w:rPr>
      </w:pPr>
      <w:r w:rsidRPr="0027007E">
        <w:rPr>
          <w:rFonts w:ascii="Verdana" w:eastAsia="MS Mincho" w:hAnsi="Verdana" w:cs="Times New Roman"/>
          <w:sz w:val="20"/>
          <w:szCs w:val="20"/>
          <w:lang w:val="es-ES_tradnl" w:eastAsia="es-ES"/>
        </w:rPr>
        <w:t xml:space="preserve">El caso </w:t>
      </w:r>
      <w:r w:rsidRPr="0027007E">
        <w:rPr>
          <w:rFonts w:ascii="Verdana" w:eastAsia="MS Mincho" w:hAnsi="Verdana" w:cs="Times New Roman"/>
          <w:i/>
          <w:sz w:val="20"/>
          <w:szCs w:val="20"/>
          <w:lang w:val="es-ES_tradnl" w:eastAsia="es-ES"/>
        </w:rPr>
        <w:t xml:space="preserve">San Miguel Sosa y otras Vs. Venezuela </w:t>
      </w:r>
      <w:r w:rsidRPr="0027007E">
        <w:rPr>
          <w:rFonts w:ascii="Verdana" w:eastAsia="MS Mincho" w:hAnsi="Verdana" w:cs="Times New Roman"/>
          <w:sz w:val="20"/>
          <w:szCs w:val="20"/>
          <w:lang w:val="es-ES_tradnl" w:eastAsia="es-ES"/>
        </w:rPr>
        <w:t xml:space="preserve">(en adelante “la Sentencia”) constituye un aporte fundamental en la jurisprudencia interamericana en relación con los derechos económicos, sociales, culturales y ambientales (en adelante “los derechos sociales” o “los DESCA”). En efecto, con este caso se va consolidando una línea jurisprudencial sobre la protección de las personas en contextos laborales. Así, junto con las sentencias en los casos </w:t>
      </w:r>
      <w:r w:rsidRPr="0027007E">
        <w:rPr>
          <w:rFonts w:ascii="Verdana" w:eastAsia="MS Mincho" w:hAnsi="Verdana" w:cs="Times New Roman"/>
          <w:i/>
          <w:sz w:val="20"/>
          <w:szCs w:val="20"/>
          <w:lang w:val="es-ES_tradnl" w:eastAsia="es-ES"/>
        </w:rPr>
        <w:t>Lagos del Campo</w:t>
      </w:r>
      <w:r w:rsidRPr="0027007E">
        <w:rPr>
          <w:rFonts w:ascii="Verdana" w:eastAsia="MS Mincho" w:hAnsi="Verdana" w:cs="Times New Roman"/>
          <w:i/>
          <w:sz w:val="20"/>
          <w:szCs w:val="20"/>
          <w:vertAlign w:val="superscript"/>
          <w:lang w:val="es-ES_tradnl" w:eastAsia="es-ES"/>
        </w:rPr>
        <w:footnoteReference w:id="297"/>
      </w:r>
      <w:r w:rsidRPr="0027007E">
        <w:rPr>
          <w:rFonts w:ascii="Verdana" w:eastAsia="MS Mincho" w:hAnsi="Verdana" w:cs="Times New Roman"/>
          <w:sz w:val="20"/>
          <w:szCs w:val="20"/>
          <w:lang w:val="es-ES_tradnl" w:eastAsia="es-ES"/>
        </w:rPr>
        <w:t xml:space="preserve"> y </w:t>
      </w:r>
      <w:r w:rsidRPr="0027007E">
        <w:rPr>
          <w:rFonts w:ascii="Verdana" w:eastAsia="MS Mincho" w:hAnsi="Verdana" w:cs="Times New Roman"/>
          <w:i/>
          <w:sz w:val="20"/>
          <w:szCs w:val="20"/>
          <w:lang w:val="es-ES_tradnl" w:eastAsia="es-ES"/>
        </w:rPr>
        <w:t>Trabajadores Cesados del Petroperú y otros</w:t>
      </w:r>
      <w:r w:rsidRPr="0027007E">
        <w:rPr>
          <w:rFonts w:ascii="Verdana" w:eastAsia="MS Mincho" w:hAnsi="Verdana" w:cs="Times New Roman"/>
          <w:i/>
          <w:sz w:val="20"/>
          <w:szCs w:val="20"/>
          <w:vertAlign w:val="superscript"/>
          <w:lang w:val="es-ES_tradnl" w:eastAsia="es-ES"/>
        </w:rPr>
        <w:footnoteReference w:id="298"/>
      </w:r>
      <w:r w:rsidRPr="0027007E">
        <w:rPr>
          <w:rFonts w:ascii="Verdana" w:eastAsia="MS Mincho" w:hAnsi="Verdana" w:cs="Times New Roman"/>
          <w:i/>
          <w:sz w:val="20"/>
          <w:szCs w:val="20"/>
          <w:lang w:val="es-ES_tradnl" w:eastAsia="es-ES"/>
        </w:rPr>
        <w:t xml:space="preserve">, </w:t>
      </w:r>
      <w:r w:rsidRPr="0027007E">
        <w:rPr>
          <w:rFonts w:ascii="Verdana" w:eastAsia="MS Mincho" w:hAnsi="Verdana" w:cs="Times New Roman"/>
          <w:sz w:val="20"/>
          <w:szCs w:val="20"/>
          <w:lang w:val="es-ES_tradnl" w:eastAsia="es-ES"/>
        </w:rPr>
        <w:t xml:space="preserve">se erige una triada de fallos que han permitido explorar los alcances del artículo 26 de la Convención Americana sobre Derechos Humanos (en adelante “la Convención Americana” o “el Pacto de San José”). </w:t>
      </w:r>
    </w:p>
    <w:p w14:paraId="145AE5B6" w14:textId="77777777" w:rsidR="0027007E" w:rsidRPr="0027007E" w:rsidRDefault="0027007E" w:rsidP="0027007E">
      <w:pPr>
        <w:spacing w:after="0" w:line="240" w:lineRule="auto"/>
        <w:contextualSpacing/>
        <w:jc w:val="both"/>
        <w:rPr>
          <w:rFonts w:ascii="Verdana" w:eastAsia="MS Mincho" w:hAnsi="Verdana" w:cs="Times New Roman"/>
          <w:b/>
          <w:sz w:val="20"/>
          <w:szCs w:val="20"/>
          <w:lang w:val="es-ES_tradnl" w:eastAsia="es-ES"/>
        </w:rPr>
      </w:pPr>
    </w:p>
    <w:p w14:paraId="7E2B35AE"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el presente caso, la Corte Interamericana de Derechos Humanos (en adelante “la Corte Interamericana”, “el Tribunal Interamericano” o “ la Corte IDH”) determinó que “</w:t>
      </w:r>
      <w:r w:rsidRPr="0027007E">
        <w:rPr>
          <w:rFonts w:ascii="Verdana" w:eastAsia="MS Mincho" w:hAnsi="Verdana" w:cs="Times New Roman"/>
          <w:sz w:val="20"/>
          <w:szCs w:val="20"/>
          <w:u w:val="single"/>
          <w:lang w:val="es-ES_tradnl" w:eastAsia="es-ES"/>
        </w:rPr>
        <w:t>la terminación arbitraria de la relación laboral</w:t>
      </w:r>
      <w:r w:rsidRPr="0027007E">
        <w:rPr>
          <w:rFonts w:ascii="Verdana" w:eastAsia="MS Mincho" w:hAnsi="Verdana" w:cs="Times New Roman"/>
          <w:sz w:val="20"/>
          <w:szCs w:val="20"/>
          <w:lang w:val="es-ES_tradnl" w:eastAsia="es-ES"/>
        </w:rPr>
        <w:t xml:space="preserve"> de las presuntas víctimas con el Consejo Nacional de Fronteras </w:t>
      </w:r>
      <w:r w:rsidRPr="0027007E">
        <w:rPr>
          <w:rFonts w:ascii="Verdana" w:eastAsia="MS Mincho" w:hAnsi="Verdana" w:cs="Times New Roman"/>
          <w:sz w:val="20"/>
          <w:szCs w:val="20"/>
          <w:u w:val="single"/>
          <w:lang w:val="es-ES_tradnl" w:eastAsia="es-ES"/>
        </w:rPr>
        <w:t>constituyó una forma de desviación de poder, pues se utilizó una cláusula establecida en su contrato como velo de legalidad para encubrir la verdadera finalidad de tal medida, a saber: una represalia en su contra por haber ejercido legítimamente sus derechos de participación política y libertad de expresión</w:t>
      </w:r>
      <w:r w:rsidRPr="0027007E">
        <w:rPr>
          <w:rFonts w:ascii="Verdana" w:eastAsia="MS Mincho" w:hAnsi="Verdana" w:cs="Times New Roman"/>
          <w:sz w:val="20"/>
          <w:szCs w:val="20"/>
          <w:lang w:val="es-ES_tradnl" w:eastAsia="es-ES"/>
        </w:rPr>
        <w:t xml:space="preserve">. </w:t>
      </w:r>
      <w:r w:rsidRPr="0027007E">
        <w:rPr>
          <w:rFonts w:ascii="Verdana" w:eastAsia="MS Mincho" w:hAnsi="Verdana" w:cs="Times New Roman"/>
          <w:spacing w:val="-3"/>
          <w:sz w:val="20"/>
          <w:szCs w:val="20"/>
          <w:lang w:val="es-ES_tradnl" w:eastAsia="es-ES"/>
        </w:rPr>
        <w:t xml:space="preserve">Es decir, ellas </w:t>
      </w:r>
      <w:r w:rsidRPr="0027007E">
        <w:rPr>
          <w:rFonts w:ascii="Verdana" w:eastAsia="MS Mincho" w:hAnsi="Verdana" w:cs="Times New Roman"/>
          <w:spacing w:val="-3"/>
          <w:sz w:val="20"/>
          <w:szCs w:val="20"/>
          <w:u w:val="single"/>
          <w:lang w:val="es-ES_tradnl" w:eastAsia="es-ES"/>
        </w:rPr>
        <w:t>fueron objeto de discriminación política mediante un despido arbitrario, el cual ocurrió en un contexto de denuncias de despidos semejantes y de otras formas de represalia para quienes habían decidido ejercer sus libertades al firmar por la solicitud de referendo</w:t>
      </w:r>
      <w:r w:rsidRPr="0027007E">
        <w:rPr>
          <w:rFonts w:ascii="Verdana" w:eastAsia="MS Mincho" w:hAnsi="Verdana" w:cs="Times New Roman"/>
          <w:spacing w:val="-3"/>
          <w:sz w:val="20"/>
          <w:szCs w:val="20"/>
          <w:lang w:val="es-ES_tradnl" w:eastAsia="es-ES"/>
        </w:rPr>
        <w:t xml:space="preserve">. Así, </w:t>
      </w:r>
      <w:r w:rsidRPr="0027007E">
        <w:rPr>
          <w:rFonts w:ascii="Verdana" w:eastAsia="MS Mincho" w:hAnsi="Verdana" w:cs="Times New Roman"/>
          <w:spacing w:val="-3"/>
          <w:sz w:val="20"/>
          <w:szCs w:val="20"/>
          <w:u w:val="single"/>
          <w:lang w:val="es-ES_tradnl" w:eastAsia="es-ES"/>
        </w:rPr>
        <w:t>su despido tenía la intención encubierta de acallar y desincentivar la disidencia política,</w:t>
      </w:r>
      <w:r w:rsidRPr="0027007E">
        <w:rPr>
          <w:rFonts w:ascii="Verdana" w:eastAsia="MS Mincho" w:hAnsi="Verdana" w:cs="Times New Roman"/>
          <w:spacing w:val="-3"/>
          <w:sz w:val="20"/>
          <w:szCs w:val="20"/>
          <w:lang w:val="es-ES_tradnl" w:eastAsia="es-ES"/>
        </w:rPr>
        <w:t xml:space="preserve"> pues fue instrumentalizado para que otras personas se vieran amedrentadas de participar políticamente y de expresar sus ideas y opiniones. Además de lo anterior, </w:t>
      </w:r>
      <w:r w:rsidRPr="0027007E">
        <w:rPr>
          <w:rFonts w:ascii="Verdana" w:eastAsia="Cambria" w:hAnsi="Verdana" w:cs="Cambria"/>
          <w:color w:val="000000"/>
          <w:sz w:val="20"/>
          <w:szCs w:val="20"/>
          <w:u w:color="000000"/>
          <w:lang w:val="es-ES_tradnl" w:eastAsia="es-ES"/>
        </w:rPr>
        <w:t xml:space="preserve">este Tribunal ha considerado que el derecho al </w:t>
      </w:r>
      <w:r w:rsidRPr="0027007E">
        <w:rPr>
          <w:rFonts w:ascii="Verdana" w:eastAsia="MS Mincho" w:hAnsi="Verdana" w:cs="Times New Roman"/>
          <w:bCs/>
          <w:color w:val="000000"/>
          <w:sz w:val="20"/>
          <w:szCs w:val="20"/>
          <w:lang w:val="es-ES_tradnl" w:eastAsia="es-ES"/>
        </w:rPr>
        <w:t>trabajo</w:t>
      </w:r>
      <w:r w:rsidRPr="0027007E">
        <w:rPr>
          <w:rFonts w:ascii="Verdana" w:eastAsia="Cambria" w:hAnsi="Verdana" w:cs="Cambria"/>
          <w:color w:val="000000"/>
          <w:sz w:val="20"/>
          <w:szCs w:val="20"/>
          <w:u w:color="000000"/>
          <w:lang w:val="es-ES_tradnl" w:eastAsia="es-ES"/>
        </w:rPr>
        <w:t xml:space="preserve"> incluye la obligación del Estado de garantizar los derechos de acceso a la justicia y a la tutela judicial efectiva, tanto en el ámbito público como en el ámbito privado de las relaciones laborales”</w:t>
      </w:r>
      <w:r w:rsidRPr="0027007E">
        <w:rPr>
          <w:rFonts w:ascii="Verdana" w:eastAsia="Cambria" w:hAnsi="Verdana" w:cs="Cambria"/>
          <w:color w:val="000000"/>
          <w:sz w:val="20"/>
          <w:szCs w:val="20"/>
          <w:u w:color="000000"/>
          <w:vertAlign w:val="superscript"/>
          <w:lang w:val="es-ES_tradnl" w:eastAsia="es-ES"/>
        </w:rPr>
        <w:footnoteReference w:id="299"/>
      </w:r>
      <w:r w:rsidRPr="0027007E">
        <w:rPr>
          <w:rFonts w:ascii="Verdana" w:eastAsia="Cambria" w:hAnsi="Verdana" w:cs="Cambria"/>
          <w:color w:val="000000"/>
          <w:sz w:val="20"/>
          <w:szCs w:val="20"/>
          <w:u w:color="000000"/>
          <w:lang w:val="es-ES_tradnl" w:eastAsia="es-ES"/>
        </w:rPr>
        <w:t xml:space="preserve"> (subrayado añadido).</w:t>
      </w:r>
    </w:p>
    <w:p w14:paraId="5AB747C0" w14:textId="77777777" w:rsidR="0027007E" w:rsidRPr="0027007E" w:rsidRDefault="0027007E" w:rsidP="0027007E">
      <w:pPr>
        <w:spacing w:after="0" w:line="240" w:lineRule="auto"/>
        <w:contextualSpacing/>
        <w:jc w:val="both"/>
        <w:rPr>
          <w:rFonts w:ascii="Verdana" w:eastAsia="MS Mincho" w:hAnsi="Verdana" w:cs="Times New Roman"/>
          <w:b/>
          <w:sz w:val="20"/>
          <w:szCs w:val="20"/>
          <w:lang w:val="es-ES_tradnl" w:eastAsia="es-ES"/>
        </w:rPr>
      </w:pPr>
    </w:p>
    <w:p w14:paraId="44486E09"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Teniendo en cuenta lo anterior, emito el presente Voto individual por dos razones. En primer lugar, para fundamentar los motivos por las cuales considero evidente la violación al </w:t>
      </w:r>
      <w:r w:rsidRPr="0027007E">
        <w:rPr>
          <w:rFonts w:ascii="Verdana" w:eastAsia="MS Mincho" w:hAnsi="Verdana" w:cs="Times New Roman"/>
          <w:sz w:val="20"/>
          <w:szCs w:val="20"/>
          <w:lang w:val="es-ES_tradnl" w:eastAsia="es-ES"/>
        </w:rPr>
        <w:lastRenderedPageBreak/>
        <w:t xml:space="preserve">derecho al trabajo en el presente caso, teniendo en consideración que todas las violaciones declaradas en la Sentencia provienen de un mismo hecho generador: “la terminación arbitraria de la relación laboral” de las víctimas. Asimismo, para explicitar algunas particularidades del presente caso, que han hecho de la protección del derecho al trabajo un derecho en expansión en diferentes supuestos y contextos de la relación laboral. </w:t>
      </w:r>
    </w:p>
    <w:p w14:paraId="29B22E94"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33B1BF67"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segundo lugar, formulo el presente Voto para expresar, respetuosamente, mi disidencia en relación al criterio mayoritario, relativo a la no violación del derecho a las garantías judiciales, específicamente del derecho a ser oído por un juez independiente, previsto en el artículo 8.1 de la Convención Americana —Resolutivo 7 de la Sentencia</w:t>
      </w:r>
      <w:r w:rsidRPr="0027007E">
        <w:rPr>
          <w:rFonts w:ascii="Verdana" w:eastAsia="MS Mincho" w:hAnsi="Verdana" w:cs="Times New Roman"/>
          <w:sz w:val="20"/>
          <w:szCs w:val="20"/>
          <w:vertAlign w:val="superscript"/>
          <w:lang w:val="es-ES_tradnl" w:eastAsia="es-ES"/>
        </w:rPr>
        <w:footnoteReference w:id="300"/>
      </w:r>
      <w:r w:rsidRPr="0027007E">
        <w:rPr>
          <w:rFonts w:ascii="Verdana" w:eastAsia="MS Mincho" w:hAnsi="Verdana" w:cs="Times New Roman"/>
          <w:sz w:val="20"/>
          <w:szCs w:val="20"/>
          <w:lang w:val="es-ES_tradnl" w:eastAsia="es-ES"/>
        </w:rPr>
        <w:t>—. Lo anterior, teniendo en consideración la “desviación de poder” declarada en la Sentencia, a la luz del contexto y hechos probados del caso y frente a los argumentos vertidos por los representantes de las víctimas</w:t>
      </w:r>
      <w:r w:rsidRPr="0027007E">
        <w:rPr>
          <w:rFonts w:ascii="Verdana" w:eastAsia="MS Mincho" w:hAnsi="Verdana" w:cs="Times New Roman"/>
          <w:sz w:val="20"/>
          <w:szCs w:val="20"/>
          <w:vertAlign w:val="superscript"/>
          <w:lang w:val="es-ES_tradnl" w:eastAsia="es-ES"/>
        </w:rPr>
        <w:footnoteReference w:id="301"/>
      </w:r>
      <w:r w:rsidRPr="0027007E">
        <w:rPr>
          <w:rFonts w:ascii="Verdana" w:eastAsia="MS Mincho" w:hAnsi="Verdana" w:cs="Times New Roman"/>
          <w:sz w:val="20"/>
          <w:szCs w:val="20"/>
          <w:lang w:val="es-ES_tradnl" w:eastAsia="es-ES"/>
        </w:rPr>
        <w:t xml:space="preserve">. </w:t>
      </w:r>
    </w:p>
    <w:p w14:paraId="4508B1E0"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799CC7F2"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Para una mayor claridad, abordaré por separado ambos aspectos: I. El derecho al trabajo como derecho protegido por la Convención Americana mediante el artículo 26 y sus particularidades en el presente caso (</w:t>
      </w:r>
      <w:r w:rsidRPr="0027007E">
        <w:rPr>
          <w:rFonts w:ascii="Verdana" w:eastAsia="MS Mincho" w:hAnsi="Verdana" w:cs="Times New Roman"/>
          <w:i/>
          <w:sz w:val="20"/>
          <w:szCs w:val="20"/>
          <w:u w:val="single"/>
          <w:lang w:val="es-ES_tradnl" w:eastAsia="es-ES"/>
        </w:rPr>
        <w:t>párr. 6 a 42</w:t>
      </w:r>
      <w:r w:rsidRPr="0027007E">
        <w:rPr>
          <w:rFonts w:ascii="Verdana" w:eastAsia="MS Mincho" w:hAnsi="Verdana" w:cs="Times New Roman"/>
          <w:sz w:val="20"/>
          <w:szCs w:val="20"/>
          <w:lang w:val="es-ES_tradnl" w:eastAsia="es-ES"/>
        </w:rPr>
        <w:t>); y II. La independencia judicial como parte de las garantías judiciales y del acceso a la justicia, a la luz del contexto del presente caso y la “desviación de poder” declarada en la Sentencia (</w:t>
      </w:r>
      <w:proofErr w:type="spellStart"/>
      <w:r w:rsidRPr="0027007E">
        <w:rPr>
          <w:rFonts w:ascii="Verdana" w:eastAsia="MS Mincho" w:hAnsi="Verdana" w:cs="Times New Roman"/>
          <w:i/>
          <w:sz w:val="20"/>
          <w:szCs w:val="20"/>
          <w:u w:val="single"/>
          <w:lang w:val="es-ES_tradnl" w:eastAsia="es-ES"/>
        </w:rPr>
        <w:t>párrs</w:t>
      </w:r>
      <w:proofErr w:type="spellEnd"/>
      <w:r w:rsidRPr="0027007E">
        <w:rPr>
          <w:rFonts w:ascii="Verdana" w:eastAsia="MS Mincho" w:hAnsi="Verdana" w:cs="Times New Roman"/>
          <w:i/>
          <w:sz w:val="20"/>
          <w:szCs w:val="20"/>
          <w:u w:val="single"/>
          <w:lang w:val="es-ES_tradnl" w:eastAsia="es-ES"/>
        </w:rPr>
        <w:t>. 43 a 58</w:t>
      </w:r>
      <w:r w:rsidRPr="0027007E">
        <w:rPr>
          <w:rFonts w:ascii="Verdana" w:eastAsia="MS Mincho" w:hAnsi="Verdana" w:cs="Times New Roman"/>
          <w:sz w:val="20"/>
          <w:szCs w:val="20"/>
          <w:lang w:val="es-ES_tradnl" w:eastAsia="es-ES"/>
        </w:rPr>
        <w:t xml:space="preserve">). </w:t>
      </w:r>
    </w:p>
    <w:p w14:paraId="0EAF8C7F"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7FADA818"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44169741" w14:textId="77777777" w:rsidR="0027007E" w:rsidRPr="0027007E" w:rsidRDefault="0027007E" w:rsidP="0027007E">
      <w:pPr>
        <w:spacing w:after="0" w:line="240" w:lineRule="auto"/>
        <w:jc w:val="center"/>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I. EL DERECHO AL TRABAJO COMO DERECHO PROTEGIDO POR LA CONVENCIÓN AMERICANA MEDIANTE EL ARTÍCULO 26 Y SUS PARTICULARIDADES EN EL PRESENTE CASO</w:t>
      </w:r>
    </w:p>
    <w:p w14:paraId="31B58017" w14:textId="77777777" w:rsidR="0027007E" w:rsidRPr="0027007E" w:rsidRDefault="0027007E" w:rsidP="0027007E">
      <w:pPr>
        <w:spacing w:after="0" w:line="240" w:lineRule="auto"/>
        <w:rPr>
          <w:rFonts w:ascii="Verdana" w:eastAsia="MS Mincho" w:hAnsi="Verdana" w:cs="Times New Roman"/>
          <w:b/>
          <w:sz w:val="20"/>
          <w:szCs w:val="20"/>
          <w:lang w:val="es-ES_tradnl" w:eastAsia="es-ES"/>
        </w:rPr>
      </w:pPr>
    </w:p>
    <w:p w14:paraId="1AFFC647" w14:textId="77777777" w:rsidR="0027007E" w:rsidRPr="0027007E" w:rsidRDefault="0027007E" w:rsidP="0027007E">
      <w:pPr>
        <w:spacing w:after="0" w:line="240" w:lineRule="auto"/>
        <w:rPr>
          <w:rFonts w:ascii="Verdana" w:eastAsia="MS Mincho" w:hAnsi="Verdana" w:cs="Times New Roman"/>
          <w:b/>
          <w:sz w:val="20"/>
          <w:szCs w:val="20"/>
          <w:lang w:val="es-ES_tradnl" w:eastAsia="es-ES"/>
        </w:rPr>
      </w:pPr>
    </w:p>
    <w:p w14:paraId="6166560D" w14:textId="77777777" w:rsidR="0027007E" w:rsidRPr="0027007E" w:rsidRDefault="0027007E" w:rsidP="0027007E">
      <w:pPr>
        <w:spacing w:after="0" w:line="240" w:lineRule="auto"/>
        <w:rPr>
          <w:rFonts w:ascii="Verdana" w:eastAsia="MS Mincho" w:hAnsi="Verdana" w:cs="Times New Roman"/>
          <w:i/>
          <w:sz w:val="20"/>
          <w:szCs w:val="20"/>
          <w:u w:val="single"/>
          <w:lang w:val="es-ES_tradnl" w:eastAsia="es-ES"/>
        </w:rPr>
      </w:pPr>
      <w:r w:rsidRPr="0027007E">
        <w:rPr>
          <w:rFonts w:ascii="Verdana" w:eastAsia="MS Mincho" w:hAnsi="Verdana" w:cs="Times New Roman"/>
          <w:i/>
          <w:sz w:val="20"/>
          <w:szCs w:val="20"/>
          <w:u w:val="single"/>
          <w:lang w:val="es-ES_tradnl" w:eastAsia="es-ES"/>
        </w:rPr>
        <w:t>A. El derecho al trabajo como derecho autónomo</w:t>
      </w:r>
    </w:p>
    <w:p w14:paraId="2E001CC5"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555C888F"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b/>
          <w:sz w:val="20"/>
          <w:szCs w:val="20"/>
          <w:lang w:val="es-ES_tradnl" w:eastAsia="es-ES"/>
        </w:rPr>
      </w:pPr>
      <w:r w:rsidRPr="0027007E">
        <w:rPr>
          <w:rFonts w:ascii="Verdana" w:eastAsia="MS Mincho" w:hAnsi="Verdana" w:cs="Times New Roman"/>
          <w:sz w:val="20"/>
          <w:szCs w:val="20"/>
          <w:lang w:val="es-ES_tradnl" w:eastAsia="es-ES"/>
        </w:rPr>
        <w:t>El Comité de Derechos Económicos, Sociales y Culturales (en adelante el “Comité DESC”) en su Observación General No. 18, ha considerado que “[e]l derecho al trabajo es un derecho fundamental, reconocido en diversos instrumentos de derecho internacional”</w:t>
      </w:r>
      <w:r w:rsidRPr="0027007E">
        <w:rPr>
          <w:rFonts w:ascii="Verdana" w:eastAsia="MS Mincho" w:hAnsi="Verdana" w:cs="Times New Roman"/>
          <w:sz w:val="20"/>
          <w:szCs w:val="20"/>
          <w:vertAlign w:val="superscript"/>
          <w:lang w:val="es-ES_tradnl" w:eastAsia="es-ES"/>
        </w:rPr>
        <w:footnoteReference w:id="302"/>
      </w:r>
      <w:r w:rsidRPr="0027007E">
        <w:rPr>
          <w:rFonts w:ascii="Verdana" w:eastAsia="MS Mincho" w:hAnsi="Verdana" w:cs="Times New Roman"/>
          <w:sz w:val="20"/>
          <w:szCs w:val="20"/>
          <w:lang w:val="es-ES_tradnl" w:eastAsia="es-ES"/>
        </w:rPr>
        <w:t xml:space="preserve">; de esta manera “[e]l derecho al trabajo es un derecho individual que pertenece a cada persona, y es a la vez un derecho </w:t>
      </w:r>
      <w:proofErr w:type="gramStart"/>
      <w:r w:rsidRPr="0027007E">
        <w:rPr>
          <w:rFonts w:ascii="Verdana" w:eastAsia="MS Mincho" w:hAnsi="Verdana" w:cs="Times New Roman"/>
          <w:sz w:val="20"/>
          <w:szCs w:val="20"/>
          <w:lang w:val="es-ES_tradnl" w:eastAsia="es-ES"/>
        </w:rPr>
        <w:t>colectivo[</w:t>
      </w:r>
      <w:proofErr w:type="gramEnd"/>
      <w:r w:rsidRPr="0027007E">
        <w:rPr>
          <w:rFonts w:ascii="Verdana" w:eastAsia="MS Mincho" w:hAnsi="Verdana" w:cs="Times New Roman"/>
          <w:sz w:val="20"/>
          <w:szCs w:val="20"/>
          <w:lang w:val="es-ES_tradnl" w:eastAsia="es-ES"/>
        </w:rPr>
        <w:t>.] El derecho al trabajo no debe entenderse como un derecho absoluto e incondicional a obtener el empleo”</w:t>
      </w:r>
      <w:r w:rsidRPr="0027007E">
        <w:rPr>
          <w:rFonts w:ascii="Verdana" w:eastAsia="MS Mincho" w:hAnsi="Verdana" w:cs="Times New Roman"/>
          <w:sz w:val="20"/>
          <w:szCs w:val="20"/>
          <w:vertAlign w:val="superscript"/>
          <w:lang w:val="es-ES_tradnl" w:eastAsia="es-ES"/>
        </w:rPr>
        <w:footnoteReference w:id="303"/>
      </w:r>
      <w:r w:rsidRPr="0027007E">
        <w:rPr>
          <w:rFonts w:ascii="Verdana" w:eastAsia="MS Mincho" w:hAnsi="Verdana" w:cs="Times New Roman"/>
          <w:sz w:val="20"/>
          <w:szCs w:val="20"/>
          <w:lang w:val="es-ES_tradnl" w:eastAsia="es-ES"/>
        </w:rPr>
        <w:t>.</w:t>
      </w:r>
      <w:r w:rsidRPr="0027007E">
        <w:rPr>
          <w:rFonts w:ascii="Verdana" w:eastAsia="MS Mincho" w:hAnsi="Verdana" w:cs="Times New Roman"/>
          <w:b/>
          <w:sz w:val="20"/>
          <w:szCs w:val="20"/>
          <w:lang w:val="es-ES_tradnl" w:eastAsia="es-ES"/>
        </w:rPr>
        <w:t xml:space="preserve"> </w:t>
      </w:r>
    </w:p>
    <w:p w14:paraId="59EFAB5E" w14:textId="77777777" w:rsidR="0027007E" w:rsidRPr="0027007E" w:rsidRDefault="0027007E" w:rsidP="0027007E">
      <w:pPr>
        <w:spacing w:after="0" w:line="240" w:lineRule="auto"/>
        <w:jc w:val="both"/>
        <w:rPr>
          <w:rFonts w:ascii="Verdana" w:eastAsia="MS Mincho" w:hAnsi="Verdana" w:cs="Times New Roman"/>
          <w:b/>
          <w:sz w:val="20"/>
          <w:szCs w:val="20"/>
          <w:lang w:val="es-ES_tradnl" w:eastAsia="es-ES"/>
        </w:rPr>
      </w:pPr>
    </w:p>
    <w:p w14:paraId="5A8E11AF"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este sentido, la Observación No. 18 también estipula —en cuanto a las obligaciones— que si bien “[l]a principal obligación de los Estados Partes es velar por la realización progresiva [,] también impone a los Estados Parte diversas obligaciones de </w:t>
      </w:r>
      <w:r w:rsidRPr="0027007E">
        <w:rPr>
          <w:rFonts w:ascii="Verdana" w:eastAsia="MS Mincho" w:hAnsi="Verdana" w:cs="Times New Roman"/>
          <w:i/>
          <w:sz w:val="20"/>
          <w:szCs w:val="20"/>
          <w:lang w:val="es-ES_tradnl" w:eastAsia="es-ES"/>
        </w:rPr>
        <w:t>efecto inmediato</w:t>
      </w:r>
      <w:r w:rsidRPr="0027007E">
        <w:rPr>
          <w:rFonts w:ascii="Verdana" w:eastAsia="MS Mincho" w:hAnsi="Verdana" w:cs="Times New Roman"/>
          <w:sz w:val="20"/>
          <w:szCs w:val="20"/>
          <w:lang w:val="es-ES_tradnl" w:eastAsia="es-ES"/>
        </w:rPr>
        <w:t xml:space="preserve"> [como] la obligación de garantizar que ese derecho sea ejercido sin </w:t>
      </w:r>
      <w:r w:rsidRPr="0027007E">
        <w:rPr>
          <w:rFonts w:ascii="Verdana" w:eastAsia="MS Mincho" w:hAnsi="Verdana" w:cs="Times New Roman"/>
          <w:sz w:val="20"/>
          <w:szCs w:val="20"/>
          <w:lang w:val="es-ES_tradnl" w:eastAsia="es-ES"/>
        </w:rPr>
        <w:lastRenderedPageBreak/>
        <w:t>discriminación alguna (párrafo 2 del artículo 2 [del Pacto Internacional de Derechos Económicos, Sociales y Culturales])”</w:t>
      </w:r>
      <w:r w:rsidRPr="0027007E">
        <w:rPr>
          <w:rFonts w:ascii="Verdana" w:eastAsia="MS Mincho" w:hAnsi="Verdana" w:cs="Times New Roman"/>
          <w:sz w:val="20"/>
          <w:szCs w:val="20"/>
          <w:vertAlign w:val="superscript"/>
          <w:lang w:val="es-ES_tradnl" w:eastAsia="es-ES"/>
        </w:rPr>
        <w:footnoteReference w:id="304"/>
      </w:r>
      <w:r w:rsidRPr="0027007E">
        <w:rPr>
          <w:rFonts w:ascii="Verdana" w:eastAsia="MS Mincho" w:hAnsi="Verdana" w:cs="Times New Roman"/>
          <w:sz w:val="20"/>
          <w:szCs w:val="20"/>
          <w:lang w:val="es-ES_tradnl" w:eastAsia="es-ES"/>
        </w:rPr>
        <w:t xml:space="preserve">. </w:t>
      </w:r>
    </w:p>
    <w:p w14:paraId="17494CEE"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7218FE9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Hay que destacar, como lo ha expresado el Comité DESC en su Observación General No. 20, que “[l]a no discriminación [es un componente fundamental] de las normas internacionales de derechos humanos y son esenciales a los efectos del goce y el ejercicio de los derechos económicos, sociales y culturales. Según el artículo 2.2 del Pacto Internacional de Derechos Económicos, Sociales y Culturales […] </w:t>
      </w:r>
      <w:r w:rsidRPr="0027007E">
        <w:rPr>
          <w:rFonts w:ascii="Verdana" w:eastAsia="MS Mincho" w:hAnsi="Verdana" w:cs="Times"/>
          <w:sz w:val="20"/>
          <w:szCs w:val="20"/>
          <w:lang w:val="es-ES_tradnl" w:eastAsia="es-ES"/>
        </w:rPr>
        <w:t>los Estados partes deben garantizar el ejercicio de los derechos [que en él se enuncian] sin discriminación alguna por motivos de […] opinión política o de otra índole […]"</w:t>
      </w:r>
      <w:r w:rsidRPr="0027007E">
        <w:rPr>
          <w:rFonts w:ascii="Verdana" w:eastAsia="MS Mincho" w:hAnsi="Verdana" w:cs="Times"/>
          <w:sz w:val="20"/>
          <w:szCs w:val="20"/>
          <w:vertAlign w:val="superscript"/>
          <w:lang w:val="es-ES_tradnl" w:eastAsia="es-ES"/>
        </w:rPr>
        <w:footnoteReference w:id="305"/>
      </w:r>
      <w:r w:rsidRPr="0027007E">
        <w:rPr>
          <w:rFonts w:ascii="Verdana" w:eastAsia="MS Mincho" w:hAnsi="Verdana" w:cs="Times"/>
          <w:sz w:val="20"/>
          <w:szCs w:val="20"/>
          <w:lang w:val="es-ES_tradnl" w:eastAsia="es-ES"/>
        </w:rPr>
        <w:t>. Así, en cuanto a esta categoría sospechosa, el Comité DESC ha expresado que “la discriminación por opiniones políticas y de otra índole “[…] incluye […] el hecho de tener y manifestar opiniones […]”</w:t>
      </w:r>
      <w:r w:rsidRPr="0027007E">
        <w:rPr>
          <w:rFonts w:ascii="Verdana" w:eastAsia="MS Mincho" w:hAnsi="Verdana" w:cs="Times"/>
          <w:sz w:val="20"/>
          <w:szCs w:val="20"/>
          <w:vertAlign w:val="superscript"/>
          <w:lang w:val="es-ES_tradnl" w:eastAsia="es-ES"/>
        </w:rPr>
        <w:footnoteReference w:id="306"/>
      </w:r>
      <w:r w:rsidRPr="0027007E">
        <w:rPr>
          <w:rFonts w:ascii="Verdana" w:eastAsia="MS Mincho" w:hAnsi="Verdana" w:cs="Times"/>
          <w:sz w:val="20"/>
          <w:szCs w:val="20"/>
          <w:lang w:val="es-ES_tradnl" w:eastAsia="es-ES"/>
        </w:rPr>
        <w:t xml:space="preserve">. </w:t>
      </w:r>
    </w:p>
    <w:p w14:paraId="43EB75D7"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3B149F88"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Complementado lo anterior, en la Observación General No. 18, el Comité DESC estimó que “[l]a prohibición de no discriminación que establece el párrafo 2 del artículo 2 del Pacto es de aplicación inmediata y no está sujeta a una aplicación progresiva ni se supedita a los recursos disponibles. </w:t>
      </w:r>
      <w:r w:rsidRPr="0027007E">
        <w:rPr>
          <w:rFonts w:ascii="Verdana" w:eastAsia="MS Mincho" w:hAnsi="Verdana" w:cs="Times New Roman"/>
          <w:i/>
          <w:sz w:val="20"/>
          <w:szCs w:val="20"/>
          <w:u w:val="single"/>
          <w:lang w:val="es-ES_tradnl" w:eastAsia="es-ES"/>
        </w:rPr>
        <w:t>Se aplica directamente a todos los aspectos del derecho al trabajo</w:t>
      </w:r>
      <w:r w:rsidRPr="0027007E">
        <w:rPr>
          <w:rFonts w:ascii="Verdana" w:eastAsia="MS Mincho" w:hAnsi="Verdana" w:cs="Times New Roman"/>
          <w:sz w:val="20"/>
          <w:szCs w:val="20"/>
          <w:lang w:val="es-ES_tradnl" w:eastAsia="es-ES"/>
        </w:rPr>
        <w:t>”</w:t>
      </w:r>
      <w:r w:rsidRPr="0027007E">
        <w:rPr>
          <w:rFonts w:ascii="Verdana" w:eastAsia="MS Mincho" w:hAnsi="Verdana" w:cs="Times New Roman"/>
          <w:sz w:val="20"/>
          <w:szCs w:val="20"/>
          <w:vertAlign w:val="superscript"/>
          <w:lang w:val="es-ES_tradnl" w:eastAsia="es-ES"/>
        </w:rPr>
        <w:footnoteReference w:id="307"/>
      </w:r>
      <w:r w:rsidRPr="0027007E">
        <w:rPr>
          <w:rFonts w:ascii="Verdana" w:eastAsia="MS Mincho" w:hAnsi="Verdana" w:cs="Times New Roman"/>
          <w:sz w:val="20"/>
          <w:szCs w:val="20"/>
          <w:lang w:val="es-ES_tradnl" w:eastAsia="es-ES"/>
        </w:rPr>
        <w:t xml:space="preserve"> (resaltado fuera de texto).</w:t>
      </w:r>
    </w:p>
    <w:p w14:paraId="213909DD"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243C148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b/>
          <w:sz w:val="20"/>
          <w:szCs w:val="20"/>
          <w:lang w:val="es-ES_tradnl" w:eastAsia="es-ES"/>
        </w:rPr>
      </w:pPr>
      <w:r w:rsidRPr="0027007E">
        <w:rPr>
          <w:rFonts w:ascii="Verdana" w:eastAsia="MS Mincho" w:hAnsi="Verdana" w:cs="Times New Roman"/>
          <w:sz w:val="20"/>
          <w:szCs w:val="20"/>
          <w:lang w:val="es-ES_tradnl" w:eastAsia="es-ES"/>
        </w:rPr>
        <w:t>Aunado a lo anterior, el Comité DESC también estimó que “[t]oda persona […] que sea víctima de una vulneración del derecho al trabajo debe tener acceso a adecuados recursos judiciales o de otra naturaleza en el plano nacional [.] Todas las víctimas de esas violaciones tienen derecho a una reparación adecuada, que puede adoptar la forma de una restitución, una indemnización, una compensación o garantías de no repetición”</w:t>
      </w:r>
      <w:r w:rsidRPr="0027007E">
        <w:rPr>
          <w:rFonts w:ascii="Verdana" w:eastAsia="MS Mincho" w:hAnsi="Verdana" w:cs="Times New Roman"/>
          <w:sz w:val="20"/>
          <w:szCs w:val="20"/>
          <w:vertAlign w:val="superscript"/>
          <w:lang w:val="es-ES_tradnl" w:eastAsia="es-ES"/>
        </w:rPr>
        <w:footnoteReference w:id="308"/>
      </w:r>
      <w:r w:rsidRPr="0027007E">
        <w:rPr>
          <w:rFonts w:ascii="Verdana" w:eastAsia="MS Mincho" w:hAnsi="Verdana" w:cs="Times New Roman"/>
          <w:sz w:val="20"/>
          <w:szCs w:val="20"/>
          <w:lang w:val="es-ES_tradnl" w:eastAsia="es-ES"/>
        </w:rPr>
        <w:t>. De igual manera, el Comité DESC ha instado “a los jueces y a otros miembros de las autoridades encargadas de hacer cumplir la ley a que presten mayor atención a las violaciones del derecho al trabajo en el ejercicio de sus funciones”</w:t>
      </w:r>
      <w:r w:rsidRPr="0027007E">
        <w:rPr>
          <w:rFonts w:ascii="Verdana" w:eastAsia="MS Mincho" w:hAnsi="Verdana" w:cs="Times New Roman"/>
          <w:sz w:val="20"/>
          <w:szCs w:val="20"/>
          <w:vertAlign w:val="superscript"/>
          <w:lang w:val="es-ES_tradnl" w:eastAsia="es-ES"/>
        </w:rPr>
        <w:footnoteReference w:id="309"/>
      </w:r>
      <w:r w:rsidRPr="0027007E">
        <w:rPr>
          <w:rFonts w:ascii="Verdana" w:eastAsia="MS Mincho" w:hAnsi="Verdana" w:cs="Times New Roman"/>
          <w:sz w:val="20"/>
          <w:szCs w:val="20"/>
          <w:lang w:val="es-ES_tradnl" w:eastAsia="es-ES"/>
        </w:rPr>
        <w:t xml:space="preserve">. </w:t>
      </w:r>
    </w:p>
    <w:p w14:paraId="2FEBCC65" w14:textId="77777777" w:rsidR="0027007E" w:rsidRPr="0027007E" w:rsidRDefault="0027007E" w:rsidP="0027007E">
      <w:pPr>
        <w:spacing w:after="0" w:line="240" w:lineRule="auto"/>
        <w:jc w:val="both"/>
        <w:rPr>
          <w:rFonts w:ascii="Verdana" w:eastAsia="MS Mincho" w:hAnsi="Verdana" w:cs="Times New Roman"/>
          <w:b/>
          <w:sz w:val="20"/>
          <w:szCs w:val="20"/>
          <w:lang w:val="es-ES_tradnl" w:eastAsia="es-ES"/>
        </w:rPr>
      </w:pPr>
    </w:p>
    <w:p w14:paraId="040CFA43"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Las consideraciones que han sido desarrolladas por el Comité DESC en sus Observaciones Generales, ahora son también recogidas en alguna medida en la jurisprudencia interamericana en relación al derecho al trabajo (y sus vertientes) como derecho autónomo; así, el Sistema Interamericano permea obligaciones concretas en lo relativo a derechos de naturaleza económica, social, cultural o ambiental. </w:t>
      </w:r>
    </w:p>
    <w:p w14:paraId="00E99F54"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1D921BD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A diferencia de la jurisprudencia tradicional de la Corte Interamericana en donde los derechos sociales se subsumían en los derechos civiles y políticos, las decisiones que en fechas recientes se han incorporado al acervo jurisprudencial del Tribunal Interamericano </w:t>
      </w:r>
      <w:r w:rsidRPr="0027007E">
        <w:rPr>
          <w:rFonts w:ascii="Verdana" w:eastAsia="MS Mincho" w:hAnsi="Verdana" w:cs="Times New Roman"/>
          <w:sz w:val="20"/>
          <w:szCs w:val="20"/>
          <w:lang w:val="es-ES_tradnl" w:eastAsia="es-ES"/>
        </w:rPr>
        <w:lastRenderedPageBreak/>
        <w:t>muestran una nueva etapa en relación a cómo son entendidos todos los derechos</w:t>
      </w:r>
      <w:r w:rsidRPr="0027007E">
        <w:rPr>
          <w:rFonts w:ascii="Verdana" w:eastAsia="MS Mincho" w:hAnsi="Verdana" w:cs="Times New Roman"/>
          <w:sz w:val="20"/>
          <w:szCs w:val="20"/>
          <w:vertAlign w:val="superscript"/>
          <w:lang w:val="es-ES_tradnl" w:eastAsia="es-ES"/>
        </w:rPr>
        <w:footnoteReference w:id="310"/>
      </w:r>
      <w:r w:rsidRPr="0027007E">
        <w:rPr>
          <w:rFonts w:ascii="Verdana" w:eastAsia="MS Mincho" w:hAnsi="Verdana" w:cs="Times New Roman"/>
          <w:sz w:val="20"/>
          <w:szCs w:val="20"/>
          <w:lang w:val="es-ES_tradnl" w:eastAsia="es-ES"/>
        </w:rPr>
        <w:t xml:space="preserve"> —sin jerarquía entre sí, indivisibles e interdependientes—; bajo este panorama el derecho al trabajo se ha erigido como un derecho autónomo que ahora puede ser justiciable (como otros derechos sociales interamericanos)</w:t>
      </w:r>
      <w:r w:rsidRPr="0027007E">
        <w:rPr>
          <w:rFonts w:ascii="Verdana" w:eastAsia="MS Mincho" w:hAnsi="Verdana" w:cs="Times New Roman"/>
          <w:sz w:val="20"/>
          <w:szCs w:val="20"/>
          <w:vertAlign w:val="superscript"/>
          <w:lang w:val="es-ES_tradnl" w:eastAsia="es-ES"/>
        </w:rPr>
        <w:footnoteReference w:id="311"/>
      </w:r>
      <w:r w:rsidRPr="0027007E">
        <w:rPr>
          <w:rFonts w:ascii="Verdana" w:eastAsia="MS Mincho" w:hAnsi="Verdana" w:cs="Times New Roman"/>
          <w:sz w:val="20"/>
          <w:szCs w:val="20"/>
          <w:lang w:val="es-ES_tradnl" w:eastAsia="es-ES"/>
        </w:rPr>
        <w:t xml:space="preserve"> de manera directa ante los órganos del Sistema Interamericano. </w:t>
      </w:r>
    </w:p>
    <w:p w14:paraId="09426458"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53103828"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Este Tribunal Interamericano, desde el caso </w:t>
      </w:r>
      <w:r w:rsidRPr="0027007E">
        <w:rPr>
          <w:rFonts w:ascii="Verdana" w:eastAsia="MS Mincho" w:hAnsi="Verdana" w:cs="Times New Roman"/>
          <w:i/>
          <w:sz w:val="20"/>
          <w:szCs w:val="20"/>
          <w:lang w:val="es-ES_tradnl" w:eastAsia="es-ES"/>
        </w:rPr>
        <w:t xml:space="preserve">Lagos del Campo Vs. Perú </w:t>
      </w:r>
      <w:r w:rsidRPr="0027007E">
        <w:rPr>
          <w:rFonts w:ascii="Verdana" w:eastAsia="MS Mincho" w:hAnsi="Verdana" w:cs="Times New Roman"/>
          <w:sz w:val="20"/>
          <w:szCs w:val="20"/>
          <w:lang w:val="es-ES_tradnl" w:eastAsia="es-ES"/>
        </w:rPr>
        <w:t>(y reiterado en el caso de los</w:t>
      </w:r>
      <w:r w:rsidRPr="0027007E">
        <w:rPr>
          <w:rFonts w:ascii="Verdana" w:eastAsia="MS Mincho" w:hAnsi="Verdana" w:cs="Times New Roman"/>
          <w:i/>
          <w:sz w:val="20"/>
          <w:szCs w:val="20"/>
          <w:lang w:val="es-ES_tradnl" w:eastAsia="es-ES"/>
        </w:rPr>
        <w:t xml:space="preserve"> Trabajadores Cesados del Petroperú</w:t>
      </w:r>
      <w:r w:rsidRPr="0027007E">
        <w:rPr>
          <w:rFonts w:ascii="Verdana" w:eastAsia="MS Mincho" w:hAnsi="Verdana" w:cs="Times New Roman"/>
          <w:sz w:val="20"/>
          <w:szCs w:val="20"/>
          <w:vertAlign w:val="superscript"/>
          <w:lang w:val="es-ES_tradnl" w:eastAsia="es-ES"/>
        </w:rPr>
        <w:footnoteReference w:id="312"/>
      </w:r>
      <w:r w:rsidRPr="0027007E">
        <w:rPr>
          <w:rFonts w:ascii="Verdana" w:eastAsia="MS Mincho" w:hAnsi="Verdana" w:cs="Times New Roman"/>
          <w:sz w:val="20"/>
          <w:szCs w:val="20"/>
          <w:lang w:val="es-ES_tradnl" w:eastAsia="es-ES"/>
        </w:rPr>
        <w:t>) consideró que el derecho al trabajo —y las diferentes manifestaciones de este derecho—</w:t>
      </w:r>
      <w:r w:rsidRPr="0027007E">
        <w:rPr>
          <w:rFonts w:ascii="Verdana" w:eastAsia="MS Mincho" w:hAnsi="Verdana" w:cs="Times New Roman"/>
          <w:sz w:val="20"/>
          <w:szCs w:val="20"/>
          <w:vertAlign w:val="superscript"/>
          <w:lang w:val="es-ES_tradnl" w:eastAsia="es-ES"/>
        </w:rPr>
        <w:footnoteReference w:id="313"/>
      </w:r>
      <w:r w:rsidRPr="0027007E">
        <w:rPr>
          <w:rFonts w:ascii="Verdana" w:eastAsia="MS Mincho" w:hAnsi="Verdana" w:cs="Times New Roman"/>
          <w:i/>
          <w:sz w:val="20"/>
          <w:szCs w:val="20"/>
          <w:lang w:val="es-ES_tradnl" w:eastAsia="es-ES"/>
        </w:rPr>
        <w:t xml:space="preserve"> </w:t>
      </w:r>
      <w:r w:rsidRPr="0027007E">
        <w:rPr>
          <w:rFonts w:ascii="Verdana" w:eastAsia="MS Mincho" w:hAnsi="Verdana" w:cs="Times New Roman"/>
          <w:sz w:val="20"/>
          <w:szCs w:val="20"/>
          <w:lang w:val="es-ES_tradnl" w:eastAsia="es-ES"/>
        </w:rPr>
        <w:t>son justiciables mediante el artículo 26 del Pacto de San José. Así, tal como se pone de manifiesto también en este caso</w:t>
      </w:r>
      <w:r w:rsidRPr="0027007E">
        <w:rPr>
          <w:rFonts w:ascii="Verdana" w:eastAsia="MS Mincho" w:hAnsi="Verdana" w:cs="Times New Roman"/>
          <w:sz w:val="20"/>
          <w:szCs w:val="20"/>
          <w:vertAlign w:val="superscript"/>
          <w:lang w:val="es-ES_tradnl" w:eastAsia="es-ES"/>
        </w:rPr>
        <w:footnoteReference w:id="314"/>
      </w:r>
      <w:r w:rsidRPr="0027007E">
        <w:rPr>
          <w:rFonts w:ascii="Verdana" w:eastAsia="MS Mincho" w:hAnsi="Verdana" w:cs="Times New Roman"/>
          <w:sz w:val="20"/>
          <w:szCs w:val="20"/>
          <w:lang w:val="es-ES_tradnl" w:eastAsia="es-ES"/>
        </w:rPr>
        <w:t>, el derecho al trabajo deriva de las normas contenidas en la Carta de la Organización de Estados Americanos (en adelante “la Carta de la OEA”</w:t>
      </w:r>
      <w:r w:rsidRPr="0027007E">
        <w:rPr>
          <w:rFonts w:ascii="Verdana" w:eastAsia="MS Mincho" w:hAnsi="Verdana" w:cs="Times New Roman"/>
          <w:sz w:val="20"/>
          <w:szCs w:val="20"/>
          <w:vertAlign w:val="superscript"/>
          <w:lang w:val="es-ES_tradnl" w:eastAsia="es-ES"/>
        </w:rPr>
        <w:footnoteReference w:id="315"/>
      </w:r>
      <w:r w:rsidRPr="0027007E">
        <w:rPr>
          <w:rFonts w:ascii="Verdana" w:eastAsia="MS Mincho" w:hAnsi="Verdana" w:cs="Times New Roman"/>
          <w:sz w:val="20"/>
          <w:szCs w:val="20"/>
          <w:lang w:val="es-ES_tradnl" w:eastAsia="es-ES"/>
        </w:rPr>
        <w:t xml:space="preserve">) y puede ser delimitado mediante la Declaración Americana sobre los Derechos y Deberes del Hombre (en adelante “la </w:t>
      </w:r>
      <w:r w:rsidRPr="0027007E">
        <w:rPr>
          <w:rFonts w:ascii="Verdana" w:eastAsia="MS Mincho" w:hAnsi="Verdana" w:cs="Times New Roman"/>
          <w:sz w:val="20"/>
          <w:szCs w:val="20"/>
          <w:lang w:val="es-ES_tradnl" w:eastAsia="es-ES"/>
        </w:rPr>
        <w:lastRenderedPageBreak/>
        <w:t>Declaración Americana”)</w:t>
      </w:r>
      <w:r w:rsidRPr="0027007E">
        <w:rPr>
          <w:rFonts w:ascii="Verdana" w:eastAsia="MS Mincho" w:hAnsi="Verdana" w:cs="Times New Roman"/>
          <w:sz w:val="20"/>
          <w:szCs w:val="20"/>
          <w:vertAlign w:val="superscript"/>
          <w:lang w:val="es-ES_tradnl" w:eastAsia="es-ES"/>
        </w:rPr>
        <w:footnoteReference w:id="316"/>
      </w:r>
      <w:r w:rsidRPr="0027007E">
        <w:rPr>
          <w:rFonts w:ascii="Verdana" w:eastAsia="MS Mincho" w:hAnsi="Verdana" w:cs="Times New Roman"/>
          <w:sz w:val="20"/>
          <w:szCs w:val="20"/>
          <w:lang w:val="es-ES_tradnl" w:eastAsia="es-ES"/>
        </w:rPr>
        <w:t xml:space="preserve">. A lo anterior hay que sumarle un amplio </w:t>
      </w:r>
      <w:r w:rsidRPr="0027007E">
        <w:rPr>
          <w:rFonts w:ascii="Verdana" w:eastAsia="MS Mincho" w:hAnsi="Verdana" w:cs="Times New Roman"/>
          <w:i/>
          <w:sz w:val="20"/>
          <w:szCs w:val="20"/>
          <w:lang w:val="es-ES_tradnl" w:eastAsia="es-ES"/>
        </w:rPr>
        <w:t xml:space="preserve">corpus iuris nacional e internacional </w:t>
      </w:r>
      <w:r w:rsidRPr="0027007E">
        <w:rPr>
          <w:rFonts w:ascii="Verdana" w:eastAsia="MS Mincho" w:hAnsi="Verdana" w:cs="Times New Roman"/>
          <w:sz w:val="20"/>
          <w:szCs w:val="20"/>
          <w:lang w:val="es-ES_tradnl" w:eastAsia="es-ES"/>
        </w:rPr>
        <w:t>que reconoce este derecho como un derecho autónomo</w:t>
      </w:r>
      <w:r w:rsidRPr="0027007E">
        <w:rPr>
          <w:rFonts w:ascii="Verdana" w:eastAsia="MS Mincho" w:hAnsi="Verdana" w:cs="Times New Roman"/>
          <w:sz w:val="20"/>
          <w:szCs w:val="20"/>
          <w:vertAlign w:val="superscript"/>
          <w:lang w:val="es-ES_tradnl" w:eastAsia="es-ES"/>
        </w:rPr>
        <w:footnoteReference w:id="317"/>
      </w:r>
      <w:r w:rsidRPr="0027007E">
        <w:rPr>
          <w:rFonts w:ascii="Verdana" w:eastAsia="MS Mincho" w:hAnsi="Verdana" w:cs="Times New Roman"/>
          <w:sz w:val="20"/>
          <w:szCs w:val="20"/>
          <w:lang w:val="es-ES_tradnl" w:eastAsia="es-ES"/>
        </w:rPr>
        <w:t xml:space="preserve">. </w:t>
      </w:r>
    </w:p>
    <w:p w14:paraId="362A2D62"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0B1BCAB1" w14:textId="77777777" w:rsidR="0027007E" w:rsidRPr="0027007E" w:rsidRDefault="0027007E" w:rsidP="0027007E">
      <w:pPr>
        <w:spacing w:after="0" w:line="240" w:lineRule="auto"/>
        <w:contextualSpacing/>
        <w:jc w:val="both"/>
        <w:rPr>
          <w:rFonts w:ascii="Verdana" w:eastAsia="MS Mincho" w:hAnsi="Verdana" w:cs="Times New Roman"/>
          <w:i/>
          <w:sz w:val="20"/>
          <w:szCs w:val="20"/>
          <w:u w:val="single"/>
          <w:lang w:val="es-ES_tradnl" w:eastAsia="es-ES"/>
        </w:rPr>
      </w:pPr>
      <w:r w:rsidRPr="0027007E">
        <w:rPr>
          <w:rFonts w:ascii="Verdana" w:eastAsia="MS Mincho" w:hAnsi="Verdana" w:cs="Times New Roman"/>
          <w:i/>
          <w:sz w:val="20"/>
          <w:szCs w:val="20"/>
          <w:u w:val="single"/>
          <w:lang w:val="es-ES_tradnl" w:eastAsia="es-ES"/>
        </w:rPr>
        <w:t xml:space="preserve">B. El derecho al trabajo en el presente caso y el principio </w:t>
      </w:r>
      <w:proofErr w:type="spellStart"/>
      <w:r w:rsidRPr="0027007E">
        <w:rPr>
          <w:rFonts w:ascii="Verdana" w:eastAsia="MS Mincho" w:hAnsi="Verdana" w:cs="Times New Roman"/>
          <w:sz w:val="20"/>
          <w:szCs w:val="20"/>
          <w:u w:val="single"/>
          <w:lang w:val="es-ES_tradnl" w:eastAsia="es-ES"/>
        </w:rPr>
        <w:t>iura</w:t>
      </w:r>
      <w:proofErr w:type="spellEnd"/>
      <w:r w:rsidRPr="0027007E">
        <w:rPr>
          <w:rFonts w:ascii="Verdana" w:eastAsia="MS Mincho" w:hAnsi="Verdana" w:cs="Times New Roman"/>
          <w:sz w:val="20"/>
          <w:szCs w:val="20"/>
          <w:u w:val="single"/>
          <w:lang w:val="es-ES_tradnl" w:eastAsia="es-ES"/>
        </w:rPr>
        <w:t xml:space="preserve"> </w:t>
      </w:r>
      <w:proofErr w:type="spellStart"/>
      <w:r w:rsidRPr="0027007E">
        <w:rPr>
          <w:rFonts w:ascii="Verdana" w:eastAsia="MS Mincho" w:hAnsi="Verdana" w:cs="Times New Roman"/>
          <w:sz w:val="20"/>
          <w:szCs w:val="20"/>
          <w:u w:val="single"/>
          <w:lang w:val="es-ES_tradnl" w:eastAsia="es-ES"/>
        </w:rPr>
        <w:t>novit</w:t>
      </w:r>
      <w:proofErr w:type="spellEnd"/>
      <w:r w:rsidRPr="0027007E">
        <w:rPr>
          <w:rFonts w:ascii="Verdana" w:eastAsia="MS Mincho" w:hAnsi="Verdana" w:cs="Times New Roman"/>
          <w:sz w:val="20"/>
          <w:szCs w:val="20"/>
          <w:u w:val="single"/>
          <w:lang w:val="es-ES_tradnl" w:eastAsia="es-ES"/>
        </w:rPr>
        <w:t xml:space="preserve"> curia</w:t>
      </w:r>
    </w:p>
    <w:p w14:paraId="443BA3B8"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3F04A542"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el presente caso, ni la Comisión en el Informe de Fondo, ni los representantes de las víctimas en su escrito de solicitudes y argumentos, hicieron alusión expresa a la violación del artículo 26 de la Convención Americana. Sin embargo, ha sido práctica reiterada del Tribunal Interamericano la aplicación del principio </w:t>
      </w:r>
      <w:proofErr w:type="spellStart"/>
      <w:r w:rsidRPr="0027007E">
        <w:rPr>
          <w:rFonts w:ascii="Verdana" w:eastAsia="MS Mincho" w:hAnsi="Verdana" w:cs="Times New Roman"/>
          <w:i/>
          <w:sz w:val="20"/>
          <w:szCs w:val="20"/>
          <w:lang w:val="es-ES_tradnl" w:eastAsia="es-ES"/>
        </w:rPr>
        <w:t>iura</w:t>
      </w:r>
      <w:proofErr w:type="spellEnd"/>
      <w:r w:rsidRPr="0027007E">
        <w:rPr>
          <w:rFonts w:ascii="Verdana" w:eastAsia="MS Mincho" w:hAnsi="Verdana" w:cs="Times New Roman"/>
          <w:i/>
          <w:sz w:val="20"/>
          <w:szCs w:val="20"/>
          <w:lang w:val="es-ES_tradnl" w:eastAsia="es-ES"/>
        </w:rPr>
        <w:t xml:space="preserve"> </w:t>
      </w:r>
      <w:proofErr w:type="spellStart"/>
      <w:r w:rsidRPr="0027007E">
        <w:rPr>
          <w:rFonts w:ascii="Verdana" w:eastAsia="MS Mincho" w:hAnsi="Verdana" w:cs="Times New Roman"/>
          <w:i/>
          <w:sz w:val="20"/>
          <w:szCs w:val="20"/>
          <w:lang w:val="es-ES_tradnl" w:eastAsia="es-ES"/>
        </w:rPr>
        <w:t>novit</w:t>
      </w:r>
      <w:proofErr w:type="spellEnd"/>
      <w:r w:rsidRPr="0027007E">
        <w:rPr>
          <w:rFonts w:ascii="Verdana" w:eastAsia="MS Mincho" w:hAnsi="Verdana" w:cs="Times New Roman"/>
          <w:i/>
          <w:sz w:val="20"/>
          <w:szCs w:val="20"/>
          <w:lang w:val="es-ES_tradnl" w:eastAsia="es-ES"/>
        </w:rPr>
        <w:t xml:space="preserve"> curia</w:t>
      </w:r>
      <w:r w:rsidRPr="0027007E">
        <w:rPr>
          <w:rFonts w:ascii="Verdana" w:eastAsia="MS Mincho" w:hAnsi="Verdana" w:cs="Times New Roman"/>
          <w:sz w:val="20"/>
          <w:szCs w:val="20"/>
          <w:vertAlign w:val="superscript"/>
          <w:lang w:val="es-ES_tradnl" w:eastAsia="es-ES"/>
        </w:rPr>
        <w:footnoteReference w:id="318"/>
      </w:r>
      <w:r w:rsidRPr="0027007E">
        <w:rPr>
          <w:rFonts w:ascii="Verdana" w:eastAsia="MS Mincho" w:hAnsi="Verdana" w:cs="Times New Roman"/>
          <w:sz w:val="20"/>
          <w:szCs w:val="20"/>
          <w:lang w:val="es-ES_tradnl" w:eastAsia="es-ES"/>
        </w:rPr>
        <w:t>, lo cual puede ser válidamente invocado en casos como el presente, especialmente si se tiene en consideración que sí existen alegatos sobre la vulneración del derecho al trabajo y existe una base fáctica clara y suficiente para analizar la violación a ese derecho.</w:t>
      </w:r>
    </w:p>
    <w:p w14:paraId="30449F88"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53A8F3FB"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el caso, la Corte IDH “constató que las presuntas víctimas en todas las instancias, tanto internas como ante la Comisión, alegaron reiteradamente la violación a sus derechos laborales”</w:t>
      </w:r>
      <w:r w:rsidRPr="0027007E">
        <w:rPr>
          <w:rFonts w:ascii="Verdana" w:eastAsia="MS Mincho" w:hAnsi="Verdana" w:cs="Times New Roman"/>
          <w:sz w:val="20"/>
          <w:szCs w:val="20"/>
          <w:vertAlign w:val="superscript"/>
          <w:lang w:val="es-ES_tradnl" w:eastAsia="es-ES"/>
        </w:rPr>
        <w:footnoteReference w:id="319"/>
      </w:r>
      <w:r w:rsidRPr="0027007E">
        <w:rPr>
          <w:rFonts w:ascii="Verdana" w:eastAsia="MS Mincho" w:hAnsi="Verdana" w:cs="Times New Roman"/>
          <w:sz w:val="20"/>
          <w:szCs w:val="20"/>
          <w:lang w:val="es-ES_tradnl" w:eastAsia="es-ES"/>
        </w:rPr>
        <w:t>; y en el escrito de solicitudes y argumentos ante el Tribunal Interamericano, se desprende que sí hubo alegación a violación de derechos laborales a pesar de no invocarse de manera directa el artículo 26 del Pacto de San José</w:t>
      </w:r>
      <w:r w:rsidRPr="0027007E">
        <w:rPr>
          <w:rFonts w:ascii="Verdana" w:eastAsia="MS Mincho" w:hAnsi="Verdana" w:cs="Times New Roman"/>
          <w:sz w:val="20"/>
          <w:szCs w:val="20"/>
          <w:vertAlign w:val="superscript"/>
          <w:lang w:val="es-ES_tradnl" w:eastAsia="es-ES"/>
        </w:rPr>
        <w:footnoteReference w:id="320"/>
      </w:r>
      <w:r w:rsidRPr="0027007E">
        <w:rPr>
          <w:rFonts w:ascii="Verdana" w:eastAsia="MS Mincho" w:hAnsi="Verdana" w:cs="Times New Roman"/>
          <w:sz w:val="20"/>
          <w:szCs w:val="20"/>
          <w:lang w:val="es-ES_tradnl" w:eastAsia="es-ES"/>
        </w:rPr>
        <w:t xml:space="preserve">, además de desprenderse </w:t>
      </w:r>
      <w:r w:rsidRPr="0027007E">
        <w:rPr>
          <w:rFonts w:ascii="Verdana" w:eastAsia="MS Mincho" w:hAnsi="Verdana" w:cs="Times New Roman"/>
          <w:sz w:val="20"/>
          <w:szCs w:val="20"/>
          <w:lang w:val="es-ES_tradnl" w:eastAsia="es-ES"/>
        </w:rPr>
        <w:lastRenderedPageBreak/>
        <w:t>claramente del marco fáctico del Informe de Fondo presentado por la Comisión a la Corte IDH</w:t>
      </w:r>
      <w:r w:rsidRPr="0027007E">
        <w:rPr>
          <w:rFonts w:ascii="Verdana" w:eastAsia="MS Mincho" w:hAnsi="Verdana" w:cs="Times New Roman"/>
          <w:sz w:val="20"/>
          <w:szCs w:val="20"/>
          <w:vertAlign w:val="superscript"/>
          <w:lang w:val="es-ES_tradnl" w:eastAsia="es-ES"/>
        </w:rPr>
        <w:footnoteReference w:id="321"/>
      </w:r>
      <w:r w:rsidRPr="0027007E">
        <w:rPr>
          <w:rFonts w:ascii="Verdana" w:eastAsia="MS Mincho" w:hAnsi="Verdana" w:cs="Times New Roman"/>
          <w:sz w:val="20"/>
          <w:szCs w:val="20"/>
          <w:lang w:val="es-ES_tradnl" w:eastAsia="es-ES"/>
        </w:rPr>
        <w:t>.</w:t>
      </w:r>
    </w:p>
    <w:p w14:paraId="13A4BA47"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318B0452"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Resulta especialmente significativo, tal como se remarca en la Sentencia, que las peticionarias, en su primer escrito ante la Comisión Interamericana de 7 de marzo de 2006, de manera expresa solicitaron que se declarara la violación del “</w:t>
      </w:r>
      <w:r w:rsidRPr="0027007E">
        <w:rPr>
          <w:rFonts w:ascii="Verdana" w:eastAsia="MS Mincho" w:hAnsi="Verdana" w:cs="Times New Roman"/>
          <w:sz w:val="20"/>
          <w:szCs w:val="20"/>
          <w:u w:val="single"/>
          <w:lang w:val="es-ES_tradnl" w:eastAsia="es-ES"/>
        </w:rPr>
        <w:t>derecho al trabajo de las víctimas, el cual se encuentra amparado por la Convención, en los términos previstos en el art. 26 de la misma, en relación con el art. 45 de la Carta de la OEA, así como en los términos del art. 29, letras b y d, de la Convención</w:t>
      </w:r>
      <w:r w:rsidRPr="0027007E">
        <w:rPr>
          <w:rFonts w:ascii="Verdana" w:eastAsia="MS Mincho" w:hAnsi="Verdana" w:cs="Times New Roman"/>
          <w:sz w:val="20"/>
          <w:szCs w:val="20"/>
          <w:lang w:val="es-ES_tradnl" w:eastAsia="es-ES"/>
        </w:rPr>
        <w:t xml:space="preserve">”. Al respecto, en dicho escrito de manera amplia se desarrolla el alegato de la violación del derecho al trabajo, en los siguientes términos: </w:t>
      </w:r>
    </w:p>
    <w:p w14:paraId="2EE3F795"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w:t>
      </w:r>
    </w:p>
    <w:p w14:paraId="7A9DCB25"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p>
    <w:p w14:paraId="1287373E"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u w:val="single"/>
          <w:lang w:val="es-ES_tradnl" w:eastAsia="es-ES"/>
        </w:rPr>
      </w:pPr>
      <w:r w:rsidRPr="0027007E">
        <w:rPr>
          <w:rFonts w:ascii="Verdana" w:eastAsia="MS Mincho" w:hAnsi="Verdana" w:cs="Times New Roman"/>
          <w:sz w:val="18"/>
          <w:szCs w:val="18"/>
          <w:u w:val="single"/>
          <w:lang w:val="es-ES_tradnl" w:eastAsia="es-ES"/>
        </w:rPr>
        <w:t>5. Violación de los derechos económicos y sociales (art. 26 de la Convención Americana – en relación con el artículo 45 de la Carta de la OEA- y art. 29, letras b y d, de la Convención)</w:t>
      </w:r>
    </w:p>
    <w:p w14:paraId="685EEF1B"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p>
    <w:p w14:paraId="1D07D7BF"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Refiriéndose a la manifestación explícita hecha por la Corte de que “los derechos económicos, sociales y culturales tienen una dimensión tanto individual como colectiva”, el juez Sergio García Ramírez entiende que esa dimensión individual se traduce en una titularidad asimismo individual, de un derecho correspondiente, que pudiera ser compartido, por supuesto, con otros miembros de una población de un sector de ésta; según el juez García Ramírez, este asunto no se reduce a la mera existencia de un deber a cargo del Estado, que deberá orientar sus tareas en el sentido que esta obligación establece, teniendo a los individuos como simples testigos a la expectativa de que el Estado cumpla el deber que le atribuye la Convención. García Ramírez recuerda que la Convención constituye, precisamente, una normativa sobre derechos humanos, y no un mero catálogo de obligaciones generales de los Estados; </w:t>
      </w:r>
      <w:r w:rsidRPr="0027007E">
        <w:rPr>
          <w:rFonts w:ascii="Verdana" w:eastAsia="MS Mincho" w:hAnsi="Verdana" w:cs="Times New Roman"/>
          <w:sz w:val="18"/>
          <w:szCs w:val="18"/>
          <w:u w:val="single"/>
          <w:lang w:val="es-ES_tradnl" w:eastAsia="es-ES"/>
        </w:rPr>
        <w:t>en consecuencia, la existencia de una dimensión individual de los derechos humanos sustenta la denominada “</w:t>
      </w:r>
      <w:proofErr w:type="spellStart"/>
      <w:r w:rsidRPr="0027007E">
        <w:rPr>
          <w:rFonts w:ascii="Verdana" w:eastAsia="MS Mincho" w:hAnsi="Verdana" w:cs="Times New Roman"/>
          <w:sz w:val="18"/>
          <w:szCs w:val="18"/>
          <w:u w:val="single"/>
          <w:lang w:val="es-ES_tradnl" w:eastAsia="es-ES"/>
        </w:rPr>
        <w:t>justiciabilidad</w:t>
      </w:r>
      <w:proofErr w:type="spellEnd"/>
      <w:r w:rsidRPr="0027007E">
        <w:rPr>
          <w:rFonts w:ascii="Verdana" w:eastAsia="MS Mincho" w:hAnsi="Verdana" w:cs="Times New Roman"/>
          <w:sz w:val="18"/>
          <w:szCs w:val="18"/>
          <w:u w:val="single"/>
          <w:lang w:val="es-ES_tradnl" w:eastAsia="es-ES"/>
        </w:rPr>
        <w:t>” de aquellos que ha avanzado en el plano nacional, y que tiene un amplio horizonte en el internacional. En ese entendido es que denunciamos la violación del art. 26 de la Convención</w:t>
      </w:r>
      <w:r w:rsidRPr="0027007E">
        <w:rPr>
          <w:rFonts w:ascii="Verdana" w:eastAsia="MS Mincho" w:hAnsi="Verdana" w:cs="Times New Roman"/>
          <w:sz w:val="18"/>
          <w:szCs w:val="18"/>
          <w:lang w:val="es-ES_tradnl" w:eastAsia="es-ES"/>
        </w:rPr>
        <w:t xml:space="preserve">. </w:t>
      </w:r>
    </w:p>
    <w:p w14:paraId="50EC744E"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p>
    <w:p w14:paraId="1A36BDD6"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ab/>
      </w:r>
      <w:r w:rsidRPr="0027007E">
        <w:rPr>
          <w:rFonts w:ascii="Verdana" w:eastAsia="MS Mincho" w:hAnsi="Verdana" w:cs="Times New Roman"/>
          <w:sz w:val="18"/>
          <w:szCs w:val="18"/>
          <w:u w:val="single"/>
          <w:lang w:val="es-ES_tradnl" w:eastAsia="es-ES"/>
        </w:rPr>
        <w:t>El derecho al trabajo es un derecho económico y social, de aquellos a los que se refiere el art. 26 de la Convención</w:t>
      </w:r>
      <w:r w:rsidRPr="0027007E">
        <w:rPr>
          <w:rFonts w:ascii="Verdana" w:eastAsia="MS Mincho" w:hAnsi="Verdana" w:cs="Times New Roman"/>
          <w:sz w:val="18"/>
          <w:szCs w:val="18"/>
          <w:lang w:val="es-ES_tradnl" w:eastAsia="es-ES"/>
        </w:rPr>
        <w:t xml:space="preserve">. La decisión de las autoridades de Venezuela, de despedir de sus empleos a las víctimas en este caso, se tradujo en una violación de su </w:t>
      </w:r>
      <w:r w:rsidRPr="0027007E">
        <w:rPr>
          <w:rFonts w:ascii="Verdana" w:eastAsia="MS Mincho" w:hAnsi="Verdana" w:cs="Times New Roman"/>
          <w:sz w:val="18"/>
          <w:szCs w:val="18"/>
          <w:lang w:val="es-ES_tradnl" w:eastAsia="es-ES"/>
        </w:rPr>
        <w:lastRenderedPageBreak/>
        <w:t xml:space="preserve">derecho al trabajo, y en la violación del artículo 26 de la Convención. </w:t>
      </w:r>
      <w:r w:rsidRPr="0027007E">
        <w:rPr>
          <w:rFonts w:ascii="Verdana" w:eastAsia="MS Mincho" w:hAnsi="Verdana" w:cs="Times New Roman"/>
          <w:sz w:val="18"/>
          <w:szCs w:val="18"/>
          <w:u w:val="single"/>
          <w:lang w:val="es-ES_tradnl" w:eastAsia="es-ES"/>
        </w:rPr>
        <w:t>Si bien la Convención no desarrolla explícitamente el catálogo de derechos económicos y sociales protegidos, para ello se remite a las normas económicas y sociales contenidas en la Carta de Organización de Estados Americanos, cuyo art. 45, letra a, dispone que “todos los seres humanos, sin distinción de raza, sexo, nacionalidad, credo o condición social, tienen derecho al bienestar material y a su desarrollo espiritual, en condiciones de libertad, dignidad, igualdad de oportunidades y seguridad económica”. Además, el art. 45, letra, de la Carta de la OEA señala que el trabajo es un derecho, que otorga dignidad a quien lo realiza. Ese derecho y esa dignidad, reconocida  por la Carta de la OEA y reiterada por el art. 26 de la Convención, ha sido [violada] por el Estado venezolano</w:t>
      </w:r>
      <w:r w:rsidRPr="0027007E">
        <w:rPr>
          <w:rFonts w:ascii="Verdana" w:eastAsia="MS Mincho" w:hAnsi="Verdana" w:cs="Times New Roman"/>
          <w:sz w:val="18"/>
          <w:szCs w:val="18"/>
          <w:lang w:val="es-ES_tradnl" w:eastAsia="es-ES"/>
        </w:rPr>
        <w:t xml:space="preserve"> […]. </w:t>
      </w:r>
    </w:p>
    <w:p w14:paraId="411D8AFE" w14:textId="77777777" w:rsidR="0027007E" w:rsidRPr="0027007E" w:rsidRDefault="0027007E" w:rsidP="0027007E">
      <w:pPr>
        <w:spacing w:after="0" w:line="240" w:lineRule="auto"/>
        <w:ind w:left="708" w:right="615"/>
        <w:contextualSpacing/>
        <w:jc w:val="both"/>
        <w:rPr>
          <w:rFonts w:ascii="Verdana" w:eastAsia="MS Mincho" w:hAnsi="Verdana" w:cs="Times New Roman"/>
          <w:sz w:val="18"/>
          <w:szCs w:val="18"/>
          <w:lang w:val="es-ES_tradnl" w:eastAsia="es-ES"/>
        </w:rPr>
      </w:pPr>
    </w:p>
    <w:p w14:paraId="2569FA5B"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La violación del derecho al trabajo [en este caso] también implica una violación del art. 29 de la Convención, cuyo literal b) prohíbe interpretar la Convención en el sentido de limitar el goce y ejercicio de cualquier derecho que pueda estar reconocido de acuerdo con otra convención en que sea parte el Estado involucrado. En particular Venezuela es parte en el Pacto Internacional de Derechos Económicos, Sociales y Culturales, cuyo artículo 6, párrafo 1, consagra el derecho al trabajo, y es pate en el Protocolo Adicional a la Convención Americana sobre Derechos Humanos en materia de Derechos Económicos, Sociales y Culturales, cuyo art. 6, párrafo 1, dispone que toda persona tiene derecho al trabajo. Por consiguiente, el art. 26 de la Convención, relativo a los derechos económicos, sociales y culturales, debe interpretarse en armonía con estos instrumentos internacionales, que en todo caso deben de ser cumplidos de buena fe por el Estado parte. Esta misma ilustre Comisión Interamericana ha sostenido, si bien no puede pronunciarse sobre la violación de otros tratados, como el Protocolo de San Salvador, si puede utilizar dicho Protocolo en la interpretación de otras disposiciones aplicables, a la luz de los previsto en los artículos 26 y 29 de la Convención Americana. Asimismo, en el caso de una petición en que se denunciaba la violación del derecho al trabajo,  a una justa retribución, previsto en el art. XIV de la Declaración pero no expresamente en la Convención, la Comisión consideró que esta circunstancia no excluía su competencia en razón de la materia pues, en virtud del artículo 29(d) dela Convención ”ninguna disposición de la Convención puede ser interpretada en el sentido de excluir o limitar el efecto que pueda producir la Declaración Americana de Derechos y Deberes del Hombre y otros actos internacionales de la misma naturaleza.”</w:t>
      </w:r>
    </w:p>
    <w:p w14:paraId="6DB644DB"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p>
    <w:p w14:paraId="047C708F"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u w:val="single"/>
          <w:lang w:val="es-ES_tradnl" w:eastAsia="es-ES"/>
        </w:rPr>
        <w:t>Esta articulación de las disposiciones de la Convención Americana con las normas de otros tratados de derechos humanos ha sido ampliamente utilizada en la jurisprudencia de la Corte</w:t>
      </w:r>
      <w:r w:rsidRPr="0027007E">
        <w:rPr>
          <w:rFonts w:ascii="Verdana" w:eastAsia="MS Mincho" w:hAnsi="Verdana" w:cs="Times New Roman"/>
          <w:sz w:val="18"/>
          <w:szCs w:val="18"/>
          <w:lang w:val="es-ES_tradnl" w:eastAsia="es-ES"/>
        </w:rPr>
        <w:t xml:space="preserve">. En este sentido, en el caso del Instituto de Reeducación del Menor , la Corte señaló que una correcta interpretación de los artículos 4 y 19 de la Convención debía hacerse a la luz de las disposiciones pertinentes de la Convención sobre los Derechos de los Niños  y del Protocolo Adicional a la Convención Americana en Materia de Derechos Económicos, Sociales y Culturales, ya que estos instrumentos y la Convención Americana forman parte de un muy comprensivo </w:t>
      </w:r>
      <w:r w:rsidRPr="0027007E">
        <w:rPr>
          <w:rFonts w:ascii="Verdana" w:eastAsia="MS Mincho" w:hAnsi="Verdana" w:cs="Times New Roman"/>
          <w:i/>
          <w:sz w:val="18"/>
          <w:szCs w:val="18"/>
          <w:lang w:val="es-ES_tradnl" w:eastAsia="es-ES"/>
        </w:rPr>
        <w:t xml:space="preserve">corpus </w:t>
      </w:r>
      <w:proofErr w:type="spellStart"/>
      <w:r w:rsidRPr="0027007E">
        <w:rPr>
          <w:rFonts w:ascii="Verdana" w:eastAsia="MS Mincho" w:hAnsi="Verdana" w:cs="Times New Roman"/>
          <w:i/>
          <w:sz w:val="18"/>
          <w:szCs w:val="18"/>
          <w:lang w:val="es-ES_tradnl" w:eastAsia="es-ES"/>
        </w:rPr>
        <w:t>juris</w:t>
      </w:r>
      <w:proofErr w:type="spellEnd"/>
      <w:r w:rsidRPr="0027007E">
        <w:rPr>
          <w:rFonts w:ascii="Verdana" w:eastAsia="MS Mincho" w:hAnsi="Verdana" w:cs="Times New Roman"/>
          <w:sz w:val="18"/>
          <w:szCs w:val="18"/>
          <w:lang w:val="es-ES_tradnl" w:eastAsia="es-ES"/>
        </w:rPr>
        <w:t xml:space="preserve"> internacional de protección de los derechos de los niños que la Corte debe respetar. Asimismo, en el caso Cinco Pensionistas, la Corte señaló que, si bien los Estados pueden poner limitaciones al goce del derecho de propiedad por razones de utilidad pública o interés social, en el caso del monto de las pensiones, los Estados pueden reducirlos únicamente por la vía legal adecuada y por los motivos ya indicados. No obstante, la Corte observó que el artículo 5 del Protocolo Adicional a la Convención Americana en materia de Derechos Económicos, Sociales y Culturales sólo permite establecer limitaciones y restricciones al goce y ejercicio de los derechos económicos, sociales y culturales, “mediante leyes promulgadas con el objeto de preservar el bienes general dentro de una sociedad democrática, en la medida que no contradigan el propósito y razón de los mismos. En lo que se refiere específicamente al Protocolo [de San Salvador], éste se invocó en el caso Baena Ricardo y otros, no obstante que al momento de los hechos aún no había entrado en vigor, alegando que al firmar el Protocolo el Estado se comprometió a abstenerse de realizar actos que contrariasen el objeto y el fin del tratado; la Corte recordó que conforme a los principios generales del derecho internacional, y que en este caso Panamá era responsable de la violación cometida por sus agentes con posterioridad </w:t>
      </w:r>
      <w:r w:rsidRPr="0027007E">
        <w:rPr>
          <w:rFonts w:ascii="Verdana" w:eastAsia="MS Mincho" w:hAnsi="Verdana" w:cs="Times New Roman"/>
          <w:sz w:val="18"/>
          <w:szCs w:val="18"/>
          <w:lang w:val="es-ES_tradnl" w:eastAsia="es-ES"/>
        </w:rPr>
        <w:lastRenderedPageBreak/>
        <w:t>a la firma del Protocolo de San Salvador, ya que las acciones del Estado contravinieron el objeto y fin del mencionado instrumento, en lo que respecta a los derechos sindicales de los trabajadores destituidos. La Corte reafirmó el principio del derecho internacional general según el cual los Estados tienen el deber de cumplir de buena fe (</w:t>
      </w:r>
      <w:r w:rsidRPr="0027007E">
        <w:rPr>
          <w:rFonts w:ascii="Verdana" w:eastAsia="MS Mincho" w:hAnsi="Verdana" w:cs="Times New Roman"/>
          <w:i/>
          <w:sz w:val="18"/>
          <w:szCs w:val="18"/>
          <w:lang w:val="es-ES_tradnl" w:eastAsia="es-ES"/>
        </w:rPr>
        <w:t xml:space="preserve">pacta </w:t>
      </w:r>
      <w:proofErr w:type="spellStart"/>
      <w:r w:rsidRPr="0027007E">
        <w:rPr>
          <w:rFonts w:ascii="Verdana" w:eastAsia="MS Mincho" w:hAnsi="Verdana" w:cs="Times New Roman"/>
          <w:i/>
          <w:sz w:val="18"/>
          <w:szCs w:val="18"/>
          <w:lang w:val="es-ES_tradnl" w:eastAsia="es-ES"/>
        </w:rPr>
        <w:t>sunt</w:t>
      </w:r>
      <w:proofErr w:type="spellEnd"/>
      <w:r w:rsidRPr="0027007E">
        <w:rPr>
          <w:rFonts w:ascii="Verdana" w:eastAsia="MS Mincho" w:hAnsi="Verdana" w:cs="Times New Roman"/>
          <w:i/>
          <w:sz w:val="18"/>
          <w:szCs w:val="18"/>
          <w:lang w:val="es-ES_tradnl" w:eastAsia="es-ES"/>
        </w:rPr>
        <w:t xml:space="preserve"> </w:t>
      </w:r>
      <w:proofErr w:type="spellStart"/>
      <w:r w:rsidRPr="0027007E">
        <w:rPr>
          <w:rFonts w:ascii="Verdana" w:eastAsia="MS Mincho" w:hAnsi="Verdana" w:cs="Times New Roman"/>
          <w:i/>
          <w:sz w:val="18"/>
          <w:szCs w:val="18"/>
          <w:lang w:val="es-ES_tradnl" w:eastAsia="es-ES"/>
        </w:rPr>
        <w:t>servanda</w:t>
      </w:r>
      <w:proofErr w:type="spellEnd"/>
      <w:r w:rsidRPr="0027007E">
        <w:rPr>
          <w:rFonts w:ascii="Verdana" w:eastAsia="MS Mincho" w:hAnsi="Verdana" w:cs="Times New Roman"/>
          <w:sz w:val="18"/>
          <w:szCs w:val="18"/>
          <w:lang w:val="es-ES_tradnl" w:eastAsia="es-ES"/>
        </w:rPr>
        <w:t xml:space="preserve">) los instrumentos internacionales por ellos ratificados, consagrado en el artículo 26 de la Convención de Viena sobre el Derecho de los Tratados (1969), así como de abstenerse de realizar actos contrarios al objeto y fin de dichos instrumentos, incluso desde el momento de la firma del tratado. En el presente caso, no se trata de tratados suscritos y no ratificados, sino de tratados que están en vigor respecto de Venezuela, y de disposiciones de la Convención que deben ser interpretadas en armonía con esos oros compromisos internacionales.  </w:t>
      </w:r>
    </w:p>
    <w:p w14:paraId="34F6E01D"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p>
    <w:p w14:paraId="7E007AEB"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Adicionalmente, el art. 29, literal d, de la Convención prohíbe interpretar la Convención en el sentido de excluir o limitar el efecto que pueda producir, </w:t>
      </w:r>
      <w:r w:rsidRPr="0027007E">
        <w:rPr>
          <w:rFonts w:ascii="Verdana" w:eastAsia="MS Mincho" w:hAnsi="Verdana" w:cs="Times New Roman"/>
          <w:i/>
          <w:sz w:val="18"/>
          <w:szCs w:val="18"/>
          <w:lang w:val="es-ES_tradnl" w:eastAsia="es-ES"/>
        </w:rPr>
        <w:t xml:space="preserve">inter </w:t>
      </w:r>
      <w:proofErr w:type="spellStart"/>
      <w:r w:rsidRPr="0027007E">
        <w:rPr>
          <w:rFonts w:ascii="Verdana" w:eastAsia="MS Mincho" w:hAnsi="Verdana" w:cs="Times New Roman"/>
          <w:i/>
          <w:sz w:val="18"/>
          <w:szCs w:val="18"/>
          <w:lang w:val="es-ES_tradnl" w:eastAsia="es-ES"/>
        </w:rPr>
        <w:t>alia</w:t>
      </w:r>
      <w:proofErr w:type="spellEnd"/>
      <w:r w:rsidRPr="0027007E">
        <w:rPr>
          <w:rFonts w:ascii="Verdana" w:eastAsia="MS Mincho" w:hAnsi="Verdana" w:cs="Times New Roman"/>
          <w:i/>
          <w:sz w:val="18"/>
          <w:szCs w:val="18"/>
          <w:lang w:val="es-ES_tradnl" w:eastAsia="es-ES"/>
        </w:rPr>
        <w:t xml:space="preserve">, </w:t>
      </w:r>
      <w:r w:rsidRPr="0027007E">
        <w:rPr>
          <w:rFonts w:ascii="Verdana" w:eastAsia="MS Mincho" w:hAnsi="Verdana" w:cs="Times New Roman"/>
          <w:sz w:val="18"/>
          <w:szCs w:val="18"/>
          <w:lang w:val="es-ES_tradnl" w:eastAsia="es-ES"/>
        </w:rPr>
        <w:t>la [D]</w:t>
      </w:r>
      <w:proofErr w:type="spellStart"/>
      <w:r w:rsidRPr="0027007E">
        <w:rPr>
          <w:rFonts w:ascii="Verdana" w:eastAsia="MS Mincho" w:hAnsi="Verdana" w:cs="Times New Roman"/>
          <w:sz w:val="18"/>
          <w:szCs w:val="18"/>
          <w:lang w:val="es-ES_tradnl" w:eastAsia="es-ES"/>
        </w:rPr>
        <w:t>eclaración</w:t>
      </w:r>
      <w:proofErr w:type="spellEnd"/>
      <w:r w:rsidRPr="0027007E">
        <w:rPr>
          <w:rFonts w:ascii="Verdana" w:eastAsia="MS Mincho" w:hAnsi="Verdana" w:cs="Times New Roman"/>
          <w:sz w:val="18"/>
          <w:szCs w:val="18"/>
          <w:lang w:val="es-ES_tradnl" w:eastAsia="es-ES"/>
        </w:rPr>
        <w:t xml:space="preserve"> Americana de Derechos y Deberes del Hombre, cuyo artículo XIV reconoce explícitamente el derecho al trabajo y a una justa retribución. En este sentido, es importante subrayar que, con la ratificación de la Convención Americana sobre Derechos Humano, los Estados [P]artes adquieren nuevas obligaciones en materia de derechos humanos, pero no se liberan de los compromisos ya asumidos como miembros de la Organización de Estados Americanos, de la cual esta ilustre Comisión es un órgano principal, con el mandato de promover la observancia y la defensa de los derechos humanos, entendiendo por tales los derechos  consagrados en la Convención y en la citada Declaración Americana. Sería absurdo asumir que la Comisión tiene competencia para ocuparse del derecho al trabajo sólo respecto de Estados que no han ratificados la Convención, o sugerir que, con la ratificación de esta última, los Estado miembros  de la OEA (y ahora partes en la Convención) tendrían menos obligaciones que antes, y que, con ese acto, la competencia de la Comisión se vería reducida. </w:t>
      </w:r>
    </w:p>
    <w:p w14:paraId="73788706"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p>
    <w:p w14:paraId="71E0E28B"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La Corte Interamericana ha sostenido que los Estados deben velar por el estricto cumplimiento dela normativa de carácter laboral que mejor proteja a los trabajadores, independientemente de su nacionalidad, origen social, étnico o racial, y de su condición migratoria y, por lo tanto, tienen la obligación de tomar cuantas medidas de orden administrativo, legislativo o judicial  sean necesarias, para enmendar situaciones discriminatorias de </w:t>
      </w:r>
      <w:r w:rsidRPr="0027007E">
        <w:rPr>
          <w:rFonts w:ascii="Verdana" w:eastAsia="MS Mincho" w:hAnsi="Verdana" w:cs="Times New Roman"/>
          <w:i/>
          <w:sz w:val="18"/>
          <w:szCs w:val="18"/>
          <w:lang w:val="es-ES_tradnl" w:eastAsia="es-ES"/>
        </w:rPr>
        <w:t xml:space="preserve">jure </w:t>
      </w:r>
      <w:r w:rsidRPr="0027007E">
        <w:rPr>
          <w:rFonts w:ascii="Verdana" w:eastAsia="MS Mincho" w:hAnsi="Verdana" w:cs="Times New Roman"/>
          <w:sz w:val="18"/>
          <w:szCs w:val="18"/>
          <w:lang w:val="es-ES_tradnl" w:eastAsia="es-ES"/>
        </w:rPr>
        <w:t xml:space="preserve">y para erradicar las prácticas discriminatorias realizadas por determinado empleador o grupo de empleadores, a nivel, local, regional, nacional o internacional, en perjuicio de trabajadores migrantes. Estas consideraciones son igualmente válidas respecto de los trabajadores nacionales, independientemente de que el empleador sea un particular o el propio Estado. </w:t>
      </w:r>
    </w:p>
    <w:p w14:paraId="5B5FE7F4" w14:textId="77777777" w:rsidR="0027007E" w:rsidRPr="0027007E" w:rsidRDefault="0027007E" w:rsidP="0027007E">
      <w:pPr>
        <w:spacing w:after="0" w:line="240" w:lineRule="auto"/>
        <w:ind w:right="615"/>
        <w:jc w:val="both"/>
        <w:rPr>
          <w:rFonts w:ascii="Verdana" w:eastAsia="MS Mincho" w:hAnsi="Verdana" w:cs="Times New Roman"/>
          <w:sz w:val="18"/>
          <w:szCs w:val="18"/>
          <w:lang w:val="es-ES_tradnl" w:eastAsia="es-ES"/>
        </w:rPr>
      </w:pPr>
    </w:p>
    <w:p w14:paraId="0952666B"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E[s]</w:t>
      </w:r>
      <w:proofErr w:type="spellStart"/>
      <w:r w:rsidRPr="0027007E">
        <w:rPr>
          <w:rFonts w:ascii="Verdana" w:eastAsia="MS Mincho" w:hAnsi="Verdana" w:cs="Times New Roman"/>
          <w:sz w:val="18"/>
          <w:szCs w:val="18"/>
          <w:lang w:val="es-ES_tradnl" w:eastAsia="es-ES"/>
        </w:rPr>
        <w:t>ta</w:t>
      </w:r>
      <w:proofErr w:type="spellEnd"/>
      <w:r w:rsidRPr="0027007E">
        <w:rPr>
          <w:rFonts w:ascii="Verdana" w:eastAsia="MS Mincho" w:hAnsi="Verdana" w:cs="Times New Roman"/>
          <w:sz w:val="18"/>
          <w:szCs w:val="18"/>
          <w:lang w:val="es-ES_tradnl" w:eastAsia="es-ES"/>
        </w:rPr>
        <w:t xml:space="preserve"> ilustre Comisión se ha referido al derecho al trabajo en su informe especial sobre Cuba, observando que el Estado persiste en utilizar diversas formas  de discriminación en el otorgamiento de trabajo por motivos ideológicos u otras razones conexas; según la Comisión, las personas que demuestran discrepancias políticas con el régimen son las que en mayor proporción se encuentran desempleadas, y que la discriminación en el empleo por razones ideológicas resulta un mecanismo fácil de aplicar en una economía en la cual el Estado es el único empleador.[…] En el presente caso, Rocío San Miguel, </w:t>
      </w:r>
      <w:proofErr w:type="spellStart"/>
      <w:r w:rsidRPr="0027007E">
        <w:rPr>
          <w:rFonts w:ascii="Verdana" w:eastAsia="MS Mincho" w:hAnsi="Verdana" w:cs="Times New Roman"/>
          <w:sz w:val="18"/>
          <w:szCs w:val="18"/>
          <w:lang w:val="es-ES_tradnl" w:eastAsia="es-ES"/>
        </w:rPr>
        <w:t>Magally</w:t>
      </w:r>
      <w:proofErr w:type="spellEnd"/>
      <w:r w:rsidRPr="0027007E">
        <w:rPr>
          <w:rFonts w:ascii="Verdana" w:eastAsia="MS Mincho" w:hAnsi="Verdana" w:cs="Times New Roman"/>
          <w:sz w:val="18"/>
          <w:szCs w:val="18"/>
          <w:lang w:val="es-ES_tradnl" w:eastAsia="es-ES"/>
        </w:rPr>
        <w:t xml:space="preserve"> Chang, y Thais Peña han sido despedidas de su empleo precisamente por manifestar opiniones discrepantes de las del gobierno, con el ingrediente adicional de que Venezuela es un Estado [P]arte en la Convención Americana […]. </w:t>
      </w:r>
    </w:p>
    <w:p w14:paraId="392FC421"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p>
    <w:p w14:paraId="7883F4BC" w14:textId="77777777" w:rsidR="0027007E" w:rsidRPr="0027007E" w:rsidRDefault="0027007E" w:rsidP="0027007E">
      <w:pPr>
        <w:spacing w:after="0" w:line="240" w:lineRule="auto"/>
        <w:ind w:left="708" w:right="615" w:firstLine="708"/>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 </w:t>
      </w:r>
      <w:r w:rsidRPr="0027007E">
        <w:rPr>
          <w:rFonts w:ascii="Verdana" w:eastAsia="MS Mincho" w:hAnsi="Verdana" w:cs="Times New Roman"/>
          <w:sz w:val="18"/>
          <w:szCs w:val="18"/>
          <w:u w:val="single"/>
          <w:lang w:val="es-ES_tradnl" w:eastAsia="es-ES"/>
        </w:rPr>
        <w:t>En el presente caso, los actos del Estado se han traducido en una violación del derecho al trabajo de las víctimas, el cual se encuentra amparado por la Convención, en los términos previstos en el art. 26 de la misma</w:t>
      </w:r>
      <w:r w:rsidRPr="0027007E">
        <w:rPr>
          <w:rFonts w:ascii="Verdana" w:eastAsia="MS Mincho" w:hAnsi="Verdana" w:cs="Times New Roman"/>
          <w:sz w:val="18"/>
          <w:szCs w:val="18"/>
          <w:lang w:val="es-ES_tradnl" w:eastAsia="es-ES"/>
        </w:rPr>
        <w:t xml:space="preserve">, en relación con el art. 45 de la Carta de la OEA, así como en los términos del art. 29, letras b y d, de la Convención en relación con el art. 6, párr. 1 del Pacto Internacional de Derechos Económicos, Sociales </w:t>
      </w:r>
      <w:r w:rsidRPr="0027007E">
        <w:rPr>
          <w:rFonts w:ascii="Verdana" w:eastAsia="MS Mincho" w:hAnsi="Verdana" w:cs="Times New Roman"/>
          <w:sz w:val="18"/>
          <w:szCs w:val="18"/>
          <w:lang w:val="es-ES_tradnl" w:eastAsia="es-ES"/>
        </w:rPr>
        <w:lastRenderedPageBreak/>
        <w:t>y Culturales, el [a]</w:t>
      </w:r>
      <w:proofErr w:type="spellStart"/>
      <w:r w:rsidRPr="0027007E">
        <w:rPr>
          <w:rFonts w:ascii="Verdana" w:eastAsia="MS Mincho" w:hAnsi="Verdana" w:cs="Times New Roman"/>
          <w:sz w:val="18"/>
          <w:szCs w:val="18"/>
          <w:lang w:val="es-ES_tradnl" w:eastAsia="es-ES"/>
        </w:rPr>
        <w:t>rt</w:t>
      </w:r>
      <w:proofErr w:type="spellEnd"/>
      <w:r w:rsidRPr="0027007E">
        <w:rPr>
          <w:rFonts w:ascii="Verdana" w:eastAsia="MS Mincho" w:hAnsi="Verdana" w:cs="Times New Roman"/>
          <w:sz w:val="18"/>
          <w:szCs w:val="18"/>
          <w:lang w:val="es-ES_tradnl" w:eastAsia="es-ES"/>
        </w:rPr>
        <w:t>. 6, párrafo  1, del Protocolo de San Salvador, y el art. XIV de la [D]</w:t>
      </w:r>
      <w:proofErr w:type="spellStart"/>
      <w:r w:rsidRPr="0027007E">
        <w:rPr>
          <w:rFonts w:ascii="Verdana" w:eastAsia="MS Mincho" w:hAnsi="Verdana" w:cs="Times New Roman"/>
          <w:sz w:val="18"/>
          <w:szCs w:val="18"/>
          <w:lang w:val="es-ES_tradnl" w:eastAsia="es-ES"/>
        </w:rPr>
        <w:t>eclaración</w:t>
      </w:r>
      <w:proofErr w:type="spellEnd"/>
      <w:r w:rsidRPr="0027007E">
        <w:rPr>
          <w:rFonts w:ascii="Verdana" w:eastAsia="MS Mincho" w:hAnsi="Verdana" w:cs="Times New Roman"/>
          <w:sz w:val="18"/>
          <w:szCs w:val="18"/>
          <w:lang w:val="es-ES_tradnl" w:eastAsia="es-ES"/>
        </w:rPr>
        <w:t xml:space="preserve"> Americana […] y así se pide se declare</w:t>
      </w:r>
      <w:r w:rsidRPr="0027007E">
        <w:rPr>
          <w:rFonts w:ascii="Verdana" w:eastAsia="MS Mincho" w:hAnsi="Verdana" w:cs="Times New Roman"/>
          <w:sz w:val="18"/>
          <w:szCs w:val="18"/>
          <w:vertAlign w:val="superscript"/>
          <w:lang w:val="es-ES_tradnl" w:eastAsia="es-ES"/>
        </w:rPr>
        <w:footnoteReference w:id="322"/>
      </w:r>
      <w:r w:rsidRPr="0027007E">
        <w:rPr>
          <w:rFonts w:ascii="Verdana" w:eastAsia="MS Mincho" w:hAnsi="Verdana" w:cs="Times New Roman"/>
          <w:sz w:val="18"/>
          <w:szCs w:val="18"/>
          <w:lang w:val="es-ES_tradnl" w:eastAsia="es-ES"/>
        </w:rPr>
        <w:t xml:space="preserve">. [Énfasis añadido].  </w:t>
      </w:r>
    </w:p>
    <w:p w14:paraId="7950CCD3" w14:textId="77777777" w:rsidR="0027007E" w:rsidRPr="0027007E" w:rsidRDefault="0027007E" w:rsidP="0027007E">
      <w:pPr>
        <w:spacing w:after="0" w:line="240" w:lineRule="auto"/>
        <w:ind w:left="708"/>
        <w:contextualSpacing/>
        <w:jc w:val="both"/>
        <w:rPr>
          <w:rFonts w:ascii="Verdana" w:eastAsia="MS Mincho" w:hAnsi="Verdana" w:cs="Times New Roman"/>
          <w:sz w:val="20"/>
          <w:szCs w:val="20"/>
          <w:lang w:val="es-ES_tradnl" w:eastAsia="es-ES"/>
        </w:rPr>
      </w:pPr>
    </w:p>
    <w:p w14:paraId="2BCEB683"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Adicionalmente, durante la audiencia pública ante la Corte IDH, el representante de las víctimas manifestó que: </w:t>
      </w:r>
    </w:p>
    <w:p w14:paraId="343C7CCF" w14:textId="77777777" w:rsidR="0027007E" w:rsidRPr="0027007E" w:rsidRDefault="0027007E" w:rsidP="0027007E">
      <w:pPr>
        <w:spacing w:after="0" w:line="240" w:lineRule="auto"/>
        <w:ind w:left="708"/>
        <w:contextualSpacing/>
        <w:jc w:val="both"/>
        <w:rPr>
          <w:rFonts w:ascii="Verdana" w:eastAsia="MS Mincho" w:hAnsi="Verdana" w:cs="Times New Roman"/>
          <w:sz w:val="20"/>
          <w:szCs w:val="20"/>
          <w:lang w:val="es-ES_tradnl" w:eastAsia="es-ES"/>
        </w:rPr>
      </w:pPr>
    </w:p>
    <w:p w14:paraId="0F8CD40A"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 En presencia de un acto de discriminación y de una violación de derechos fundamentales que, entre otras cosas, </w:t>
      </w:r>
      <w:r w:rsidRPr="0027007E">
        <w:rPr>
          <w:rFonts w:ascii="Verdana" w:eastAsia="MS Mincho" w:hAnsi="Verdana" w:cs="Times New Roman"/>
          <w:sz w:val="18"/>
          <w:szCs w:val="18"/>
          <w:u w:val="single"/>
          <w:lang w:val="es-ES_tradnl" w:eastAsia="es-ES"/>
        </w:rPr>
        <w:t xml:space="preserve">se tradujo en el despido de las víctimas de sus cargos de la administración pública </w:t>
      </w:r>
      <w:r w:rsidRPr="0027007E">
        <w:rPr>
          <w:rFonts w:ascii="Verdana" w:eastAsia="MS Mincho" w:hAnsi="Verdana" w:cs="Times New Roman"/>
          <w:sz w:val="18"/>
          <w:szCs w:val="18"/>
          <w:lang w:val="es-ES_tradnl" w:eastAsia="es-ES"/>
        </w:rPr>
        <w:t xml:space="preserve">nosotros introdujimos ante las instancias nacionales un recurso de amparo constitucional ante la jurisdicción laboral, amparo constitucional […] porque los derechos afectados eran derechos fundamentales y porque la única forma que teníamos de objetar el derecho lesionado, la discriminación política, era precisamente por esa vía. </w:t>
      </w:r>
    </w:p>
    <w:p w14:paraId="28AF3802"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w:t>
      </w:r>
    </w:p>
    <w:p w14:paraId="65047D4A"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lang w:val="es-ES_tradnl" w:eastAsia="es-ES"/>
        </w:rPr>
      </w:pPr>
    </w:p>
    <w:p w14:paraId="7847748B"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u w:val="single"/>
          <w:lang w:val="es-ES_tradnl" w:eastAsia="es-ES"/>
        </w:rPr>
      </w:pPr>
      <w:r w:rsidRPr="0027007E">
        <w:rPr>
          <w:rFonts w:ascii="Verdana" w:eastAsia="MS Mincho" w:hAnsi="Verdana" w:cs="Times New Roman"/>
          <w:sz w:val="18"/>
          <w:szCs w:val="18"/>
          <w:lang w:val="es-ES_tradnl" w:eastAsia="es-ES"/>
        </w:rPr>
        <w:t xml:space="preserve">[…] Los derechos humanos son los derechos de todos sin distinción de ninguna especie, ni la libertad de expresión, ni los derechos políticos, ni el derecho de acceso a los cargos públicos, </w:t>
      </w:r>
      <w:r w:rsidRPr="0027007E">
        <w:rPr>
          <w:rFonts w:ascii="Verdana" w:eastAsia="MS Mincho" w:hAnsi="Verdana" w:cs="Times New Roman"/>
          <w:sz w:val="18"/>
          <w:szCs w:val="18"/>
          <w:u w:val="single"/>
          <w:lang w:val="es-ES_tradnl" w:eastAsia="es-ES"/>
        </w:rPr>
        <w:t xml:space="preserve">ni el derecho al trabajo </w:t>
      </w:r>
      <w:r w:rsidRPr="0027007E">
        <w:rPr>
          <w:rFonts w:ascii="Verdana" w:eastAsia="MS Mincho" w:hAnsi="Verdana" w:cs="Times New Roman"/>
          <w:sz w:val="18"/>
          <w:szCs w:val="18"/>
          <w:lang w:val="es-ES_tradnl" w:eastAsia="es-ES"/>
        </w:rPr>
        <w:t>en los términos [en] que está consagrado en el Protocolo de San Salvador</w:t>
      </w:r>
      <w:r w:rsidRPr="0027007E">
        <w:rPr>
          <w:rFonts w:ascii="Verdana" w:eastAsia="MS Mincho" w:hAnsi="Verdana" w:cs="Times New Roman"/>
          <w:sz w:val="18"/>
          <w:szCs w:val="18"/>
          <w:u w:val="single"/>
          <w:lang w:val="es-ES_tradnl" w:eastAsia="es-ES"/>
        </w:rPr>
        <w:t xml:space="preserve"> o en los términos que se deducen del artículo 26 de la misma Convención Americana, excluyen su aplicación a quienes sostengan determinadas ideas […]</w:t>
      </w:r>
    </w:p>
    <w:p w14:paraId="684EF194"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u w:val="single"/>
          <w:lang w:val="es-ES_tradnl" w:eastAsia="es-ES"/>
        </w:rPr>
      </w:pPr>
    </w:p>
    <w:p w14:paraId="3796A8FC"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w:t>
      </w:r>
    </w:p>
    <w:p w14:paraId="29DDACCE"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lang w:val="es-ES_tradnl" w:eastAsia="es-ES"/>
        </w:rPr>
      </w:pPr>
    </w:p>
    <w:p w14:paraId="383B2BD6" w14:textId="77777777" w:rsidR="0027007E" w:rsidRPr="0027007E" w:rsidRDefault="0027007E" w:rsidP="0027007E">
      <w:pPr>
        <w:spacing w:after="0" w:line="240" w:lineRule="auto"/>
        <w:ind w:left="708" w:right="566"/>
        <w:contextualSpacing/>
        <w:jc w:val="both"/>
        <w:rPr>
          <w:rFonts w:ascii="Verdana" w:eastAsia="MS Mincho" w:hAnsi="Verdana" w:cs="Times New Roman"/>
          <w:sz w:val="18"/>
          <w:szCs w:val="18"/>
          <w:u w:val="single"/>
          <w:lang w:val="es-ES_tradnl" w:eastAsia="es-ES"/>
        </w:rPr>
      </w:pPr>
      <w:r w:rsidRPr="0027007E">
        <w:rPr>
          <w:rFonts w:ascii="Verdana" w:eastAsia="MS Mincho" w:hAnsi="Verdana" w:cs="Times New Roman"/>
          <w:sz w:val="18"/>
          <w:szCs w:val="18"/>
          <w:lang w:val="es-ES_tradnl" w:eastAsia="es-ES"/>
        </w:rPr>
        <w:t xml:space="preserve">[…] Hemos escuchado de las víctimas </w:t>
      </w:r>
      <w:r w:rsidRPr="0027007E">
        <w:rPr>
          <w:rFonts w:ascii="Verdana" w:eastAsia="MS Mincho" w:hAnsi="Verdana" w:cs="Times New Roman"/>
          <w:sz w:val="18"/>
          <w:szCs w:val="18"/>
          <w:u w:val="single"/>
          <w:lang w:val="es-ES_tradnl" w:eastAsia="es-ES"/>
        </w:rPr>
        <w:t>la acreditación de una destitución, de un despido, de la eliminación de un contrato laboral, como consecuencia de una sanción, de una pena impuesta sin proceso previo, sin ser oídas en forma anterior, sin escuchar las pruebas de cargos, sin tener la posibilidad de presentar las pruebas de descargo. […]</w:t>
      </w:r>
      <w:r w:rsidRPr="0027007E">
        <w:rPr>
          <w:rFonts w:ascii="Verdana" w:eastAsia="MS Mincho" w:hAnsi="Verdana" w:cs="Times New Roman"/>
          <w:sz w:val="18"/>
          <w:szCs w:val="18"/>
          <w:u w:val="single"/>
          <w:vertAlign w:val="superscript"/>
          <w:lang w:val="es-ES_tradnl" w:eastAsia="es-ES"/>
        </w:rPr>
        <w:footnoteReference w:id="323"/>
      </w:r>
      <w:r w:rsidRPr="0027007E">
        <w:rPr>
          <w:rFonts w:ascii="Verdana" w:eastAsia="MS Mincho" w:hAnsi="Verdana" w:cs="Times New Roman"/>
          <w:sz w:val="18"/>
          <w:szCs w:val="18"/>
          <w:u w:val="single"/>
          <w:lang w:val="es-ES_tradnl" w:eastAsia="es-ES"/>
        </w:rPr>
        <w:t xml:space="preserve">. </w:t>
      </w:r>
    </w:p>
    <w:p w14:paraId="510D71C7" w14:textId="77777777" w:rsidR="0027007E" w:rsidRPr="0027007E" w:rsidRDefault="0027007E" w:rsidP="0027007E">
      <w:pPr>
        <w:spacing w:after="0" w:line="240" w:lineRule="auto"/>
        <w:jc w:val="both"/>
        <w:rPr>
          <w:rFonts w:ascii="Verdana" w:eastAsia="MS Mincho" w:hAnsi="Verdana" w:cs="Times New Roman"/>
          <w:sz w:val="18"/>
          <w:szCs w:val="18"/>
          <w:lang w:val="es-ES_tradnl" w:eastAsia="es-ES"/>
        </w:rPr>
      </w:pPr>
    </w:p>
    <w:p w14:paraId="0BD2D29C"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el Escrito de Argumentos Finales, el representante también externó que: </w:t>
      </w:r>
    </w:p>
    <w:p w14:paraId="31E6730E" w14:textId="77777777" w:rsidR="0027007E" w:rsidRPr="0027007E" w:rsidRDefault="0027007E" w:rsidP="0027007E">
      <w:pPr>
        <w:spacing w:after="0" w:line="240" w:lineRule="auto"/>
        <w:ind w:left="708"/>
        <w:contextualSpacing/>
        <w:jc w:val="both"/>
        <w:rPr>
          <w:rFonts w:ascii="Verdana" w:eastAsia="MS Mincho" w:hAnsi="Verdana" w:cs="Times New Roman"/>
          <w:sz w:val="18"/>
          <w:szCs w:val="18"/>
          <w:lang w:val="es-ES_tradnl" w:eastAsia="es-ES"/>
        </w:rPr>
      </w:pPr>
    </w:p>
    <w:p w14:paraId="70D8A564" w14:textId="77777777" w:rsidR="0027007E" w:rsidRPr="0027007E" w:rsidRDefault="0027007E" w:rsidP="0027007E">
      <w:pPr>
        <w:spacing w:after="0" w:line="240" w:lineRule="auto"/>
        <w:ind w:left="708" w:right="850"/>
        <w:contextualSpacing/>
        <w:jc w:val="both"/>
        <w:rPr>
          <w:rFonts w:ascii="Verdana" w:eastAsia="MS Mincho" w:hAnsi="Verdana" w:cs="Times New Roman"/>
          <w:sz w:val="18"/>
          <w:szCs w:val="18"/>
          <w:lang w:val="es-ES_tradnl" w:eastAsia="es-ES"/>
        </w:rPr>
      </w:pPr>
      <w:r w:rsidRPr="0027007E">
        <w:rPr>
          <w:rFonts w:ascii="Verdana" w:eastAsia="MS Mincho" w:hAnsi="Verdana" w:cs="Times New Roman"/>
          <w:sz w:val="18"/>
          <w:szCs w:val="18"/>
          <w:lang w:val="es-ES_tradnl" w:eastAsia="es-ES"/>
        </w:rPr>
        <w:t xml:space="preserve">[…] se concluye que el Estado, incurrió en desviación de poder al echar mano a la formalidad de un contrato, para retirar a las víctimas por su participación como firmantes de la solicitud del proceso de revocatoria del Presidente […], siendo los contratados funcionarios públicos, que no podían ser retirados discrecionalmente sin motivación alguna y, en todo caso, sin debido proceso […]. </w:t>
      </w:r>
      <w:r w:rsidRPr="0027007E">
        <w:rPr>
          <w:rFonts w:ascii="Verdana" w:eastAsia="MS Mincho" w:hAnsi="Verdana" w:cs="Times New Roman"/>
          <w:sz w:val="18"/>
          <w:szCs w:val="18"/>
          <w:vertAlign w:val="superscript"/>
          <w:lang w:val="es-ES_tradnl" w:eastAsia="es-ES"/>
        </w:rPr>
        <w:footnoteReference w:id="324"/>
      </w:r>
      <w:r w:rsidRPr="0027007E">
        <w:rPr>
          <w:rFonts w:ascii="Verdana" w:eastAsia="MS Mincho" w:hAnsi="Verdana" w:cs="Times New Roman"/>
          <w:sz w:val="18"/>
          <w:szCs w:val="18"/>
          <w:lang w:val="es-ES_tradnl" w:eastAsia="es-ES"/>
        </w:rPr>
        <w:t xml:space="preserve"> </w:t>
      </w:r>
    </w:p>
    <w:p w14:paraId="424DEE34"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42B82AEA" w14:textId="4B8B92AE"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De esta manera es claro que desde un inicio —en el escrito de la petición inicial ante la Comisión Interamericana— y en diferentes oportunidades posteriores en la Comisión y ante esta Corte IDH, fue la pretensión de las víctimas que este derecho encontrara protección. Esto también es concordante con los reclamos a nivel interno</w:t>
      </w:r>
      <w:r w:rsidRPr="0027007E">
        <w:rPr>
          <w:rFonts w:ascii="Verdana" w:eastAsia="MS Mincho" w:hAnsi="Verdana" w:cs="Times New Roman"/>
          <w:sz w:val="20"/>
          <w:szCs w:val="20"/>
          <w:vertAlign w:val="superscript"/>
          <w:lang w:val="es-ES_tradnl" w:eastAsia="es-ES"/>
        </w:rPr>
        <w:footnoteReference w:id="325"/>
      </w:r>
      <w:r w:rsidRPr="0027007E">
        <w:rPr>
          <w:rFonts w:ascii="Verdana" w:eastAsia="MS Mincho" w:hAnsi="Verdana" w:cs="Times New Roman"/>
          <w:sz w:val="20"/>
          <w:szCs w:val="20"/>
          <w:lang w:val="es-ES_tradnl" w:eastAsia="es-ES"/>
        </w:rPr>
        <w:t>. Es por ello que</w:t>
      </w:r>
      <w:r w:rsidR="00085632">
        <w:rPr>
          <w:rFonts w:ascii="Verdana" w:eastAsia="MS Mincho" w:hAnsi="Verdana" w:cs="Times New Roman"/>
          <w:sz w:val="20"/>
          <w:szCs w:val="20"/>
          <w:lang w:val="es-ES_tradnl" w:eastAsia="es-ES"/>
        </w:rPr>
        <w:t xml:space="preserve"> </w:t>
      </w:r>
      <w:r w:rsidRPr="0027007E">
        <w:rPr>
          <w:rFonts w:ascii="Verdana" w:eastAsia="MS Mincho" w:hAnsi="Verdana" w:cs="Times New Roman"/>
          <w:sz w:val="20"/>
          <w:szCs w:val="20"/>
          <w:lang w:val="es-ES_tradnl" w:eastAsia="es-ES"/>
        </w:rPr>
        <w:lastRenderedPageBreak/>
        <w:t xml:space="preserve">invocar el principio </w:t>
      </w:r>
      <w:proofErr w:type="spellStart"/>
      <w:r w:rsidRPr="0027007E">
        <w:rPr>
          <w:rFonts w:ascii="Verdana" w:eastAsia="MS Mincho" w:hAnsi="Verdana" w:cs="Times New Roman"/>
          <w:i/>
          <w:sz w:val="20"/>
          <w:szCs w:val="20"/>
          <w:lang w:val="es-ES_tradnl" w:eastAsia="es-ES"/>
        </w:rPr>
        <w:t>iura</w:t>
      </w:r>
      <w:proofErr w:type="spellEnd"/>
      <w:r w:rsidRPr="0027007E">
        <w:rPr>
          <w:rFonts w:ascii="Verdana" w:eastAsia="MS Mincho" w:hAnsi="Verdana" w:cs="Times New Roman"/>
          <w:i/>
          <w:sz w:val="20"/>
          <w:szCs w:val="20"/>
          <w:lang w:val="es-ES_tradnl" w:eastAsia="es-ES"/>
        </w:rPr>
        <w:t xml:space="preserve"> </w:t>
      </w:r>
      <w:proofErr w:type="spellStart"/>
      <w:r w:rsidRPr="0027007E">
        <w:rPr>
          <w:rFonts w:ascii="Verdana" w:eastAsia="MS Mincho" w:hAnsi="Verdana" w:cs="Times New Roman"/>
          <w:i/>
          <w:sz w:val="20"/>
          <w:szCs w:val="20"/>
          <w:lang w:val="es-ES_tradnl" w:eastAsia="es-ES"/>
        </w:rPr>
        <w:t>novit</w:t>
      </w:r>
      <w:proofErr w:type="spellEnd"/>
      <w:r w:rsidRPr="0027007E">
        <w:rPr>
          <w:rFonts w:ascii="Verdana" w:eastAsia="MS Mincho" w:hAnsi="Verdana" w:cs="Times New Roman"/>
          <w:i/>
          <w:sz w:val="20"/>
          <w:szCs w:val="20"/>
          <w:lang w:val="es-ES_tradnl" w:eastAsia="es-ES"/>
        </w:rPr>
        <w:t xml:space="preserve"> curia</w:t>
      </w:r>
      <w:r w:rsidRPr="0027007E">
        <w:rPr>
          <w:rFonts w:ascii="Verdana" w:eastAsia="MS Mincho" w:hAnsi="Verdana" w:cs="Times New Roman"/>
          <w:sz w:val="20"/>
          <w:szCs w:val="20"/>
          <w:lang w:val="es-ES_tradnl" w:eastAsia="es-ES"/>
        </w:rPr>
        <w:t xml:space="preserve"> en relación con el derecho al trabajo fue fundamental para poder dotar de una mejor compresión a la situación en concreto en la que las víctimas del presente caso vieron transgredidos sus derechos. Lo anterior, teniendo en consideración que “las partes han tenido la oportunidad de expresar sus respectivas posiciones en relación con los hechos que las sustentan</w:t>
      </w:r>
      <w:proofErr w:type="gramStart"/>
      <w:r w:rsidRPr="0027007E">
        <w:rPr>
          <w:rFonts w:ascii="Verdana" w:eastAsia="MS Mincho" w:hAnsi="Verdana" w:cs="Times New Roman"/>
          <w:sz w:val="20"/>
          <w:szCs w:val="20"/>
          <w:lang w:val="es-ES_tradnl" w:eastAsia="es-ES"/>
        </w:rPr>
        <w:t>”</w:t>
      </w:r>
      <w:r w:rsidRPr="0027007E">
        <w:rPr>
          <w:rFonts w:ascii="Verdana" w:eastAsia="MS Mincho" w:hAnsi="Verdana" w:cs="Times New Roman"/>
          <w:sz w:val="20"/>
          <w:szCs w:val="20"/>
          <w:vertAlign w:val="superscript"/>
          <w:lang w:val="es-ES_tradnl" w:eastAsia="es-ES"/>
        </w:rPr>
        <w:t xml:space="preserve"> </w:t>
      </w:r>
      <w:proofErr w:type="gramEnd"/>
      <w:r w:rsidRPr="0027007E">
        <w:rPr>
          <w:rFonts w:ascii="Verdana" w:eastAsia="MS Mincho" w:hAnsi="Verdana" w:cs="Times New Roman"/>
          <w:sz w:val="20"/>
          <w:szCs w:val="20"/>
          <w:vertAlign w:val="superscript"/>
          <w:lang w:val="es-ES_tradnl" w:eastAsia="es-ES"/>
        </w:rPr>
        <w:footnoteReference w:id="326"/>
      </w:r>
      <w:r w:rsidRPr="0027007E">
        <w:rPr>
          <w:rFonts w:ascii="Verdana" w:eastAsia="MS Mincho" w:hAnsi="Verdana" w:cs="Times New Roman"/>
          <w:sz w:val="20"/>
          <w:szCs w:val="20"/>
          <w:lang w:val="es-ES_tradnl" w:eastAsia="es-ES"/>
        </w:rPr>
        <w:t>. Por lo que la Corte IDH decidió, “a la luz del artículo 29 de la Convención Americana”, proceder al examen del derecho al trabajo de conformidad con el artículo 26 del Pacto de San José.</w:t>
      </w:r>
    </w:p>
    <w:p w14:paraId="2E532DAC"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 </w:t>
      </w:r>
    </w:p>
    <w:p w14:paraId="480BF115" w14:textId="77777777" w:rsidR="0027007E" w:rsidRPr="0027007E" w:rsidRDefault="0027007E" w:rsidP="00837BB9">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el caso de las señoras San Miguel Sosa, Chang Girón y Coromoto Peña, la Corte IDH concluyó que existió una violación al derecho al trabajo </w:t>
      </w:r>
      <w:r w:rsidRPr="0027007E">
        <w:rPr>
          <w:rFonts w:ascii="Verdana" w:eastAsia="MS Mincho" w:hAnsi="Verdana" w:cs="Times New Roman"/>
          <w:i/>
          <w:sz w:val="20"/>
          <w:szCs w:val="20"/>
          <w:lang w:val="es-ES_tradnl" w:eastAsia="es-ES"/>
        </w:rPr>
        <w:t xml:space="preserve">vinculado con todos los derechos </w:t>
      </w:r>
      <w:r w:rsidRPr="0027007E">
        <w:rPr>
          <w:rFonts w:ascii="Verdana" w:eastAsia="MS Mincho" w:hAnsi="Verdana" w:cs="Times New Roman"/>
          <w:sz w:val="20"/>
          <w:szCs w:val="20"/>
          <w:lang w:val="es-ES_tradnl" w:eastAsia="es-ES"/>
        </w:rPr>
        <w:t>que con anterioridad se habían analizado y declarado violados</w:t>
      </w:r>
      <w:r w:rsidRPr="0027007E">
        <w:rPr>
          <w:rFonts w:ascii="Verdana" w:eastAsia="MS Mincho" w:hAnsi="Verdana" w:cs="Times New Roman"/>
          <w:sz w:val="20"/>
          <w:szCs w:val="20"/>
          <w:vertAlign w:val="superscript"/>
          <w:lang w:val="es-ES_tradnl" w:eastAsia="es-ES"/>
        </w:rPr>
        <w:footnoteReference w:id="327"/>
      </w:r>
      <w:r w:rsidRPr="0027007E">
        <w:rPr>
          <w:rFonts w:ascii="Verdana" w:eastAsia="MS Mincho" w:hAnsi="Verdana" w:cs="Times New Roman"/>
          <w:sz w:val="20"/>
          <w:szCs w:val="20"/>
          <w:lang w:val="es-ES_tradnl" w:eastAsia="es-ES"/>
        </w:rPr>
        <w:t xml:space="preserve">. En el caso el Tribunal Interamericano estableció que: </w:t>
      </w:r>
    </w:p>
    <w:p w14:paraId="404D173A" w14:textId="77777777" w:rsidR="00085632" w:rsidRPr="00085632" w:rsidRDefault="00085632" w:rsidP="00837BB9">
      <w:pPr>
        <w:pBdr>
          <w:top w:val="nil"/>
        </w:pBdr>
        <w:tabs>
          <w:tab w:val="left" w:pos="8505"/>
        </w:tabs>
        <w:autoSpaceDE w:val="0"/>
        <w:autoSpaceDN w:val="0"/>
        <w:adjustRightInd w:val="0"/>
        <w:spacing w:after="0" w:line="240" w:lineRule="auto"/>
        <w:ind w:left="708" w:right="899"/>
        <w:jc w:val="both"/>
        <w:rPr>
          <w:rFonts w:ascii="Verdana" w:eastAsia="Cambria" w:hAnsi="Verdana" w:cs="Cambria"/>
          <w:color w:val="000000"/>
          <w:sz w:val="10"/>
          <w:szCs w:val="18"/>
          <w:u w:color="000000"/>
          <w:lang w:val="es-ES_tradnl" w:eastAsia="es-ES"/>
        </w:rPr>
      </w:pPr>
    </w:p>
    <w:p w14:paraId="7FF91611" w14:textId="77777777" w:rsidR="0027007E" w:rsidRPr="0027007E" w:rsidRDefault="0027007E" w:rsidP="00837BB9">
      <w:pPr>
        <w:pBdr>
          <w:top w:val="nil"/>
        </w:pBdr>
        <w:tabs>
          <w:tab w:val="left" w:pos="8505"/>
        </w:tabs>
        <w:autoSpaceDE w:val="0"/>
        <w:autoSpaceDN w:val="0"/>
        <w:adjustRightInd w:val="0"/>
        <w:spacing w:after="0" w:line="240" w:lineRule="auto"/>
        <w:ind w:left="708" w:right="899"/>
        <w:jc w:val="both"/>
        <w:rPr>
          <w:rFonts w:ascii="Verdana" w:eastAsia="Cambria" w:hAnsi="Verdana" w:cs="Cambria"/>
          <w:color w:val="000000"/>
          <w:sz w:val="18"/>
          <w:szCs w:val="18"/>
          <w:u w:color="000000"/>
          <w:lang w:val="es-ES_tradnl" w:eastAsia="es-ES"/>
        </w:rPr>
      </w:pPr>
      <w:r w:rsidRPr="0027007E">
        <w:rPr>
          <w:rFonts w:ascii="Verdana" w:eastAsia="Cambria" w:hAnsi="Verdana" w:cs="Cambria"/>
          <w:color w:val="000000"/>
          <w:sz w:val="18"/>
          <w:szCs w:val="18"/>
          <w:u w:color="000000"/>
          <w:lang w:val="es-ES_tradnl" w:eastAsia="es-ES"/>
        </w:rPr>
        <w:t xml:space="preserve">222. En consecuencia, la Corte declara que </w:t>
      </w:r>
      <w:r w:rsidRPr="0027007E">
        <w:rPr>
          <w:rFonts w:ascii="Verdana" w:eastAsia="Cambria" w:hAnsi="Verdana" w:cs="Cambria"/>
          <w:color w:val="000000"/>
          <w:sz w:val="18"/>
          <w:szCs w:val="18"/>
          <w:u w:val="single" w:color="000000"/>
          <w:lang w:val="es-ES_tradnl" w:eastAsia="es-ES"/>
        </w:rPr>
        <w:t>el Estado es responsable por la violación del derecho al trabajo</w:t>
      </w:r>
      <w:r w:rsidRPr="0027007E">
        <w:rPr>
          <w:rFonts w:ascii="Verdana" w:eastAsia="Cambria" w:hAnsi="Verdana" w:cs="Cambria"/>
          <w:color w:val="000000"/>
          <w:sz w:val="18"/>
          <w:szCs w:val="18"/>
          <w:u w:val="single"/>
          <w:lang w:val="es-ES_tradnl" w:eastAsia="es-ES"/>
        </w:rPr>
        <w:t xml:space="preserve">, </w:t>
      </w:r>
      <w:r w:rsidRPr="0027007E">
        <w:rPr>
          <w:rFonts w:ascii="Verdana" w:eastAsia="Cambria" w:hAnsi="Verdana" w:cs="Cambria"/>
          <w:color w:val="000000"/>
          <w:sz w:val="18"/>
          <w:szCs w:val="18"/>
          <w:u w:val="single" w:color="000000"/>
          <w:lang w:val="es-ES_tradnl" w:eastAsia="es-ES"/>
        </w:rPr>
        <w:t>reconocido en el artículo 26 de la Convención</w:t>
      </w:r>
      <w:r w:rsidRPr="0027007E">
        <w:rPr>
          <w:rFonts w:ascii="Verdana" w:eastAsia="Cambria" w:hAnsi="Verdana" w:cs="Cambria"/>
          <w:color w:val="000000"/>
          <w:sz w:val="18"/>
          <w:szCs w:val="18"/>
          <w:u w:val="single"/>
          <w:lang w:val="es-ES_tradnl" w:eastAsia="es-ES"/>
        </w:rPr>
        <w:t xml:space="preserve">, </w:t>
      </w:r>
      <w:r w:rsidRPr="0027007E">
        <w:rPr>
          <w:rFonts w:ascii="Verdana" w:eastAsia="Cambria" w:hAnsi="Verdana" w:cs="Cambria"/>
          <w:color w:val="000000"/>
          <w:sz w:val="18"/>
          <w:szCs w:val="18"/>
          <w:u w:val="single" w:color="000000"/>
          <w:lang w:val="es-ES_tradnl" w:eastAsia="es-ES"/>
        </w:rPr>
        <w:t>en relación con los derechos a la participación política, a la libertad de expresión y de acceso a la justicia, así como con el principio de no discriminación, reconocidos en los artículos 23.1, 13.1, 8.1, 25.1 y 1.1</w:t>
      </w:r>
      <w:r w:rsidRPr="0027007E">
        <w:rPr>
          <w:rFonts w:ascii="Verdana" w:eastAsia="Cambria" w:hAnsi="Verdana" w:cs="Cambria"/>
          <w:color w:val="000000"/>
          <w:sz w:val="18"/>
          <w:szCs w:val="18"/>
          <w:u w:color="000000"/>
          <w:lang w:val="es-ES_tradnl" w:eastAsia="es-ES"/>
        </w:rPr>
        <w:t xml:space="preserve"> de aquel instrumento, en </w:t>
      </w:r>
      <w:r w:rsidRPr="0027007E">
        <w:rPr>
          <w:rFonts w:ascii="Verdana" w:eastAsia="MS Mincho" w:hAnsi="Verdana" w:cs="Times New Roman"/>
          <w:sz w:val="18"/>
          <w:szCs w:val="18"/>
          <w:lang w:val="es-ES_tradnl" w:eastAsia="es-ES"/>
        </w:rPr>
        <w:t xml:space="preserve">perjuicio de Rocío San Miguel Sosa, </w:t>
      </w:r>
      <w:proofErr w:type="spellStart"/>
      <w:r w:rsidRPr="0027007E">
        <w:rPr>
          <w:rFonts w:ascii="Verdana" w:eastAsia="MS Mincho" w:hAnsi="Verdana" w:cs="Times New Roman"/>
          <w:sz w:val="18"/>
          <w:szCs w:val="18"/>
          <w:lang w:val="es-ES_tradnl" w:eastAsia="es-ES"/>
        </w:rPr>
        <w:t>Magally</w:t>
      </w:r>
      <w:proofErr w:type="spellEnd"/>
      <w:r w:rsidRPr="0027007E">
        <w:rPr>
          <w:rFonts w:ascii="Verdana" w:eastAsia="MS Mincho" w:hAnsi="Verdana" w:cs="Times New Roman"/>
          <w:sz w:val="18"/>
          <w:szCs w:val="18"/>
          <w:lang w:val="es-ES_tradnl" w:eastAsia="es-ES"/>
        </w:rPr>
        <w:t xml:space="preserve"> Chang Girón y Thais Coromoto Peña</w:t>
      </w:r>
      <w:r w:rsidRPr="0027007E">
        <w:rPr>
          <w:rFonts w:ascii="Verdana" w:eastAsia="MS Mincho" w:hAnsi="Verdana" w:cs="Times New Roman"/>
          <w:sz w:val="18"/>
          <w:szCs w:val="18"/>
          <w:vertAlign w:val="superscript"/>
          <w:lang w:val="es-ES_tradnl" w:eastAsia="es-ES"/>
        </w:rPr>
        <w:footnoteReference w:id="328"/>
      </w:r>
      <w:r w:rsidRPr="0027007E">
        <w:rPr>
          <w:rFonts w:ascii="Verdana" w:eastAsia="MS Mincho" w:hAnsi="Verdana" w:cs="Times New Roman"/>
          <w:sz w:val="18"/>
          <w:szCs w:val="18"/>
          <w:lang w:val="es-ES_tradnl" w:eastAsia="es-ES"/>
        </w:rPr>
        <w:t>.</w:t>
      </w:r>
      <w:r w:rsidRPr="0027007E">
        <w:rPr>
          <w:rFonts w:ascii="Verdana" w:eastAsia="Cambria" w:hAnsi="Verdana" w:cs="Cambria"/>
          <w:color w:val="000000"/>
          <w:sz w:val="18"/>
          <w:szCs w:val="18"/>
          <w:u w:color="000000"/>
          <w:lang w:val="es-ES_tradnl" w:eastAsia="es-ES"/>
        </w:rPr>
        <w:t xml:space="preserve"> [Énfasis añadido]</w:t>
      </w:r>
    </w:p>
    <w:p w14:paraId="11D07BEC" w14:textId="77777777" w:rsidR="0027007E" w:rsidRPr="00085632" w:rsidRDefault="0027007E" w:rsidP="0027007E">
      <w:pPr>
        <w:spacing w:after="0" w:line="240" w:lineRule="auto"/>
        <w:contextualSpacing/>
        <w:jc w:val="both"/>
        <w:rPr>
          <w:rFonts w:ascii="Verdana" w:eastAsia="MS Mincho" w:hAnsi="Verdana" w:cs="Times New Roman"/>
          <w:sz w:val="14"/>
          <w:szCs w:val="20"/>
          <w:lang w:val="es-ES_tradnl" w:eastAsia="es-ES"/>
        </w:rPr>
      </w:pPr>
    </w:p>
    <w:p w14:paraId="062EB5E0" w14:textId="77777777" w:rsidR="0027007E" w:rsidRPr="00085632" w:rsidRDefault="0027007E" w:rsidP="00837BB9">
      <w:pPr>
        <w:numPr>
          <w:ilvl w:val="0"/>
          <w:numId w:val="34"/>
        </w:numPr>
        <w:spacing w:after="0" w:line="240" w:lineRule="auto"/>
        <w:ind w:left="0" w:firstLine="0"/>
        <w:contextualSpacing/>
        <w:jc w:val="both"/>
        <w:rPr>
          <w:rFonts w:ascii="Verdana" w:eastAsia="MS Mincho" w:hAnsi="Verdana" w:cs="Times New Roman"/>
          <w:sz w:val="16"/>
          <w:szCs w:val="20"/>
          <w:lang w:val="es-ES_tradnl" w:eastAsia="es-ES"/>
        </w:rPr>
      </w:pPr>
      <w:r w:rsidRPr="0027007E">
        <w:rPr>
          <w:rFonts w:ascii="Verdana" w:eastAsia="MS Mincho" w:hAnsi="Verdana" w:cs="Times New Roman"/>
          <w:sz w:val="20"/>
          <w:szCs w:val="20"/>
          <w:lang w:val="es-ES_tradnl" w:eastAsia="es-ES"/>
        </w:rPr>
        <w:t xml:space="preserve">Todas y cada una de las violaciones que se suscitaron en el caso de las tres víctimas tenían en común un </w:t>
      </w:r>
      <w:r w:rsidRPr="0027007E">
        <w:rPr>
          <w:rFonts w:ascii="Verdana" w:eastAsia="MS Mincho" w:hAnsi="Verdana" w:cs="Times New Roman"/>
          <w:i/>
          <w:sz w:val="20"/>
          <w:szCs w:val="20"/>
          <w:lang w:val="es-ES_tradnl" w:eastAsia="es-ES"/>
        </w:rPr>
        <w:t>mismo hecho generador</w:t>
      </w:r>
      <w:r w:rsidRPr="0027007E">
        <w:rPr>
          <w:rFonts w:ascii="Verdana" w:eastAsia="MS Mincho" w:hAnsi="Verdana" w:cs="Times New Roman"/>
          <w:sz w:val="20"/>
          <w:szCs w:val="20"/>
          <w:lang w:val="es-ES_tradnl" w:eastAsia="es-ES"/>
        </w:rPr>
        <w:t>, tal como queda plasmado en la Sentencia</w:t>
      </w:r>
      <w:r w:rsidRPr="0027007E">
        <w:rPr>
          <w:rFonts w:ascii="Verdana" w:eastAsia="MS Mincho" w:hAnsi="Verdana" w:cs="Times New Roman"/>
          <w:sz w:val="20"/>
          <w:szCs w:val="20"/>
          <w:vertAlign w:val="superscript"/>
          <w:lang w:val="es-ES_tradnl" w:eastAsia="es-ES"/>
        </w:rPr>
        <w:footnoteReference w:id="329"/>
      </w:r>
      <w:r w:rsidRPr="0027007E">
        <w:rPr>
          <w:rFonts w:ascii="Verdana" w:eastAsia="MS Mincho" w:hAnsi="Verdana" w:cs="Times New Roman"/>
          <w:sz w:val="20"/>
          <w:szCs w:val="20"/>
          <w:lang w:val="es-ES_tradnl" w:eastAsia="es-ES"/>
        </w:rPr>
        <w:t xml:space="preserve">: </w:t>
      </w:r>
      <w:r w:rsidRPr="0027007E">
        <w:rPr>
          <w:rFonts w:ascii="Verdana" w:eastAsia="MS Mincho" w:hAnsi="Verdana" w:cs="Times New Roman"/>
          <w:i/>
          <w:sz w:val="20"/>
          <w:szCs w:val="20"/>
          <w:lang w:val="es-ES_tradnl" w:eastAsia="es-ES"/>
        </w:rPr>
        <w:t xml:space="preserve">la terminación de los contratos de las víctimas. </w:t>
      </w:r>
      <w:r w:rsidRPr="0027007E">
        <w:rPr>
          <w:rFonts w:ascii="Verdana" w:eastAsia="MS Mincho" w:hAnsi="Verdana" w:cs="Times New Roman"/>
          <w:sz w:val="20"/>
          <w:szCs w:val="20"/>
          <w:lang w:val="es-ES_tradnl" w:eastAsia="es-ES"/>
        </w:rPr>
        <w:t xml:space="preserve">Con base en este hecho generador el Tribunal Interamericano en realidad lo que hace en el desarrollo de la Sentencia, es analizar el impacto de derechos civiles y políticos dentro de contextos laborales y cómo estos repercutieron en el respeto y garantía del derecho al trabajo bajo los artículos 1.1, 23, 13, 8 y 25 del Pacto de San José.  </w:t>
      </w:r>
    </w:p>
    <w:p w14:paraId="4E5DA1DE" w14:textId="77777777" w:rsidR="00085632" w:rsidRPr="00085632" w:rsidRDefault="00085632" w:rsidP="00085632">
      <w:pPr>
        <w:spacing w:after="0" w:line="240" w:lineRule="auto"/>
        <w:contextualSpacing/>
        <w:jc w:val="both"/>
        <w:rPr>
          <w:rFonts w:ascii="Verdana" w:eastAsia="MS Mincho" w:hAnsi="Verdana" w:cs="Times New Roman"/>
          <w:sz w:val="16"/>
          <w:szCs w:val="20"/>
          <w:lang w:val="es-ES_tradnl" w:eastAsia="es-ES"/>
        </w:rPr>
      </w:pPr>
    </w:p>
    <w:p w14:paraId="38C6405D"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Así, en primer lugar, sobre la violación del derecho a la participación política contemplado en el artículo 23 del Pacto de San José, el Tribunal Interamericano consideró </w:t>
      </w:r>
      <w:r w:rsidRPr="0027007E">
        <w:rPr>
          <w:rFonts w:ascii="Verdana" w:eastAsia="MS Mincho" w:hAnsi="Verdana" w:cs="Times New Roman"/>
          <w:sz w:val="20"/>
          <w:szCs w:val="20"/>
          <w:lang w:val="es-ES_tradnl" w:eastAsia="es-ES"/>
        </w:rPr>
        <w:lastRenderedPageBreak/>
        <w:t>que “[m]</w:t>
      </w:r>
      <w:proofErr w:type="spellStart"/>
      <w:r w:rsidRPr="0027007E">
        <w:rPr>
          <w:rFonts w:ascii="Verdana" w:eastAsia="MS Mincho" w:hAnsi="Verdana" w:cs="Times New Roman"/>
          <w:sz w:val="20"/>
          <w:szCs w:val="20"/>
          <w:lang w:val="es-ES_tradnl" w:eastAsia="es-ES"/>
        </w:rPr>
        <w:t>ás</w:t>
      </w:r>
      <w:proofErr w:type="spellEnd"/>
      <w:r w:rsidRPr="0027007E">
        <w:rPr>
          <w:rFonts w:ascii="Verdana" w:eastAsia="MS Mincho" w:hAnsi="Verdana" w:cs="Times New Roman"/>
          <w:sz w:val="20"/>
          <w:szCs w:val="20"/>
          <w:lang w:val="es-ES_tradnl" w:eastAsia="es-ES"/>
        </w:rPr>
        <w:t xml:space="preserve"> allá de la naturaleza del vínculo de las presuntas víctimas con la administración pública, o de la necesidad de determinar si —en virtud de una clausula en su contrato— la autoridad respectiva tenía o no una facultad discrecional para darlos por terminado en cualquier momento, incluso sin motivación, en el caso </w:t>
      </w:r>
      <w:r w:rsidRPr="0027007E">
        <w:rPr>
          <w:rFonts w:ascii="Verdana" w:eastAsia="MS Mincho" w:hAnsi="Verdana" w:cs="Times New Roman"/>
          <w:i/>
          <w:sz w:val="20"/>
          <w:szCs w:val="20"/>
          <w:u w:val="single"/>
          <w:lang w:val="es-ES_tradnl" w:eastAsia="es-ES"/>
        </w:rPr>
        <w:t>el Estado no ha dado una explicación circunstanciada y precisa acerca de los motivos de su decisión[…]</w:t>
      </w:r>
      <w:r w:rsidRPr="0027007E">
        <w:rPr>
          <w:rFonts w:ascii="Verdana" w:eastAsia="MS Mincho" w:hAnsi="Verdana" w:cs="Times New Roman"/>
          <w:sz w:val="20"/>
          <w:szCs w:val="20"/>
          <w:u w:val="single"/>
          <w:lang w:val="es-ES_tradnl" w:eastAsia="es-ES"/>
        </w:rPr>
        <w:t>.</w:t>
      </w:r>
      <w:r w:rsidRPr="0027007E">
        <w:rPr>
          <w:rFonts w:ascii="Verdana" w:eastAsia="MS Mincho" w:hAnsi="Verdana" w:cs="Times New Roman"/>
          <w:i/>
          <w:sz w:val="20"/>
          <w:szCs w:val="20"/>
          <w:lang w:val="es-ES_tradnl" w:eastAsia="es-ES"/>
        </w:rPr>
        <w:t xml:space="preserve"> </w:t>
      </w:r>
    </w:p>
    <w:p w14:paraId="289FF0AD"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1AE0DBDD"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Por esta razón la Corte IDH concluyó que “</w:t>
      </w:r>
      <w:r w:rsidRPr="0027007E">
        <w:rPr>
          <w:rFonts w:ascii="Verdana" w:eastAsia="MS Mincho" w:hAnsi="Verdana" w:cs="Times New Roman"/>
          <w:i/>
          <w:sz w:val="20"/>
          <w:szCs w:val="20"/>
          <w:u w:val="single"/>
          <w:lang w:val="es-ES_tradnl" w:eastAsia="es-ES"/>
        </w:rPr>
        <w:t>la terminación de los contratos constituyó una forma de desviación de poder, utilizando dicha cláusula como velo de legalidad para encubrir la verdadera motivación o finalidad real, a saber: una represalia en su contra por haber ejercido legítimamente un derecho de carácter político constitucionalmente previsto, […]. Ello fue percibido por los funcionarios superiores [del Consejo Nacional de Fronteras]</w:t>
      </w:r>
      <w:r w:rsidRPr="0027007E">
        <w:rPr>
          <w:rFonts w:ascii="Verdana" w:eastAsia="MS Mincho" w:hAnsi="Verdana" w:cs="Times New Roman"/>
          <w:b/>
          <w:i/>
          <w:sz w:val="20"/>
          <w:szCs w:val="20"/>
          <w:u w:val="single"/>
          <w:lang w:val="es-ES_tradnl" w:eastAsia="es-ES"/>
        </w:rPr>
        <w:t xml:space="preserve"> </w:t>
      </w:r>
      <w:r w:rsidRPr="0027007E">
        <w:rPr>
          <w:rFonts w:ascii="Verdana" w:eastAsia="MS Mincho" w:hAnsi="Verdana" w:cs="Times New Roman"/>
          <w:i/>
          <w:sz w:val="20"/>
          <w:szCs w:val="20"/>
          <w:u w:val="single"/>
          <w:lang w:val="es-ES_tradnl" w:eastAsia="es-ES"/>
        </w:rPr>
        <w:t>como un acto de deslealtad política y cómo la manifestación de una opinión u orientación política opositora o disidente, que motivó un trato diferenciado hacia ellas, como en efecto fue el hecho de dar por terminada arbitrariamente la relación laboral”</w:t>
      </w:r>
      <w:r w:rsidRPr="0027007E">
        <w:rPr>
          <w:rFonts w:ascii="Verdana" w:eastAsia="MS Mincho" w:hAnsi="Verdana" w:cs="Times New Roman"/>
          <w:i/>
          <w:sz w:val="20"/>
          <w:szCs w:val="20"/>
          <w:u w:val="single"/>
          <w:vertAlign w:val="superscript"/>
          <w:lang w:val="es-ES_tradnl" w:eastAsia="es-ES"/>
        </w:rPr>
        <w:footnoteReference w:id="330"/>
      </w:r>
      <w:r w:rsidRPr="0027007E">
        <w:rPr>
          <w:rFonts w:ascii="Verdana" w:eastAsia="MS Mincho" w:hAnsi="Verdana" w:cs="Times New Roman"/>
          <w:sz w:val="20"/>
          <w:szCs w:val="20"/>
          <w:lang w:val="es-ES_tradnl" w:eastAsia="es-ES"/>
        </w:rPr>
        <w:t xml:space="preserve"> (énfasis añadido).</w:t>
      </w:r>
      <w:r w:rsidRPr="0027007E">
        <w:rPr>
          <w:rFonts w:ascii="Verdana" w:eastAsia="MS Mincho" w:hAnsi="Verdana" w:cs="Times New Roman"/>
          <w:b/>
          <w:i/>
          <w:sz w:val="20"/>
          <w:szCs w:val="20"/>
          <w:u w:val="single"/>
          <w:lang w:val="es-ES_tradnl" w:eastAsia="es-ES"/>
        </w:rPr>
        <w:t xml:space="preserve"> </w:t>
      </w:r>
    </w:p>
    <w:p w14:paraId="3F5F7DE9"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4D6E183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cuanto a la libertad de expresión, el Tribunal Interamericano consideró que “[…</w:t>
      </w:r>
      <w:proofErr w:type="gramStart"/>
      <w:r w:rsidRPr="0027007E">
        <w:rPr>
          <w:rFonts w:ascii="Verdana" w:eastAsia="MS Mincho" w:hAnsi="Verdana" w:cs="Times New Roman"/>
          <w:sz w:val="20"/>
          <w:szCs w:val="20"/>
          <w:lang w:val="es-ES_tradnl" w:eastAsia="es-ES"/>
        </w:rPr>
        <w:t>]el</w:t>
      </w:r>
      <w:proofErr w:type="gramEnd"/>
      <w:r w:rsidRPr="0027007E">
        <w:rPr>
          <w:rFonts w:ascii="Verdana" w:eastAsia="MS Mincho" w:hAnsi="Verdana" w:cs="Times New Roman"/>
          <w:sz w:val="20"/>
          <w:szCs w:val="20"/>
          <w:lang w:val="es-ES_tradnl" w:eastAsia="es-ES"/>
        </w:rPr>
        <w:t xml:space="preserve"> acto de firma de una solicitud de referendo fue, en un sentido amplio, una forma de opinión política, en cuanto implicaba la manifestación de que se consideraba necesario activar una consulta popular sobre un tema de interés público que es susceptible de deliberación en una sociedad democrática, aún si ello no equivale propiamente a la expresión de una específica o determinada opinión”</w:t>
      </w:r>
      <w:r w:rsidRPr="0027007E">
        <w:rPr>
          <w:rFonts w:ascii="Verdana" w:eastAsia="MS Mincho" w:hAnsi="Verdana" w:cs="Times New Roman"/>
          <w:sz w:val="20"/>
          <w:szCs w:val="20"/>
          <w:vertAlign w:val="superscript"/>
          <w:lang w:val="es-ES_tradnl" w:eastAsia="es-ES"/>
        </w:rPr>
        <w:footnoteReference w:id="331"/>
      </w:r>
      <w:r w:rsidRPr="0027007E">
        <w:rPr>
          <w:rFonts w:ascii="Verdana" w:eastAsia="MS Mincho" w:hAnsi="Verdana" w:cs="Times New Roman"/>
          <w:sz w:val="20"/>
          <w:szCs w:val="20"/>
          <w:lang w:val="es-ES_tradnl" w:eastAsia="es-ES"/>
        </w:rPr>
        <w:t xml:space="preserve">. Adicionalmente expresó que ”[el] despido arbitrario al que fueron sometidas, luego de la publicación de la lista </w:t>
      </w:r>
      <w:proofErr w:type="spellStart"/>
      <w:r w:rsidRPr="0027007E">
        <w:rPr>
          <w:rFonts w:ascii="Verdana" w:eastAsia="MS Mincho" w:hAnsi="Verdana" w:cs="Times New Roman"/>
          <w:sz w:val="20"/>
          <w:szCs w:val="20"/>
          <w:lang w:val="es-ES_tradnl" w:eastAsia="es-ES"/>
        </w:rPr>
        <w:t>Tascón</w:t>
      </w:r>
      <w:proofErr w:type="spellEnd"/>
      <w:r w:rsidRPr="0027007E">
        <w:rPr>
          <w:rFonts w:ascii="Verdana" w:eastAsia="MS Mincho" w:hAnsi="Verdana" w:cs="Times New Roman"/>
          <w:sz w:val="20"/>
          <w:szCs w:val="20"/>
          <w:lang w:val="es-ES_tradnl" w:eastAsia="es-ES"/>
        </w:rPr>
        <w:t xml:space="preserve"> y en un contexto de denuncias de despidos arbitrarios y de otra formas de represalia para quienes habían firmado por el referendo, tenía la intención encubierta de acallar y desincentivar la disidencia política, pues fue instrumentalizado como factor ejemplarizante para que otras personas que ejercieron esa misma libertad se vieran amedrentadas de participar políticamente […]”</w:t>
      </w:r>
      <w:r w:rsidRPr="0027007E">
        <w:rPr>
          <w:rFonts w:ascii="Verdana" w:eastAsia="MS Mincho" w:hAnsi="Verdana" w:cs="Times New Roman"/>
          <w:sz w:val="20"/>
          <w:szCs w:val="20"/>
          <w:vertAlign w:val="superscript"/>
          <w:lang w:val="es-ES_tradnl" w:eastAsia="es-ES"/>
        </w:rPr>
        <w:footnoteReference w:id="332"/>
      </w:r>
      <w:r w:rsidRPr="0027007E">
        <w:rPr>
          <w:rFonts w:ascii="Verdana" w:eastAsia="MS Mincho" w:hAnsi="Verdana" w:cs="Times New Roman"/>
          <w:sz w:val="20"/>
          <w:szCs w:val="20"/>
          <w:lang w:val="es-ES_tradnl" w:eastAsia="es-ES"/>
        </w:rPr>
        <w:t>.</w:t>
      </w:r>
    </w:p>
    <w:p w14:paraId="13A36473"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7E515648"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lo relativo a las violaciones de los artículos 8 y 25, el Tribunal Interamericano expresó que “la acción de amparo era un recurso idóneo para considerar su caso”</w:t>
      </w:r>
      <w:r w:rsidRPr="0027007E">
        <w:rPr>
          <w:rFonts w:ascii="Verdana" w:eastAsia="MS Mincho" w:hAnsi="Verdana" w:cs="Times New Roman"/>
          <w:sz w:val="20"/>
          <w:szCs w:val="20"/>
          <w:vertAlign w:val="superscript"/>
          <w:lang w:val="es-ES_tradnl" w:eastAsia="es-ES"/>
        </w:rPr>
        <w:footnoteReference w:id="333"/>
      </w:r>
      <w:r w:rsidRPr="0027007E">
        <w:rPr>
          <w:rFonts w:ascii="Verdana" w:eastAsia="MS Mincho" w:hAnsi="Verdana" w:cs="Times New Roman"/>
          <w:sz w:val="20"/>
          <w:szCs w:val="20"/>
          <w:lang w:val="es-ES_tradnl" w:eastAsia="es-ES"/>
        </w:rPr>
        <w:t xml:space="preserve">, por ello </w:t>
      </w:r>
      <w:r w:rsidRPr="0027007E">
        <w:rPr>
          <w:rFonts w:ascii="Verdana" w:eastAsia="MS Mincho" w:hAnsi="Verdana" w:cs="Times New Roman"/>
          <w:sz w:val="20"/>
          <w:szCs w:val="20"/>
          <w:lang w:val="es-ES_tradnl" w:eastAsia="es-ES"/>
        </w:rPr>
        <w:lastRenderedPageBreak/>
        <w:t>era fundamental que las autoridades consideraran las grabaciones como pruebas en la acción de amparo</w:t>
      </w:r>
      <w:r w:rsidRPr="0027007E">
        <w:rPr>
          <w:rFonts w:ascii="Verdana" w:eastAsia="MS Mincho" w:hAnsi="Verdana" w:cs="Times New Roman"/>
          <w:sz w:val="20"/>
          <w:szCs w:val="20"/>
          <w:vertAlign w:val="superscript"/>
          <w:lang w:val="es-ES_tradnl" w:eastAsia="es-ES"/>
        </w:rPr>
        <w:footnoteReference w:id="334"/>
      </w:r>
      <w:r w:rsidRPr="0027007E">
        <w:rPr>
          <w:rFonts w:ascii="Verdana" w:eastAsia="MS Mincho" w:hAnsi="Verdana" w:cs="Times New Roman"/>
          <w:sz w:val="20"/>
          <w:szCs w:val="20"/>
          <w:lang w:val="es-ES_tradnl" w:eastAsia="es-ES"/>
        </w:rPr>
        <w:t>. Lejos de esto, “[…] los juzgados que conocieron el amparo consideraron tales pruebas como ilícitas, sin tomar en cuenta el interés público de la cuestión y que en el caso se trataba del único medio de prueba directa. Tampoco admitieron ciertas noticias periodísticas y, en definitiva, no indagaron acerca de las motivaciones del despido […]”</w:t>
      </w:r>
      <w:r w:rsidRPr="0027007E">
        <w:rPr>
          <w:rFonts w:ascii="Verdana" w:eastAsia="MS Mincho" w:hAnsi="Verdana" w:cs="Times New Roman"/>
          <w:sz w:val="20"/>
          <w:szCs w:val="20"/>
          <w:vertAlign w:val="superscript"/>
          <w:lang w:val="es-ES_tradnl" w:eastAsia="es-ES"/>
        </w:rPr>
        <w:footnoteReference w:id="335"/>
      </w:r>
      <w:r w:rsidRPr="0027007E">
        <w:rPr>
          <w:rFonts w:ascii="Verdana" w:eastAsia="MS Mincho" w:hAnsi="Verdana" w:cs="Times New Roman"/>
          <w:sz w:val="20"/>
          <w:szCs w:val="20"/>
          <w:lang w:val="es-ES_tradnl" w:eastAsia="es-ES"/>
        </w:rPr>
        <w:t>.  Así, “la motivación y fundamentación expuesta por los juzgados internos fueron insuficientes al decidir sobre la situación jurídica que se alegaba infringida, afectando así el derecho de acceso a la justicia […] y a un recurso judicial efectivo”</w:t>
      </w:r>
      <w:r w:rsidRPr="0027007E">
        <w:rPr>
          <w:rFonts w:ascii="Verdana" w:eastAsia="MS Mincho" w:hAnsi="Verdana" w:cs="Times New Roman"/>
          <w:sz w:val="20"/>
          <w:szCs w:val="20"/>
          <w:vertAlign w:val="superscript"/>
          <w:lang w:val="es-ES_tradnl" w:eastAsia="es-ES"/>
        </w:rPr>
        <w:footnoteReference w:id="336"/>
      </w:r>
      <w:r w:rsidRPr="0027007E">
        <w:rPr>
          <w:rFonts w:ascii="Verdana" w:eastAsia="MS Mincho" w:hAnsi="Verdana" w:cs="Times New Roman"/>
          <w:sz w:val="20"/>
          <w:szCs w:val="20"/>
          <w:lang w:val="es-ES_tradnl" w:eastAsia="es-ES"/>
        </w:rPr>
        <w:t>.</w:t>
      </w:r>
    </w:p>
    <w:p w14:paraId="11680571"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5EA56823"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Como podemos observar, todos y cada uno de los derechos que se fueron analizando en el presente caso tuvieron en común —como lo expresa la Sentencia— el mismo hecho que originó las violaciones de derechos humanos en perjuicio de las tres víctimas del caso. Es por ello que la vinculación de forma </w:t>
      </w:r>
      <w:r w:rsidRPr="0027007E">
        <w:rPr>
          <w:rFonts w:ascii="Verdana" w:eastAsia="MS Mincho" w:hAnsi="Verdana" w:cs="Times New Roman"/>
          <w:i/>
          <w:sz w:val="20"/>
          <w:szCs w:val="20"/>
          <w:lang w:val="es-ES_tradnl" w:eastAsia="es-ES"/>
        </w:rPr>
        <w:t xml:space="preserve">integral o conglobada </w:t>
      </w:r>
      <w:r w:rsidRPr="0027007E">
        <w:rPr>
          <w:rFonts w:ascii="Verdana" w:eastAsia="MS Mincho" w:hAnsi="Verdana" w:cs="Times New Roman"/>
          <w:sz w:val="20"/>
          <w:szCs w:val="20"/>
          <w:lang w:val="es-ES_tradnl" w:eastAsia="es-ES"/>
        </w:rPr>
        <w:t xml:space="preserve">es fundamental para entender los alcances del presente fallo, es decir, </w:t>
      </w:r>
      <w:r w:rsidRPr="0027007E">
        <w:rPr>
          <w:rFonts w:ascii="Verdana" w:eastAsia="MS Mincho" w:hAnsi="Verdana" w:cs="Times New Roman"/>
          <w:i/>
          <w:sz w:val="20"/>
          <w:szCs w:val="20"/>
          <w:lang w:val="es-ES_tradnl" w:eastAsia="es-ES"/>
        </w:rPr>
        <w:t xml:space="preserve">el ejercicio de los derechos políticos y la libertad de expresión garantizando el acceso a la justicia ante un juez independiente cuando se alegue la discriminación en los contextos laborales. </w:t>
      </w:r>
    </w:p>
    <w:p w14:paraId="0A98E760"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26F10D7E"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089F566C" w14:textId="77777777" w:rsidR="0027007E" w:rsidRPr="0027007E" w:rsidRDefault="0027007E" w:rsidP="0027007E">
      <w:pPr>
        <w:spacing w:after="0" w:line="240" w:lineRule="auto"/>
        <w:jc w:val="both"/>
        <w:rPr>
          <w:rFonts w:ascii="Verdana" w:eastAsia="MS Mincho" w:hAnsi="Verdana" w:cs="Times New Roman"/>
          <w:i/>
          <w:sz w:val="20"/>
          <w:szCs w:val="20"/>
          <w:u w:val="single"/>
          <w:lang w:val="es-ES_tradnl" w:eastAsia="es-ES"/>
        </w:rPr>
      </w:pPr>
      <w:r w:rsidRPr="0027007E">
        <w:rPr>
          <w:rFonts w:ascii="Verdana" w:eastAsia="MS Mincho" w:hAnsi="Verdana" w:cs="Times New Roman"/>
          <w:i/>
          <w:sz w:val="20"/>
          <w:szCs w:val="20"/>
          <w:u w:val="single"/>
          <w:lang w:val="es-ES_tradnl" w:eastAsia="es-ES"/>
        </w:rPr>
        <w:t>C. Línea jurisprudencial en materia laboral como derecho autónomo</w:t>
      </w:r>
    </w:p>
    <w:p w14:paraId="63C310D3"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4D695335" w14:textId="77E16E84"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El caso </w:t>
      </w:r>
      <w:r w:rsidRPr="0027007E">
        <w:rPr>
          <w:rFonts w:ascii="Verdana" w:eastAsia="MS Mincho" w:hAnsi="Verdana" w:cs="Times New Roman"/>
          <w:i/>
          <w:sz w:val="20"/>
          <w:szCs w:val="20"/>
          <w:lang w:val="es-ES_tradnl" w:eastAsia="es-ES"/>
        </w:rPr>
        <w:t>San Miguel Sosa y otras Vs. Venezuela</w:t>
      </w:r>
      <w:r w:rsidRPr="0027007E">
        <w:rPr>
          <w:rFonts w:ascii="Verdana" w:eastAsia="MS Mincho" w:hAnsi="Verdana" w:cs="Times New Roman"/>
          <w:sz w:val="20"/>
          <w:szCs w:val="20"/>
          <w:lang w:val="es-ES_tradnl" w:eastAsia="es-ES"/>
        </w:rPr>
        <w:t xml:space="preserve">, complementa la visión que de manera rápida ha tenido el Tribunal Interamericano sobre los derechos sociales y su exigibilidad directa ante esta instancia judicial. En este sentido, la triada de casos laborales </w:t>
      </w:r>
      <w:r w:rsidRPr="0027007E">
        <w:rPr>
          <w:rFonts w:ascii="Verdana" w:eastAsia="MS Mincho" w:hAnsi="Verdana" w:cs="Times New Roman"/>
          <w:i/>
          <w:sz w:val="20"/>
          <w:szCs w:val="20"/>
          <w:lang w:val="es-ES_tradnl" w:eastAsia="es-ES"/>
        </w:rPr>
        <w:t xml:space="preserve">Lagos del Campo, Trabajadores Cesados del Petroperú y otros </w:t>
      </w:r>
      <w:r w:rsidRPr="0027007E">
        <w:rPr>
          <w:rFonts w:ascii="Verdana" w:eastAsia="MS Mincho" w:hAnsi="Verdana" w:cs="Times New Roman"/>
          <w:sz w:val="20"/>
          <w:szCs w:val="20"/>
          <w:lang w:val="es-ES_tradnl" w:eastAsia="es-ES"/>
        </w:rPr>
        <w:t xml:space="preserve">y ahora el caso </w:t>
      </w:r>
      <w:r w:rsidRPr="0027007E">
        <w:rPr>
          <w:rFonts w:ascii="Verdana" w:eastAsia="MS Mincho" w:hAnsi="Verdana" w:cs="Times New Roman"/>
          <w:i/>
          <w:sz w:val="20"/>
          <w:szCs w:val="20"/>
          <w:lang w:val="es-ES_tradnl" w:eastAsia="es-ES"/>
        </w:rPr>
        <w:t xml:space="preserve">San Miguel Sosa y otras, </w:t>
      </w:r>
      <w:r w:rsidRPr="0027007E">
        <w:rPr>
          <w:rFonts w:ascii="Verdana" w:eastAsia="MS Mincho" w:hAnsi="Verdana" w:cs="Times New Roman"/>
          <w:sz w:val="20"/>
          <w:szCs w:val="20"/>
          <w:lang w:val="es-ES_tradnl" w:eastAsia="es-ES"/>
        </w:rPr>
        <w:t>permiten delinear una serie de estándares que se deben tener en consideración en los</w:t>
      </w:r>
      <w:r w:rsidR="00D66E86">
        <w:rPr>
          <w:rFonts w:ascii="Verdana" w:eastAsia="MS Mincho" w:hAnsi="Verdana" w:cs="Times New Roman"/>
          <w:sz w:val="20"/>
          <w:szCs w:val="20"/>
          <w:lang w:val="es-ES_tradnl" w:eastAsia="es-ES"/>
        </w:rPr>
        <w:t xml:space="preserve"> </w:t>
      </w:r>
      <w:r w:rsidRPr="0027007E">
        <w:rPr>
          <w:rFonts w:ascii="Verdana" w:eastAsia="MS Mincho" w:hAnsi="Verdana" w:cs="Times New Roman"/>
          <w:sz w:val="20"/>
          <w:szCs w:val="20"/>
          <w:lang w:val="es-ES_tradnl" w:eastAsia="es-ES"/>
        </w:rPr>
        <w:lastRenderedPageBreak/>
        <w:t>ejercicios de control de convencionalidad en sede interna</w:t>
      </w:r>
      <w:r w:rsidRPr="0027007E">
        <w:rPr>
          <w:rFonts w:ascii="Verdana" w:eastAsia="MS Mincho" w:hAnsi="Verdana" w:cs="Times New Roman"/>
          <w:sz w:val="20"/>
          <w:szCs w:val="20"/>
          <w:vertAlign w:val="superscript"/>
          <w:lang w:val="es-ES_tradnl" w:eastAsia="es-ES"/>
        </w:rPr>
        <w:footnoteReference w:id="337"/>
      </w:r>
      <w:r w:rsidRPr="0027007E">
        <w:rPr>
          <w:rFonts w:ascii="Verdana" w:eastAsia="MS Mincho" w:hAnsi="Verdana" w:cs="Times New Roman"/>
          <w:sz w:val="20"/>
          <w:szCs w:val="20"/>
          <w:lang w:val="es-ES_tradnl" w:eastAsia="es-ES"/>
        </w:rPr>
        <w:t xml:space="preserve"> y abundar al diálogo jurisprudencial existente entre el ámbito internacional interamericano y la sede nacional de los Estados Parte de la Convención Americana. </w:t>
      </w:r>
    </w:p>
    <w:p w14:paraId="5CA9E8F3" w14:textId="77777777" w:rsidR="0027007E" w:rsidRPr="00D66E86" w:rsidRDefault="0027007E" w:rsidP="0027007E">
      <w:pPr>
        <w:spacing w:after="0" w:line="240" w:lineRule="auto"/>
        <w:contextualSpacing/>
        <w:jc w:val="both"/>
        <w:rPr>
          <w:rFonts w:ascii="Verdana" w:eastAsia="MS Mincho" w:hAnsi="Verdana" w:cs="Times New Roman"/>
          <w:sz w:val="14"/>
          <w:szCs w:val="20"/>
          <w:lang w:val="es-ES_tradnl" w:eastAsia="es-ES"/>
        </w:rPr>
      </w:pPr>
    </w:p>
    <w:p w14:paraId="7D5AA42A" w14:textId="1BCB348D"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Es de destacar que un aspecto fundamental de estos tres casos, es que permite desmitificar una de las cuestiones que giraban en torno a los derechos sociales y es que eran considerados como derechos de carácter </w:t>
      </w:r>
      <w:r w:rsidRPr="0027007E">
        <w:rPr>
          <w:rFonts w:ascii="Verdana" w:eastAsia="MS Mincho" w:hAnsi="Verdana" w:cs="Times New Roman"/>
          <w:i/>
          <w:sz w:val="20"/>
          <w:szCs w:val="20"/>
          <w:lang w:val="es-ES_tradnl" w:eastAsia="es-ES"/>
        </w:rPr>
        <w:t xml:space="preserve">progresivo. </w:t>
      </w:r>
      <w:r w:rsidRPr="0027007E">
        <w:rPr>
          <w:rFonts w:ascii="Verdana" w:eastAsia="MS Mincho" w:hAnsi="Verdana" w:cs="Times New Roman"/>
          <w:sz w:val="20"/>
          <w:szCs w:val="20"/>
          <w:lang w:val="es-ES_tradnl" w:eastAsia="es-ES"/>
        </w:rPr>
        <w:t xml:space="preserve">En este sentido, estos tres casos nos han permitido palpar que la </w:t>
      </w:r>
      <w:proofErr w:type="spellStart"/>
      <w:r w:rsidRPr="0027007E">
        <w:rPr>
          <w:rFonts w:ascii="Verdana" w:eastAsia="MS Mincho" w:hAnsi="Verdana" w:cs="Times New Roman"/>
          <w:sz w:val="20"/>
          <w:szCs w:val="20"/>
          <w:lang w:val="es-ES_tradnl" w:eastAsia="es-ES"/>
        </w:rPr>
        <w:t>justiciabilidad</w:t>
      </w:r>
      <w:proofErr w:type="spellEnd"/>
      <w:r w:rsidRPr="0027007E">
        <w:rPr>
          <w:rFonts w:ascii="Verdana" w:eastAsia="MS Mincho" w:hAnsi="Verdana" w:cs="Times New Roman"/>
          <w:sz w:val="20"/>
          <w:szCs w:val="20"/>
          <w:lang w:val="es-ES_tradnl" w:eastAsia="es-ES"/>
        </w:rPr>
        <w:t xml:space="preserve"> de los DESCA puede realizarse en un plano de obligaciones que han estado presentes desde el inicio del ejercicio de la función contenciosa de la Corte Interamericana, es decir, las obligaciones de respeto y garantía</w:t>
      </w:r>
      <w:r w:rsidRPr="0027007E">
        <w:rPr>
          <w:rFonts w:ascii="Verdana" w:eastAsia="MS Mincho" w:hAnsi="Verdana" w:cs="Times New Roman"/>
          <w:sz w:val="20"/>
          <w:szCs w:val="20"/>
          <w:vertAlign w:val="superscript"/>
          <w:lang w:val="es-ES_tradnl" w:eastAsia="es-ES"/>
        </w:rPr>
        <w:footnoteReference w:id="338"/>
      </w:r>
      <w:r w:rsidRPr="0027007E">
        <w:rPr>
          <w:rFonts w:ascii="Verdana" w:eastAsia="MS Mincho" w:hAnsi="Verdana" w:cs="Times New Roman"/>
          <w:sz w:val="20"/>
          <w:szCs w:val="20"/>
          <w:lang w:val="es-ES_tradnl" w:eastAsia="es-ES"/>
        </w:rPr>
        <w:t xml:space="preserve"> ; sin requerir, necesariamente, la evaluación de medidas de carácter progresivo o regresivo</w:t>
      </w:r>
      <w:r w:rsidRPr="0027007E">
        <w:rPr>
          <w:rFonts w:ascii="Verdana" w:eastAsia="MS Mincho" w:hAnsi="Verdana" w:cs="Times New Roman"/>
          <w:sz w:val="20"/>
          <w:szCs w:val="20"/>
          <w:vertAlign w:val="superscript"/>
          <w:lang w:val="es-ES_tradnl" w:eastAsia="es-ES"/>
        </w:rPr>
        <w:footnoteReference w:id="339"/>
      </w:r>
      <w:r w:rsidRPr="0027007E">
        <w:rPr>
          <w:rFonts w:ascii="Verdana" w:eastAsia="MS Mincho" w:hAnsi="Verdana" w:cs="Times New Roman"/>
          <w:sz w:val="20"/>
          <w:szCs w:val="20"/>
          <w:lang w:val="es-ES_tradnl" w:eastAsia="es-ES"/>
        </w:rPr>
        <w:t>. Es decir, dependiendo del caso, se podría analizar uno de los dos supuesto</w:t>
      </w:r>
      <w:r w:rsidR="001E496D">
        <w:rPr>
          <w:rFonts w:ascii="Verdana" w:eastAsia="MS Mincho" w:hAnsi="Verdana" w:cs="Times New Roman"/>
          <w:sz w:val="20"/>
          <w:szCs w:val="20"/>
          <w:lang w:val="es-ES_tradnl" w:eastAsia="es-ES"/>
        </w:rPr>
        <w:t>s</w:t>
      </w:r>
      <w:r w:rsidRPr="0027007E">
        <w:rPr>
          <w:rFonts w:ascii="Verdana" w:eastAsia="MS Mincho" w:hAnsi="Verdana" w:cs="Times New Roman"/>
          <w:sz w:val="20"/>
          <w:szCs w:val="20"/>
          <w:lang w:val="es-ES_tradnl" w:eastAsia="es-ES"/>
        </w:rPr>
        <w:t xml:space="preserve"> o incluso ambos (obligaciones de respeto y garantía y/o medidas progresivas o regresivas).</w:t>
      </w:r>
    </w:p>
    <w:p w14:paraId="1958E30F" w14:textId="77777777" w:rsidR="0027007E" w:rsidRPr="001E496D" w:rsidRDefault="0027007E" w:rsidP="0027007E">
      <w:pPr>
        <w:spacing w:after="0" w:line="240" w:lineRule="auto"/>
        <w:jc w:val="both"/>
        <w:rPr>
          <w:rFonts w:ascii="Verdana" w:eastAsia="MS Mincho" w:hAnsi="Verdana" w:cs="Times New Roman"/>
          <w:sz w:val="10"/>
          <w:szCs w:val="20"/>
          <w:lang w:val="es-ES_tradnl" w:eastAsia="es-ES"/>
        </w:rPr>
      </w:pPr>
    </w:p>
    <w:p w14:paraId="020B7D69" w14:textId="7176D201"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Otro aporte que ha hecho el Tribunal Interamericano lo desarrolló en los casos </w:t>
      </w:r>
      <w:r w:rsidRPr="0027007E">
        <w:rPr>
          <w:rFonts w:ascii="Verdana" w:eastAsia="MS Mincho" w:hAnsi="Verdana" w:cs="Times New Roman"/>
          <w:i/>
          <w:sz w:val="20"/>
          <w:szCs w:val="20"/>
          <w:lang w:val="es-ES_tradnl" w:eastAsia="es-ES"/>
        </w:rPr>
        <w:t>Lagos del Campo</w:t>
      </w:r>
      <w:r w:rsidRPr="0027007E">
        <w:rPr>
          <w:rFonts w:ascii="Verdana" w:eastAsia="MS Mincho" w:hAnsi="Verdana" w:cs="Times New Roman"/>
          <w:i/>
          <w:sz w:val="20"/>
          <w:szCs w:val="20"/>
          <w:vertAlign w:val="superscript"/>
          <w:lang w:val="es-ES_tradnl" w:eastAsia="es-ES"/>
        </w:rPr>
        <w:footnoteReference w:id="340"/>
      </w:r>
      <w:r w:rsidRPr="0027007E">
        <w:rPr>
          <w:rFonts w:ascii="Verdana" w:eastAsia="MS Mincho" w:hAnsi="Verdana" w:cs="Times New Roman"/>
          <w:i/>
          <w:sz w:val="20"/>
          <w:szCs w:val="20"/>
          <w:lang w:val="es-ES_tradnl" w:eastAsia="es-ES"/>
        </w:rPr>
        <w:t xml:space="preserve"> y Trabajadores Cesados del Petroperú</w:t>
      </w:r>
      <w:r w:rsidRPr="0027007E">
        <w:rPr>
          <w:rFonts w:ascii="Verdana" w:eastAsia="MS Mincho" w:hAnsi="Verdana" w:cs="Times New Roman"/>
          <w:i/>
          <w:sz w:val="20"/>
          <w:szCs w:val="20"/>
          <w:vertAlign w:val="superscript"/>
          <w:lang w:val="es-ES_tradnl" w:eastAsia="es-ES"/>
        </w:rPr>
        <w:footnoteReference w:id="341"/>
      </w:r>
      <w:r w:rsidRPr="0027007E">
        <w:rPr>
          <w:rFonts w:ascii="Verdana" w:eastAsia="MS Mincho" w:hAnsi="Verdana" w:cs="Times New Roman"/>
          <w:sz w:val="20"/>
          <w:szCs w:val="20"/>
          <w:lang w:val="es-ES_tradnl" w:eastAsia="es-ES"/>
        </w:rPr>
        <w:t xml:space="preserve"> al considerar que los recursos o acciones instaurados a nivel interno —por ejemplo, el recurso o juicio de amparo— no deben</w:t>
      </w:r>
      <w:r w:rsidR="00D66E86">
        <w:rPr>
          <w:rFonts w:ascii="Verdana" w:eastAsia="MS Mincho" w:hAnsi="Verdana" w:cs="Times New Roman"/>
          <w:sz w:val="20"/>
          <w:szCs w:val="20"/>
          <w:lang w:val="es-ES_tradnl" w:eastAsia="es-ES"/>
        </w:rPr>
        <w:t xml:space="preserve"> </w:t>
      </w:r>
      <w:r w:rsidRPr="0027007E">
        <w:rPr>
          <w:rFonts w:ascii="Verdana" w:eastAsia="MS Mincho" w:hAnsi="Verdana" w:cs="Times New Roman"/>
          <w:sz w:val="20"/>
          <w:szCs w:val="20"/>
          <w:lang w:val="es-ES_tradnl" w:eastAsia="es-ES"/>
        </w:rPr>
        <w:t>desasociar el derecho sustancial del derecho procesal impidiendo así analizar el objeto principal de la controversia</w:t>
      </w:r>
      <w:r w:rsidRPr="0027007E">
        <w:rPr>
          <w:rFonts w:ascii="Verdana" w:eastAsia="MS Mincho" w:hAnsi="Verdana" w:cs="Times New Roman"/>
          <w:sz w:val="20"/>
          <w:szCs w:val="20"/>
          <w:vertAlign w:val="superscript"/>
          <w:lang w:val="es-ES_tradnl" w:eastAsia="es-ES"/>
        </w:rPr>
        <w:footnoteReference w:id="342"/>
      </w:r>
      <w:r w:rsidRPr="0027007E">
        <w:rPr>
          <w:rFonts w:ascii="Verdana" w:eastAsia="MS Mincho" w:hAnsi="Verdana" w:cs="Times New Roman"/>
          <w:sz w:val="20"/>
          <w:szCs w:val="20"/>
          <w:lang w:val="es-ES_tradnl" w:eastAsia="es-ES"/>
        </w:rPr>
        <w:t xml:space="preserve">, en estos casos el derecho al trabajo. </w:t>
      </w:r>
    </w:p>
    <w:p w14:paraId="06553C89" w14:textId="77777777" w:rsidR="0027007E" w:rsidRPr="001E496D" w:rsidRDefault="0027007E" w:rsidP="0027007E">
      <w:pPr>
        <w:numPr>
          <w:ilvl w:val="0"/>
          <w:numId w:val="34"/>
        </w:numPr>
        <w:spacing w:after="0" w:line="240" w:lineRule="auto"/>
        <w:ind w:left="0" w:firstLine="0"/>
        <w:contextualSpacing/>
        <w:jc w:val="both"/>
        <w:rPr>
          <w:rFonts w:ascii="Verdana" w:eastAsia="MS Mincho" w:hAnsi="Verdana" w:cs="Times New Roman"/>
          <w:sz w:val="18"/>
          <w:szCs w:val="20"/>
          <w:lang w:val="es-ES_tradnl" w:eastAsia="es-ES"/>
        </w:rPr>
      </w:pPr>
      <w:r w:rsidRPr="0027007E">
        <w:rPr>
          <w:rFonts w:ascii="Verdana" w:eastAsia="MS Mincho" w:hAnsi="Verdana" w:cs="Times New Roman"/>
          <w:sz w:val="20"/>
          <w:szCs w:val="20"/>
          <w:lang w:val="es-ES_tradnl" w:eastAsia="es-ES"/>
        </w:rPr>
        <w:lastRenderedPageBreak/>
        <w:t xml:space="preserve">Así, si bien el recurso de amparo está diseñado para tutelar los derechos constitucionales, la falta de consideración de los derechos laborales, o en general de los derechos sociales, puede impedir que el recurso de amparo produzca el resultado para el cual fue concebido, es decir, la tutela efectiva de los derechos humanos.  </w:t>
      </w:r>
      <w:r w:rsidRPr="0027007E">
        <w:rPr>
          <w:rFonts w:ascii="Verdana" w:eastAsia="MS Mincho" w:hAnsi="Verdana" w:cs="Verdana"/>
          <w:sz w:val="20"/>
          <w:szCs w:val="20"/>
          <w:lang w:val="es-ES_tradnl" w:eastAsia="es-ES"/>
        </w:rPr>
        <w:t>La Corte ha sostenido que el análisis por la autoridad competente de un recurso judicial —que controvierte derechos constitucionales como derechos laborales—, no puede reducirse a una mera formalidad y omitir argumentos de las partes, ya que debe examinar sus razones y manifestarse sobre ellas conforme a los parámetros establecidos por la Convención Americana</w:t>
      </w:r>
      <w:r w:rsidRPr="0027007E">
        <w:rPr>
          <w:rFonts w:ascii="Verdana" w:eastAsia="MS Mincho" w:hAnsi="Verdana" w:cs="Verdana"/>
          <w:sz w:val="20"/>
          <w:szCs w:val="20"/>
          <w:vertAlign w:val="superscript"/>
          <w:lang w:val="es-ES_tradnl" w:eastAsia="es-ES"/>
        </w:rPr>
        <w:footnoteReference w:id="343"/>
      </w:r>
      <w:r w:rsidRPr="0027007E">
        <w:rPr>
          <w:rFonts w:ascii="Verdana" w:eastAsia="MS Mincho" w:hAnsi="Verdana" w:cs="Verdana"/>
          <w:sz w:val="20"/>
          <w:szCs w:val="20"/>
          <w:lang w:val="es-ES_tradnl" w:eastAsia="es-ES"/>
        </w:rPr>
        <w:t xml:space="preserve">. </w:t>
      </w:r>
    </w:p>
    <w:p w14:paraId="0F0000F4" w14:textId="77777777" w:rsidR="0027007E" w:rsidRPr="001E496D" w:rsidRDefault="0027007E" w:rsidP="0027007E">
      <w:pPr>
        <w:spacing w:after="0" w:line="240" w:lineRule="auto"/>
        <w:jc w:val="both"/>
        <w:rPr>
          <w:rFonts w:ascii="Verdana" w:eastAsia="MS Mincho" w:hAnsi="Verdana" w:cs="Times New Roman"/>
          <w:sz w:val="16"/>
          <w:szCs w:val="20"/>
          <w:lang w:val="es-ES_tradnl" w:eastAsia="es-ES"/>
        </w:rPr>
      </w:pPr>
    </w:p>
    <w:p w14:paraId="0E31586D"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Lo que sienta este precedente es que los recursos a nivel interno, que tradicionalmente han sido pensados para tutelar derechos humanos de naturaleza civil o política</w:t>
      </w:r>
      <w:r w:rsidRPr="0027007E">
        <w:rPr>
          <w:rFonts w:ascii="Verdana" w:eastAsia="MS Mincho" w:hAnsi="Verdana" w:cs="Times New Roman"/>
          <w:sz w:val="20"/>
          <w:szCs w:val="20"/>
          <w:vertAlign w:val="superscript"/>
          <w:lang w:val="es-ES_tradnl" w:eastAsia="es-ES"/>
        </w:rPr>
        <w:footnoteReference w:id="344"/>
      </w:r>
      <w:r w:rsidRPr="0027007E">
        <w:rPr>
          <w:rFonts w:ascii="Verdana" w:eastAsia="MS Mincho" w:hAnsi="Verdana" w:cs="Times New Roman"/>
          <w:sz w:val="20"/>
          <w:szCs w:val="20"/>
          <w:lang w:val="es-ES_tradnl" w:eastAsia="es-ES"/>
        </w:rPr>
        <w:t xml:space="preserve"> (y en algunos extremos los han llegado a considerar derechos individuales), también pueden tutelar derechos de naturaleza económica, social, cultural o ambiental, ya sea en supuestos de violaciones individuales o de naturaleza colectiva</w:t>
      </w:r>
      <w:r w:rsidRPr="0027007E">
        <w:rPr>
          <w:rFonts w:ascii="Verdana" w:eastAsia="MS Mincho" w:hAnsi="Verdana" w:cs="Times New Roman"/>
          <w:sz w:val="20"/>
          <w:szCs w:val="20"/>
          <w:vertAlign w:val="superscript"/>
          <w:lang w:val="es-ES_tradnl" w:eastAsia="es-ES"/>
        </w:rPr>
        <w:footnoteReference w:id="345"/>
      </w:r>
      <w:r w:rsidRPr="0027007E">
        <w:rPr>
          <w:rFonts w:ascii="Verdana" w:eastAsia="MS Mincho" w:hAnsi="Verdana" w:cs="Times New Roman"/>
          <w:sz w:val="20"/>
          <w:szCs w:val="20"/>
          <w:lang w:val="es-ES_tradnl" w:eastAsia="es-ES"/>
        </w:rPr>
        <w:t xml:space="preserve">. </w:t>
      </w:r>
    </w:p>
    <w:p w14:paraId="161A0187" w14:textId="77777777" w:rsidR="0027007E" w:rsidRPr="001E496D" w:rsidRDefault="0027007E" w:rsidP="0027007E">
      <w:pPr>
        <w:spacing w:after="0" w:line="240" w:lineRule="auto"/>
        <w:jc w:val="both"/>
        <w:rPr>
          <w:rFonts w:ascii="Verdana" w:eastAsia="MS Mincho" w:hAnsi="Verdana" w:cs="Times New Roman"/>
          <w:sz w:val="14"/>
          <w:szCs w:val="20"/>
          <w:lang w:val="es-ES_tradnl" w:eastAsia="es-ES"/>
        </w:rPr>
      </w:pPr>
    </w:p>
    <w:p w14:paraId="7EB946CB"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También cabe precisar las diferencias y contextos que ha protegido la Corte Interamericana en los tres casos. En primer lugar, en el caso </w:t>
      </w:r>
      <w:r w:rsidRPr="0027007E">
        <w:rPr>
          <w:rFonts w:ascii="Verdana" w:eastAsia="MS Mincho" w:hAnsi="Verdana" w:cs="Times New Roman"/>
          <w:i/>
          <w:sz w:val="20"/>
          <w:szCs w:val="20"/>
          <w:lang w:val="es-ES_tradnl" w:eastAsia="es-ES"/>
        </w:rPr>
        <w:t>Lagos del Campo Vs. Perú</w:t>
      </w:r>
      <w:r w:rsidRPr="0027007E">
        <w:rPr>
          <w:rFonts w:ascii="Verdana" w:eastAsia="MS Mincho" w:hAnsi="Verdana" w:cs="Times New Roman"/>
          <w:sz w:val="20"/>
          <w:szCs w:val="20"/>
          <w:lang w:val="es-ES_tradnl" w:eastAsia="es-ES"/>
        </w:rPr>
        <w:t xml:space="preserve">, el caso estaba relacionado con el despido injustificado del señor Lagos del Campo en un contexto laboral entre particulares. En este primer caso, la Corte IDH permeó obligaciones de los Estados para la garantía de los derechos laborales en esta relación contractual en la cual no intervenían directamente los agentes estatales. Al respecto, sobre estas obligaciones mínimas el Tribunal Interamericano externó que: </w:t>
      </w:r>
    </w:p>
    <w:p w14:paraId="24DDE723" w14:textId="77777777" w:rsidR="0027007E" w:rsidRPr="001E496D" w:rsidRDefault="0027007E" w:rsidP="0027007E">
      <w:pPr>
        <w:spacing w:after="0" w:line="240" w:lineRule="auto"/>
        <w:jc w:val="both"/>
        <w:rPr>
          <w:rFonts w:ascii="Verdana" w:eastAsia="MS Mincho" w:hAnsi="Verdana" w:cs="Times New Roman"/>
          <w:sz w:val="14"/>
          <w:szCs w:val="20"/>
          <w:lang w:val="es-ES_tradnl" w:eastAsia="es-ES"/>
        </w:rPr>
      </w:pPr>
    </w:p>
    <w:p w14:paraId="6FF8FA43" w14:textId="77777777" w:rsidR="0027007E" w:rsidRPr="0027007E" w:rsidRDefault="0027007E" w:rsidP="0027007E">
      <w:pPr>
        <w:widowControl w:val="0"/>
        <w:autoSpaceDE w:val="0"/>
        <w:autoSpaceDN w:val="0"/>
        <w:adjustRightInd w:val="0"/>
        <w:spacing w:after="0" w:line="240" w:lineRule="auto"/>
        <w:ind w:left="709" w:right="757"/>
        <w:jc w:val="both"/>
        <w:rPr>
          <w:rFonts w:ascii="Verdana" w:eastAsia="MS Mincho" w:hAnsi="Verdana" w:cs="Times"/>
          <w:sz w:val="18"/>
          <w:szCs w:val="18"/>
          <w:lang w:val="es-ES_tradnl" w:eastAsia="es-ES"/>
        </w:rPr>
      </w:pPr>
      <w:r w:rsidRPr="0027007E">
        <w:rPr>
          <w:rFonts w:ascii="Verdana" w:eastAsia="MS Mincho" w:hAnsi="Verdana" w:cs="Verdana"/>
          <w:sz w:val="18"/>
          <w:szCs w:val="18"/>
          <w:lang w:val="es-ES_tradnl" w:eastAsia="es-ES"/>
        </w:rPr>
        <w:t xml:space="preserve">149. Como correlato de lo anterior, se deprende que las obligaciones del Estado en cuanto a la protección del derecho a la estabilidad laboral, en el ámbito privado, se traduce en principio en los siguientes deberes: a) adoptar las medidas adecuadas para la debida regulación y fiscalización [del derecho al trabajo]; b) proteger al trabajador y trabajadora, a través de sus órganos competentes, contra el despido injustificado, c) en caso de despido injustificado, remediar la situación (ya sea, a través de la reinstalación o, en su caso, mediante la indemnización y otras prestaciones previstas en la legislación nacional). Por ende, d) el Estado debe disponer de mecanismos efectivos de reclamo frente a una situación de despido injustificado, a fin de garantizar </w:t>
      </w:r>
      <w:r w:rsidRPr="0027007E">
        <w:rPr>
          <w:rFonts w:ascii="Verdana" w:eastAsia="MS Mincho" w:hAnsi="Verdana" w:cs="Verdana"/>
          <w:sz w:val="18"/>
          <w:szCs w:val="18"/>
          <w:lang w:val="es-ES_tradnl" w:eastAsia="es-ES"/>
        </w:rPr>
        <w:lastRenderedPageBreak/>
        <w:t>el acceso a la justicia y la tutela judicial efectiva de tales derechos</w:t>
      </w:r>
      <w:r w:rsidRPr="0027007E">
        <w:rPr>
          <w:rFonts w:ascii="Verdana" w:eastAsia="MS Mincho" w:hAnsi="Verdana" w:cs="Verdana"/>
          <w:sz w:val="18"/>
          <w:szCs w:val="18"/>
          <w:vertAlign w:val="superscript"/>
          <w:lang w:val="es-ES_tradnl" w:eastAsia="es-ES"/>
        </w:rPr>
        <w:footnoteReference w:id="346"/>
      </w:r>
      <w:r w:rsidRPr="0027007E">
        <w:rPr>
          <w:rFonts w:ascii="Verdana" w:eastAsia="MS Mincho" w:hAnsi="Verdana" w:cs="Verdana"/>
          <w:sz w:val="18"/>
          <w:szCs w:val="18"/>
          <w:lang w:val="es-ES_tradnl" w:eastAsia="es-ES"/>
        </w:rPr>
        <w:t xml:space="preserve">. </w:t>
      </w:r>
    </w:p>
    <w:p w14:paraId="27FADCB7" w14:textId="77777777" w:rsidR="00216011" w:rsidRDefault="0027007E" w:rsidP="00216011">
      <w:pPr>
        <w:numPr>
          <w:ilvl w:val="0"/>
          <w:numId w:val="34"/>
        </w:numPr>
        <w:spacing w:before="100" w:beforeAutospacing="1" w:after="100" w:afterAutospacing="1" w:line="240" w:lineRule="auto"/>
        <w:ind w:left="0" w:firstLine="0"/>
        <w:contextualSpacing/>
        <w:jc w:val="both"/>
        <w:rPr>
          <w:rFonts w:ascii="Verdana" w:eastAsia="MS Mincho" w:hAnsi="Verdana" w:cs="Times New Roman"/>
          <w:sz w:val="20"/>
          <w:szCs w:val="20"/>
          <w:lang w:val="es-ES_tradnl" w:eastAsia="es-ES"/>
        </w:rPr>
      </w:pPr>
      <w:r w:rsidRPr="00216011">
        <w:rPr>
          <w:rFonts w:ascii="Verdana" w:eastAsia="MS Mincho" w:hAnsi="Verdana" w:cs="Times New Roman"/>
          <w:sz w:val="20"/>
          <w:szCs w:val="20"/>
          <w:lang w:val="es-ES_tradnl" w:eastAsia="es-ES"/>
        </w:rPr>
        <w:t xml:space="preserve">En el caso de los </w:t>
      </w:r>
      <w:r w:rsidRPr="00216011">
        <w:rPr>
          <w:rFonts w:ascii="Verdana" w:eastAsia="MS Mincho" w:hAnsi="Verdana" w:cs="Times New Roman"/>
          <w:i/>
          <w:sz w:val="20"/>
          <w:szCs w:val="20"/>
          <w:lang w:val="es-ES_tradnl" w:eastAsia="es-ES"/>
        </w:rPr>
        <w:t>Trabajadores Cesados del Petroperú y otros</w:t>
      </w:r>
      <w:r w:rsidRPr="00216011">
        <w:rPr>
          <w:rFonts w:ascii="Verdana" w:eastAsia="MS Mincho" w:hAnsi="Verdana" w:cs="Times New Roman"/>
          <w:sz w:val="20"/>
          <w:szCs w:val="20"/>
          <w:lang w:val="es-ES_tradnl" w:eastAsia="es-ES"/>
        </w:rPr>
        <w:t xml:space="preserve">, la Corte IDH protegió el despido injustificado de trabajadores que tenían una relación directa con el Estado peruano (los trabajadores ejercían su profesión dentro de dependencias del gobierno). En este caso la Corte precisó que la protección del derecho al trabajo y estabilidad laboral no sólo se extiende a los supuestos de relaciones entre particulares, tal como había sucedido en el caso </w:t>
      </w:r>
      <w:r w:rsidRPr="00216011">
        <w:rPr>
          <w:rFonts w:ascii="Verdana" w:eastAsia="MS Mincho" w:hAnsi="Verdana" w:cs="Times New Roman"/>
          <w:i/>
          <w:sz w:val="20"/>
          <w:szCs w:val="20"/>
          <w:lang w:val="es-ES_tradnl" w:eastAsia="es-ES"/>
        </w:rPr>
        <w:t>Lagos del Campo</w:t>
      </w:r>
      <w:r w:rsidRPr="00216011">
        <w:rPr>
          <w:rFonts w:ascii="Verdana" w:eastAsia="MS Mincho" w:hAnsi="Verdana" w:cs="Times New Roman"/>
          <w:sz w:val="20"/>
          <w:szCs w:val="20"/>
          <w:lang w:val="es-ES_tradnl" w:eastAsia="es-ES"/>
        </w:rPr>
        <w:t>, sino que las obligaciones de respeto y garantía del derecho al trabajo también se aplican en las relaciones en las que existe esta relación directa entre los trabajadores y el Estado</w:t>
      </w:r>
      <w:r w:rsidRPr="0027007E">
        <w:rPr>
          <w:rFonts w:ascii="Verdana" w:eastAsia="MS Mincho" w:hAnsi="Verdana" w:cs="Times New Roman"/>
          <w:sz w:val="20"/>
          <w:szCs w:val="20"/>
          <w:vertAlign w:val="superscript"/>
          <w:lang w:val="es-ES_tradnl" w:eastAsia="es-ES"/>
        </w:rPr>
        <w:footnoteReference w:id="347"/>
      </w:r>
      <w:r w:rsidRPr="00216011">
        <w:rPr>
          <w:rFonts w:ascii="Verdana" w:eastAsia="MS Mincho" w:hAnsi="Verdana" w:cs="Times New Roman"/>
          <w:sz w:val="20"/>
          <w:szCs w:val="20"/>
          <w:lang w:val="es-ES_tradnl" w:eastAsia="es-ES"/>
        </w:rPr>
        <w:t xml:space="preserve">. </w:t>
      </w:r>
    </w:p>
    <w:p w14:paraId="47F9F551" w14:textId="77777777" w:rsidR="00216011" w:rsidRPr="00216011" w:rsidRDefault="00216011" w:rsidP="00216011">
      <w:pPr>
        <w:spacing w:before="100" w:beforeAutospacing="1" w:after="100" w:afterAutospacing="1" w:line="240" w:lineRule="auto"/>
        <w:contextualSpacing/>
        <w:jc w:val="both"/>
        <w:rPr>
          <w:rFonts w:ascii="Verdana" w:eastAsia="MS Mincho" w:hAnsi="Verdana" w:cs="Times New Roman"/>
          <w:sz w:val="14"/>
          <w:szCs w:val="20"/>
          <w:lang w:val="es-ES_tradnl" w:eastAsia="es-ES"/>
        </w:rPr>
      </w:pPr>
    </w:p>
    <w:p w14:paraId="4C7C1F11" w14:textId="403E5951" w:rsidR="0027007E" w:rsidRDefault="0027007E" w:rsidP="00216011">
      <w:pPr>
        <w:numPr>
          <w:ilvl w:val="0"/>
          <w:numId w:val="34"/>
        </w:numPr>
        <w:spacing w:before="100" w:beforeAutospacing="1" w:after="100" w:afterAutospacing="1" w:line="240" w:lineRule="auto"/>
        <w:ind w:left="0" w:firstLine="0"/>
        <w:contextualSpacing/>
        <w:jc w:val="both"/>
        <w:rPr>
          <w:rFonts w:ascii="Verdana" w:eastAsia="MS Mincho" w:hAnsi="Verdana" w:cs="Times New Roman"/>
          <w:sz w:val="20"/>
          <w:szCs w:val="20"/>
          <w:lang w:val="es-ES_tradnl" w:eastAsia="es-ES"/>
        </w:rPr>
      </w:pPr>
      <w:r w:rsidRPr="00216011">
        <w:rPr>
          <w:rFonts w:ascii="Verdana" w:eastAsia="MS Mincho" w:hAnsi="Verdana" w:cs="Times New Roman"/>
          <w:sz w:val="20"/>
          <w:szCs w:val="20"/>
          <w:lang w:val="es-ES_tradnl" w:eastAsia="es-ES"/>
        </w:rPr>
        <w:t xml:space="preserve">Finalmente, en el caso </w:t>
      </w:r>
      <w:r w:rsidRPr="00216011">
        <w:rPr>
          <w:rFonts w:ascii="Verdana" w:eastAsia="MS Mincho" w:hAnsi="Verdana" w:cs="Times New Roman"/>
          <w:i/>
          <w:sz w:val="20"/>
          <w:szCs w:val="20"/>
          <w:lang w:val="es-ES_tradnl" w:eastAsia="es-ES"/>
        </w:rPr>
        <w:t>San Miguel Sosa y otras</w:t>
      </w:r>
      <w:r w:rsidRPr="00216011">
        <w:rPr>
          <w:rFonts w:ascii="Verdana" w:eastAsia="MS Mincho" w:hAnsi="Verdana" w:cs="Times New Roman"/>
          <w:sz w:val="20"/>
          <w:szCs w:val="20"/>
          <w:lang w:val="es-ES_tradnl" w:eastAsia="es-ES"/>
        </w:rPr>
        <w:t xml:space="preserve">, se dan tres pasos fundamentales para seguir desarrollando el respeto y garantía del derecho al trabajo como un derecho convencionalmente protegido. En primer lugar se protege la relación contractual de un régimen diferente al de los </w:t>
      </w:r>
      <w:r w:rsidRPr="00216011">
        <w:rPr>
          <w:rFonts w:ascii="Verdana" w:eastAsia="MS Mincho" w:hAnsi="Verdana" w:cs="Times New Roman"/>
          <w:i/>
          <w:sz w:val="20"/>
          <w:szCs w:val="20"/>
          <w:lang w:val="es-ES_tradnl" w:eastAsia="es-ES"/>
        </w:rPr>
        <w:t>casos Lagos del Campo</w:t>
      </w:r>
      <w:r w:rsidRPr="00216011">
        <w:rPr>
          <w:rFonts w:ascii="Verdana" w:eastAsia="MS Mincho" w:hAnsi="Verdana" w:cs="Times New Roman"/>
          <w:sz w:val="20"/>
          <w:szCs w:val="20"/>
          <w:lang w:val="es-ES_tradnl" w:eastAsia="es-ES"/>
        </w:rPr>
        <w:t xml:space="preserve"> y </w:t>
      </w:r>
      <w:r w:rsidRPr="00216011">
        <w:rPr>
          <w:rFonts w:ascii="Verdana" w:eastAsia="MS Mincho" w:hAnsi="Verdana" w:cs="Times New Roman"/>
          <w:i/>
          <w:sz w:val="20"/>
          <w:szCs w:val="20"/>
          <w:lang w:val="es-ES_tradnl" w:eastAsia="es-ES"/>
        </w:rPr>
        <w:t>Trabajadores Cesados del Petroperú</w:t>
      </w:r>
      <w:r w:rsidRPr="00216011">
        <w:rPr>
          <w:rFonts w:ascii="Verdana" w:eastAsia="MS Mincho" w:hAnsi="Verdana" w:cs="Times New Roman"/>
          <w:sz w:val="20"/>
          <w:szCs w:val="20"/>
          <w:lang w:val="es-ES_tradnl" w:eastAsia="es-ES"/>
        </w:rPr>
        <w:t xml:space="preserve"> (es decir, contratos que se renuevan en periodos de tiempo variado, como tres, seis o doce meses sin hablar propiamente de la posibilidad de estabilidad laboral); b) la discriminación en los contextos laborales; y c) las violaciones se enmarcan en el derecho al trabajo en general, y no en el de estabilidad laboral. </w:t>
      </w:r>
    </w:p>
    <w:p w14:paraId="70370DC7" w14:textId="77777777" w:rsidR="00216011" w:rsidRPr="00216011" w:rsidRDefault="00216011" w:rsidP="00216011">
      <w:pPr>
        <w:spacing w:before="100" w:beforeAutospacing="1" w:after="100" w:afterAutospacing="1" w:line="240" w:lineRule="auto"/>
        <w:contextualSpacing/>
        <w:jc w:val="both"/>
        <w:rPr>
          <w:rFonts w:ascii="Verdana" w:eastAsia="MS Mincho" w:hAnsi="Verdana" w:cs="Times New Roman"/>
          <w:sz w:val="16"/>
          <w:szCs w:val="20"/>
          <w:lang w:val="es-ES_tradnl" w:eastAsia="es-ES"/>
        </w:rPr>
      </w:pPr>
    </w:p>
    <w:p w14:paraId="50C0ADF6" w14:textId="77777777" w:rsidR="0027007E" w:rsidRDefault="0027007E" w:rsidP="00216011">
      <w:pPr>
        <w:numPr>
          <w:ilvl w:val="0"/>
          <w:numId w:val="34"/>
        </w:numPr>
        <w:spacing w:before="100" w:beforeAutospacing="1" w:after="100" w:afterAutospacing="1"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cuanto al primer punto, a diferencia de los dos casos anteriores que había abordado la Corte IDH respecto de los contextos laborales, las señoras San Miguel, Chang y Coromoto estaban sujetas a una relación contractual temporal con renovaciones periódicas. En este sentido, si bien las víctimas tenían una relación laboral directa con el Estado, el régimen contractual era distinto a los dos casos anteriores (que permitían tener estabilidad laboral); sin embargo, la Corte IDH considera que con independencia de la naturaleza de la relación laboral, el Estado tenía la obligación de justificar la no renovación del contrato y no sólo argumentar la existencia de una facultad discrecional mediante una cláusula y la reorganización, de lo contrario sería considerada tal acción como arbitraria</w:t>
      </w:r>
      <w:r w:rsidRPr="0027007E">
        <w:rPr>
          <w:rFonts w:ascii="Verdana" w:eastAsia="MS Mincho" w:hAnsi="Verdana" w:cs="Times New Roman"/>
          <w:sz w:val="20"/>
          <w:szCs w:val="20"/>
          <w:vertAlign w:val="superscript"/>
          <w:lang w:val="es-ES_tradnl" w:eastAsia="es-ES"/>
        </w:rPr>
        <w:footnoteReference w:id="348"/>
      </w:r>
      <w:r w:rsidRPr="0027007E">
        <w:rPr>
          <w:rFonts w:ascii="Verdana" w:eastAsia="MS Mincho" w:hAnsi="Verdana" w:cs="Times New Roman"/>
          <w:sz w:val="20"/>
          <w:szCs w:val="20"/>
          <w:lang w:val="es-ES_tradnl" w:eastAsia="es-ES"/>
        </w:rPr>
        <w:t xml:space="preserve">.  En otras palabras, lo que la Corte IDH hace es proteger el derecho al trabajo con independencia de que exista o no la posibilidad de tener estabilidad laboral; por lo que inclusive en aquellos supuestos de despidos de contratos temporales renovables tienen que mediar obligaciones mínimas, como lo son una adecuada motivación o bien la posibilidad de contar con recursos judiciales que tutelen el acceso a la justicia de derechos constitucionales y convencionales. </w:t>
      </w:r>
    </w:p>
    <w:p w14:paraId="0975BFF7" w14:textId="77777777" w:rsidR="00216011" w:rsidRPr="00216011" w:rsidRDefault="00216011" w:rsidP="00216011">
      <w:pPr>
        <w:spacing w:before="100" w:beforeAutospacing="1" w:after="100" w:afterAutospacing="1" w:line="240" w:lineRule="auto"/>
        <w:contextualSpacing/>
        <w:jc w:val="both"/>
        <w:rPr>
          <w:rFonts w:ascii="Verdana" w:eastAsia="MS Mincho" w:hAnsi="Verdana" w:cs="Times New Roman"/>
          <w:sz w:val="16"/>
          <w:szCs w:val="20"/>
          <w:lang w:val="es-ES_tradnl" w:eastAsia="es-ES"/>
        </w:rPr>
      </w:pPr>
    </w:p>
    <w:p w14:paraId="160481CD" w14:textId="77777777" w:rsidR="0027007E" w:rsidRDefault="0027007E" w:rsidP="00216011">
      <w:pPr>
        <w:numPr>
          <w:ilvl w:val="0"/>
          <w:numId w:val="34"/>
        </w:numPr>
        <w:spacing w:before="100" w:beforeAutospacing="1" w:after="100" w:afterAutospacing="1"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segundo lugar, el caso </w:t>
      </w:r>
      <w:r w:rsidRPr="0027007E">
        <w:rPr>
          <w:rFonts w:ascii="Verdana" w:eastAsia="MS Mincho" w:hAnsi="Verdana" w:cs="Times New Roman"/>
          <w:i/>
          <w:sz w:val="20"/>
          <w:szCs w:val="20"/>
          <w:lang w:val="es-ES_tradnl" w:eastAsia="es-ES"/>
        </w:rPr>
        <w:t>San Miguel Sosa y otras</w:t>
      </w:r>
      <w:r w:rsidRPr="0027007E">
        <w:rPr>
          <w:rFonts w:ascii="Verdana" w:eastAsia="MS Mincho" w:hAnsi="Verdana" w:cs="Times New Roman"/>
          <w:sz w:val="20"/>
          <w:szCs w:val="20"/>
          <w:lang w:val="es-ES_tradnl" w:eastAsia="es-ES"/>
        </w:rPr>
        <w:t xml:space="preserve">, permite poner de manifiesto que los Estados no pueden discriminar a sus trabajadores por manifestar o expresar sus opiniones políticas. Esto es de fundamental importancia, pues tradicionalmente la discriminación ha sido abordada por este Tribunal Interamericano a la luz de derechos </w:t>
      </w:r>
      <w:r w:rsidRPr="0027007E">
        <w:rPr>
          <w:rFonts w:ascii="Verdana" w:eastAsia="MS Mincho" w:hAnsi="Verdana" w:cs="Times New Roman"/>
          <w:sz w:val="20"/>
          <w:szCs w:val="20"/>
          <w:lang w:val="es-ES_tradnl" w:eastAsia="es-ES"/>
        </w:rPr>
        <w:lastRenderedPageBreak/>
        <w:t>convencionales civiles y políticos; sin embargo, el caso permite advertir que la discriminación también afecta a los DESCA en el goce y ejercicio, en tanto derechos.</w:t>
      </w:r>
    </w:p>
    <w:p w14:paraId="05520DC6" w14:textId="77777777" w:rsidR="00216011" w:rsidRPr="00216011" w:rsidRDefault="00216011" w:rsidP="00216011">
      <w:pPr>
        <w:spacing w:before="100" w:beforeAutospacing="1" w:after="100" w:afterAutospacing="1" w:line="240" w:lineRule="auto"/>
        <w:contextualSpacing/>
        <w:jc w:val="both"/>
        <w:rPr>
          <w:rFonts w:ascii="Verdana" w:eastAsia="MS Mincho" w:hAnsi="Verdana" w:cs="Times New Roman"/>
          <w:sz w:val="16"/>
          <w:szCs w:val="20"/>
          <w:lang w:val="es-ES_tradnl" w:eastAsia="es-ES"/>
        </w:rPr>
      </w:pPr>
    </w:p>
    <w:p w14:paraId="49966D51"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tercer lugar, la Corte IDH lo que hace en la Sentencia es enmarcar la violación en el respeto al derecho al trabajo y no a la estabilidad laboral como había abordado en los dos casos anteriores. Esta cuestión es de particular importancia, ya que la Corte IDH extiende la protección a este derecho sin que necesariamente medie esta “condición de estabilidad”. Así, en general, la Corte IDH protege aquellas relaciones de supra subordinación existente entre el patrón y el trabajador, sin importar la naturaleza contractual. En el caso, las víctimas no disponían de esta “condición de estabilidad” por el régimen laboral en el que se encontraban; sin embargo, bajo la óptica del derecho al trabajo, inclusive en estos supuestos se deben garantizar condiciones mínimas de respeto y garantía. </w:t>
      </w:r>
    </w:p>
    <w:p w14:paraId="2AEC9D89" w14:textId="77777777" w:rsidR="0027007E" w:rsidRPr="0027007E" w:rsidRDefault="0027007E" w:rsidP="0027007E">
      <w:pPr>
        <w:spacing w:after="0" w:line="240" w:lineRule="auto"/>
        <w:jc w:val="both"/>
        <w:rPr>
          <w:rFonts w:ascii="Verdana" w:eastAsia="MS Mincho" w:hAnsi="Verdana" w:cs="Verdana"/>
          <w:sz w:val="20"/>
          <w:szCs w:val="20"/>
          <w:lang w:val="es-ES_tradnl" w:eastAsia="es-ES"/>
        </w:rPr>
      </w:pPr>
    </w:p>
    <w:p w14:paraId="526453D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Verdana"/>
          <w:sz w:val="20"/>
          <w:szCs w:val="20"/>
          <w:lang w:val="es-ES_tradnl" w:eastAsia="es-ES"/>
        </w:rPr>
        <w:t>Así, todo despido o terminación de contratos de manera arbitraria —sin mediar justificación o motivación—  importa una sanción de máxima gravedad, y que en algunos casos se presenta con particulares características sancionatorias de mayor o especial gravedad, que requieren ampliamente una protección judicial. Así, al privársele a una persona de un derecho fundamental y en ocasiones indispensable para la supervivencia y realización de otros derechos, la lesión arbitraria al derecho al trabajo es susceptible de afectar incluso la propia identidad subjetiva de la persona e incluso trascender, afectando a terceros vinculados</w:t>
      </w:r>
      <w:r w:rsidRPr="0027007E">
        <w:rPr>
          <w:rFonts w:ascii="Verdana" w:eastAsia="MS Mincho" w:hAnsi="Verdana" w:cs="Verdana"/>
          <w:sz w:val="20"/>
          <w:szCs w:val="20"/>
          <w:vertAlign w:val="superscript"/>
          <w:lang w:val="es-ES_tradnl" w:eastAsia="es-ES"/>
        </w:rPr>
        <w:footnoteReference w:id="349"/>
      </w:r>
      <w:r w:rsidRPr="0027007E">
        <w:rPr>
          <w:rFonts w:ascii="Verdana" w:eastAsia="MS Mincho" w:hAnsi="Verdana" w:cs="Verdana"/>
          <w:sz w:val="20"/>
          <w:szCs w:val="20"/>
          <w:lang w:val="es-ES_tradnl" w:eastAsia="es-ES"/>
        </w:rPr>
        <w:t>.</w:t>
      </w:r>
    </w:p>
    <w:p w14:paraId="6DF0DBA8" w14:textId="77777777" w:rsidR="0027007E" w:rsidRPr="0027007E" w:rsidRDefault="0027007E" w:rsidP="0027007E">
      <w:pPr>
        <w:spacing w:after="0" w:line="240" w:lineRule="auto"/>
        <w:contextualSpacing/>
        <w:jc w:val="both"/>
        <w:rPr>
          <w:rFonts w:ascii="Verdana" w:eastAsia="MS Mincho" w:hAnsi="Verdana" w:cs="Times New Roman"/>
          <w:sz w:val="20"/>
          <w:szCs w:val="20"/>
          <w:lang w:val="es-ES_tradnl" w:eastAsia="es-ES"/>
        </w:rPr>
      </w:pPr>
    </w:p>
    <w:p w14:paraId="4C27AE99"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En cuanto a las reparaciones, es fundamental también tener en consideración cómo en cada uno de estos casos se ha considerado como eje central el derecho al trabajo/estabilidad laboral, en especial dentro del concepto de daño material</w:t>
      </w:r>
      <w:r w:rsidRPr="0027007E">
        <w:rPr>
          <w:rFonts w:ascii="Verdana" w:eastAsia="MS Mincho" w:hAnsi="Verdana" w:cs="Times New Roman"/>
          <w:sz w:val="20"/>
          <w:szCs w:val="20"/>
          <w:vertAlign w:val="superscript"/>
          <w:lang w:val="es-ES_tradnl" w:eastAsia="es-ES"/>
        </w:rPr>
        <w:footnoteReference w:id="350"/>
      </w:r>
      <w:r w:rsidRPr="0027007E">
        <w:rPr>
          <w:rFonts w:ascii="Verdana" w:eastAsia="MS Mincho" w:hAnsi="Verdana" w:cs="Times New Roman"/>
          <w:sz w:val="20"/>
          <w:szCs w:val="20"/>
          <w:lang w:val="es-ES_tradnl" w:eastAsia="es-ES"/>
        </w:rPr>
        <w:t xml:space="preserve">. En este sentido, la Corte IDH en el caso </w:t>
      </w:r>
      <w:r w:rsidRPr="0027007E">
        <w:rPr>
          <w:rFonts w:ascii="Verdana" w:eastAsia="MS Mincho" w:hAnsi="Verdana" w:cs="Times New Roman"/>
          <w:i/>
          <w:sz w:val="20"/>
          <w:szCs w:val="20"/>
          <w:lang w:val="es-ES_tradnl" w:eastAsia="es-ES"/>
        </w:rPr>
        <w:t>Lagos del Campo</w:t>
      </w:r>
      <w:r w:rsidRPr="0027007E">
        <w:rPr>
          <w:rFonts w:ascii="Verdana" w:eastAsia="MS Mincho" w:hAnsi="Verdana" w:cs="Times New Roman"/>
          <w:sz w:val="20"/>
          <w:szCs w:val="20"/>
          <w:lang w:val="es-ES_tradnl" w:eastAsia="es-ES"/>
        </w:rPr>
        <w:t xml:space="preserve"> consideró que con motivo del despido y la desprotección judicial, la víctima se había visto en una situación de desamparo acerca de su situación laboral, lo cual había afectado sus condiciones de vida, por lo que se otorgaba un monto en concepto de daño material; en el mismo caso, sobre la pensión que el señor Lagos del Campo hubiera recibido de no ser despedido, la Corte IDH estimó que, en efecto, la víctima había perdido la posibilidad de acceder a una pensión y beneficios sociales, por lo que también fijó un monto por este concepto</w:t>
      </w:r>
      <w:r w:rsidRPr="0027007E">
        <w:rPr>
          <w:rFonts w:ascii="Verdana" w:eastAsia="MS Mincho" w:hAnsi="Verdana" w:cs="Times New Roman"/>
          <w:sz w:val="20"/>
          <w:szCs w:val="20"/>
          <w:vertAlign w:val="superscript"/>
          <w:lang w:val="es-ES_tradnl" w:eastAsia="es-ES"/>
        </w:rPr>
        <w:footnoteReference w:id="351"/>
      </w:r>
      <w:r w:rsidRPr="0027007E">
        <w:rPr>
          <w:rFonts w:ascii="Verdana" w:eastAsia="MS Mincho" w:hAnsi="Verdana" w:cs="Times New Roman"/>
          <w:sz w:val="20"/>
          <w:szCs w:val="20"/>
          <w:lang w:val="es-ES_tradnl" w:eastAsia="es-ES"/>
        </w:rPr>
        <w:t xml:space="preserve">. </w:t>
      </w:r>
    </w:p>
    <w:p w14:paraId="2961F315" w14:textId="77777777" w:rsidR="0027007E" w:rsidRPr="0027007E" w:rsidRDefault="0027007E" w:rsidP="0027007E">
      <w:pPr>
        <w:spacing w:after="0" w:line="240" w:lineRule="auto"/>
        <w:jc w:val="both"/>
        <w:rPr>
          <w:rFonts w:ascii="Verdana" w:eastAsia="MS Mincho" w:hAnsi="Verdana" w:cs="Times New Roman"/>
          <w:sz w:val="20"/>
          <w:szCs w:val="20"/>
          <w:lang w:val="es-ES_tradnl" w:eastAsia="es-ES"/>
        </w:rPr>
      </w:pPr>
    </w:p>
    <w:p w14:paraId="2DB73BC1"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val="es-ES_tradnl" w:eastAsia="es-ES"/>
        </w:rPr>
      </w:pPr>
      <w:r w:rsidRPr="0027007E">
        <w:rPr>
          <w:rFonts w:ascii="Verdana" w:eastAsia="MS Mincho" w:hAnsi="Verdana" w:cs="Times New Roman"/>
          <w:sz w:val="20"/>
          <w:szCs w:val="20"/>
          <w:lang w:val="es-ES_tradnl" w:eastAsia="es-ES"/>
        </w:rPr>
        <w:t xml:space="preserve">En el caso </w:t>
      </w:r>
      <w:r w:rsidRPr="0027007E">
        <w:rPr>
          <w:rFonts w:ascii="Verdana" w:eastAsia="MS Mincho" w:hAnsi="Verdana" w:cs="Times New Roman"/>
          <w:i/>
          <w:sz w:val="20"/>
          <w:szCs w:val="20"/>
          <w:lang w:val="es-ES_tradnl" w:eastAsia="es-ES"/>
        </w:rPr>
        <w:t>Trabajadores Cesados del Petroperú</w:t>
      </w:r>
      <w:r w:rsidRPr="0027007E">
        <w:rPr>
          <w:rFonts w:ascii="Verdana" w:eastAsia="MS Mincho" w:hAnsi="Verdana" w:cs="Times New Roman"/>
          <w:sz w:val="20"/>
          <w:szCs w:val="20"/>
          <w:lang w:val="es-ES_tradnl" w:eastAsia="es-ES"/>
        </w:rPr>
        <w:t xml:space="preserve">, frente al alegato de reincorporación a un puesto similar, la Corte IDH estimó </w:t>
      </w:r>
      <w:r w:rsidRPr="0027007E">
        <w:rPr>
          <w:rFonts w:ascii="Verdana" w:eastAsia="MS Mincho" w:hAnsi="Verdana" w:cs="Verdana"/>
          <w:sz w:val="20"/>
          <w:szCs w:val="20"/>
          <w:lang w:val="es-ES_tradnl" w:eastAsia="es-ES"/>
        </w:rPr>
        <w:t xml:space="preserve">que “transcurridos aproximadamente 25 años de los ceses laborales ocurridos […], la reincorporación o reposición de los trabajadores en sus antiguos cargos o en otros análogos enfrenta diversos niveles de complejidad y operatividad, en particular, por las modificaciones estructurales que han ocurrido en Petroperú, </w:t>
      </w:r>
      <w:proofErr w:type="spellStart"/>
      <w:r w:rsidRPr="0027007E">
        <w:rPr>
          <w:rFonts w:ascii="Verdana" w:eastAsia="MS Mincho" w:hAnsi="Verdana" w:cs="Verdana"/>
          <w:sz w:val="20"/>
          <w:szCs w:val="20"/>
          <w:lang w:val="es-ES_tradnl" w:eastAsia="es-ES"/>
        </w:rPr>
        <w:t>Enapu</w:t>
      </w:r>
      <w:proofErr w:type="spellEnd"/>
      <w:r w:rsidRPr="0027007E">
        <w:rPr>
          <w:rFonts w:ascii="Verdana" w:eastAsia="MS Mincho" w:hAnsi="Verdana" w:cs="Verdana"/>
          <w:sz w:val="20"/>
          <w:szCs w:val="20"/>
          <w:lang w:val="es-ES_tradnl" w:eastAsia="es-ES"/>
        </w:rPr>
        <w:t xml:space="preserve">, MEF y </w:t>
      </w:r>
      <w:proofErr w:type="spellStart"/>
      <w:r w:rsidRPr="0027007E">
        <w:rPr>
          <w:rFonts w:ascii="Verdana" w:eastAsia="MS Mincho" w:hAnsi="Verdana" w:cs="Verdana"/>
          <w:sz w:val="20"/>
          <w:szCs w:val="20"/>
          <w:lang w:val="es-ES_tradnl" w:eastAsia="es-ES"/>
        </w:rPr>
        <w:t>Minedu</w:t>
      </w:r>
      <w:proofErr w:type="spellEnd"/>
      <w:r w:rsidRPr="0027007E">
        <w:rPr>
          <w:rFonts w:ascii="Verdana" w:eastAsia="MS Mincho" w:hAnsi="Verdana" w:cs="Verdana"/>
          <w:sz w:val="20"/>
          <w:szCs w:val="20"/>
          <w:lang w:val="es-ES_tradnl" w:eastAsia="es-ES"/>
        </w:rPr>
        <w:t xml:space="preserve">”. En consecuencia, el Tribunal Interamericano consideró que no dispondría la </w:t>
      </w:r>
      <w:r w:rsidRPr="0027007E">
        <w:rPr>
          <w:rFonts w:ascii="Verdana" w:eastAsia="MS Mincho" w:hAnsi="Verdana" w:cs="Verdana"/>
          <w:sz w:val="20"/>
          <w:szCs w:val="20"/>
          <w:lang w:val="es-ES_tradnl" w:eastAsia="es-ES"/>
        </w:rPr>
        <w:lastRenderedPageBreak/>
        <w:t>reincorporación de las víctimas y, por tal motivo, tomó en cuenta este aspecto al momento de calcular la indemnización compensatoria (daño material)</w:t>
      </w:r>
      <w:r w:rsidRPr="0027007E">
        <w:rPr>
          <w:rFonts w:ascii="Verdana" w:eastAsia="MS Mincho" w:hAnsi="Verdana" w:cs="Verdana"/>
          <w:sz w:val="20"/>
          <w:szCs w:val="20"/>
          <w:vertAlign w:val="superscript"/>
          <w:lang w:val="es-ES_tradnl" w:eastAsia="es-ES"/>
        </w:rPr>
        <w:footnoteReference w:id="352"/>
      </w:r>
      <w:r w:rsidRPr="0027007E">
        <w:rPr>
          <w:rFonts w:ascii="Verdana" w:eastAsia="MS Mincho" w:hAnsi="Verdana" w:cs="Verdana"/>
          <w:sz w:val="20"/>
          <w:szCs w:val="20"/>
          <w:lang w:val="es-ES_tradnl" w:eastAsia="es-ES"/>
        </w:rPr>
        <w:t xml:space="preserve">. </w:t>
      </w:r>
    </w:p>
    <w:p w14:paraId="5BF452BA" w14:textId="77777777" w:rsidR="0027007E" w:rsidRPr="00216011" w:rsidRDefault="0027007E" w:rsidP="0027007E">
      <w:pPr>
        <w:numPr>
          <w:ilvl w:val="0"/>
          <w:numId w:val="34"/>
        </w:numPr>
        <w:spacing w:after="0" w:line="240" w:lineRule="auto"/>
        <w:ind w:left="0" w:firstLine="0"/>
        <w:contextualSpacing/>
        <w:jc w:val="both"/>
        <w:rPr>
          <w:rFonts w:ascii="Verdana" w:eastAsia="MS Mincho" w:hAnsi="Verdana" w:cs="Times New Roman"/>
          <w:sz w:val="12"/>
          <w:szCs w:val="20"/>
          <w:lang w:val="es-ES_tradnl" w:eastAsia="es-ES"/>
        </w:rPr>
      </w:pPr>
      <w:r w:rsidRPr="0027007E">
        <w:rPr>
          <w:rFonts w:ascii="Verdana" w:eastAsia="MS Mincho" w:hAnsi="Verdana" w:cs="Times New Roman"/>
          <w:sz w:val="20"/>
          <w:szCs w:val="20"/>
          <w:lang w:val="es-ES_tradnl" w:eastAsia="es-ES"/>
        </w:rPr>
        <w:t>Finalmente, en el caso de las tres víctimas del presente caso, la Corte IDH consideró que no era viable ordenar la reincorporación de las víctimas a cargos en la administración pública, estimando pertinente incluir este aspecto en la indemnización (por daños materiales)</w:t>
      </w:r>
      <w:r w:rsidRPr="0027007E">
        <w:rPr>
          <w:rFonts w:ascii="Verdana" w:eastAsia="MS Mincho" w:hAnsi="Verdana" w:cs="Times New Roman"/>
          <w:sz w:val="20"/>
          <w:szCs w:val="20"/>
          <w:vertAlign w:val="superscript"/>
          <w:lang w:val="es-ES_tradnl" w:eastAsia="es-ES"/>
        </w:rPr>
        <w:footnoteReference w:id="353"/>
      </w:r>
      <w:r w:rsidRPr="0027007E">
        <w:rPr>
          <w:rFonts w:ascii="Verdana" w:eastAsia="MS Mincho" w:hAnsi="Verdana" w:cs="Times New Roman"/>
          <w:sz w:val="20"/>
          <w:szCs w:val="20"/>
          <w:lang w:val="es-ES_tradnl" w:eastAsia="es-ES"/>
        </w:rPr>
        <w:t xml:space="preserve">. </w:t>
      </w:r>
    </w:p>
    <w:p w14:paraId="432DD096" w14:textId="77777777" w:rsidR="00216011" w:rsidRPr="0027007E" w:rsidRDefault="00216011" w:rsidP="00216011">
      <w:pPr>
        <w:spacing w:after="0" w:line="240" w:lineRule="auto"/>
        <w:contextualSpacing/>
        <w:jc w:val="both"/>
        <w:rPr>
          <w:rFonts w:ascii="Verdana" w:eastAsia="MS Mincho" w:hAnsi="Verdana" w:cs="Times New Roman"/>
          <w:sz w:val="20"/>
          <w:szCs w:val="20"/>
          <w:lang w:val="es-ES_tradnl" w:eastAsia="es-ES"/>
        </w:rPr>
      </w:pPr>
    </w:p>
    <w:p w14:paraId="4776D0E6"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Verdana"/>
          <w:sz w:val="20"/>
          <w:szCs w:val="20"/>
          <w:lang w:val="es-ES_tradnl" w:eastAsia="es-ES"/>
        </w:rPr>
      </w:pPr>
      <w:r w:rsidRPr="0027007E">
        <w:rPr>
          <w:rFonts w:ascii="Verdana" w:eastAsia="MS Mincho" w:hAnsi="Verdana" w:cs="Times New Roman"/>
          <w:sz w:val="20"/>
          <w:szCs w:val="20"/>
          <w:lang w:val="es-ES_tradnl" w:eastAsia="es-ES"/>
        </w:rPr>
        <w:t xml:space="preserve"> Cabe destacar que el derecho al trabajo no consiste en una permanencia irrestricta en el puesto del trabajo, </w:t>
      </w:r>
      <w:r w:rsidRPr="0027007E">
        <w:rPr>
          <w:rFonts w:ascii="Verdana" w:eastAsia="MS Mincho" w:hAnsi="Verdana" w:cs="Verdana"/>
          <w:sz w:val="20"/>
          <w:szCs w:val="20"/>
          <w:lang w:val="es-ES_tradnl" w:eastAsia="es-ES"/>
        </w:rPr>
        <w:t>sino de respetar este derecho, entre otras medidas, otorgando debidas garantías de protección al trabajador a fin de que, en caso de despido, se realice bajo causas justificadas o debidamente motivas; lo cual implica que el empleador acredite las razones suficientes para proceder con dicha acción con las debidas garantías, y frente a ello el trabajador pueda recurrir tal decisión ante las autoridades internas, quienes verifiquen que las causales imputadas no sean arbitrarias o contrarias a derecho</w:t>
      </w:r>
      <w:r w:rsidRPr="0027007E">
        <w:rPr>
          <w:rFonts w:ascii="Verdana" w:eastAsia="MS Mincho" w:hAnsi="Verdana" w:cs="Verdana"/>
          <w:sz w:val="20"/>
          <w:szCs w:val="20"/>
          <w:vertAlign w:val="superscript"/>
          <w:lang w:val="es-ES_tradnl" w:eastAsia="es-ES"/>
        </w:rPr>
        <w:footnoteReference w:id="354"/>
      </w:r>
      <w:r w:rsidRPr="0027007E">
        <w:rPr>
          <w:rFonts w:ascii="Verdana" w:eastAsia="MS Mincho" w:hAnsi="Verdana" w:cs="Verdana"/>
          <w:sz w:val="20"/>
          <w:szCs w:val="20"/>
          <w:lang w:val="es-ES_tradnl" w:eastAsia="es-ES"/>
        </w:rPr>
        <w:t>.</w:t>
      </w:r>
    </w:p>
    <w:p w14:paraId="07BB13E1" w14:textId="77777777" w:rsidR="0027007E" w:rsidRPr="0027007E" w:rsidRDefault="0027007E" w:rsidP="0027007E">
      <w:pPr>
        <w:spacing w:after="0" w:line="240" w:lineRule="auto"/>
        <w:jc w:val="both"/>
        <w:rPr>
          <w:rFonts w:ascii="Verdana" w:eastAsia="MS Mincho" w:hAnsi="Verdana" w:cs="Verdana"/>
          <w:sz w:val="20"/>
          <w:szCs w:val="20"/>
          <w:lang w:val="es-ES_tradnl" w:eastAsia="es-ES"/>
        </w:rPr>
      </w:pPr>
    </w:p>
    <w:p w14:paraId="2EF6653F" w14:textId="77777777" w:rsidR="0027007E" w:rsidRPr="0027007E" w:rsidRDefault="0027007E" w:rsidP="0027007E">
      <w:pPr>
        <w:spacing w:after="0" w:line="240" w:lineRule="auto"/>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II. LA INDEPENDENCIA JUDICIAL COMO PARTE DE LAS GARANTÍAS JUDICIALES Y DEL ACCESO A LA JUSTICIA, A LA LUZ DEL CONTEXTO DEL PRESENTE CASO Y LA “DESVIACIÓN DE PODER” DECLARADA EN LA SENTENCIA</w:t>
      </w:r>
    </w:p>
    <w:p w14:paraId="3D96F8CE" w14:textId="77777777" w:rsidR="0027007E" w:rsidRPr="0027007E" w:rsidRDefault="0027007E" w:rsidP="0027007E">
      <w:pPr>
        <w:spacing w:after="0" w:line="240" w:lineRule="auto"/>
        <w:jc w:val="both"/>
        <w:rPr>
          <w:rFonts w:ascii="Verdana" w:eastAsia="MS Mincho" w:hAnsi="Verdana" w:cs="Verdana"/>
          <w:sz w:val="20"/>
          <w:szCs w:val="20"/>
          <w:lang w:eastAsia="es-ES"/>
        </w:rPr>
      </w:pPr>
    </w:p>
    <w:p w14:paraId="63D3C549" w14:textId="77777777" w:rsidR="0027007E" w:rsidRPr="0027007E" w:rsidRDefault="0027007E" w:rsidP="0027007E">
      <w:pPr>
        <w:numPr>
          <w:ilvl w:val="0"/>
          <w:numId w:val="34"/>
        </w:numPr>
        <w:pBdr>
          <w:top w:val="nil"/>
        </w:pBdr>
        <w:autoSpaceDE w:val="0"/>
        <w:autoSpaceDN w:val="0"/>
        <w:adjustRightInd w:val="0"/>
        <w:spacing w:after="0" w:line="240" w:lineRule="auto"/>
        <w:ind w:left="0" w:firstLine="0"/>
        <w:jc w:val="both"/>
        <w:rPr>
          <w:rFonts w:ascii="Verdana" w:eastAsia="MS Mincho" w:hAnsi="Verdana" w:cs="Times New Roman"/>
          <w:sz w:val="20"/>
          <w:szCs w:val="20"/>
          <w:lang w:eastAsia="es-ES"/>
        </w:rPr>
      </w:pPr>
      <w:r w:rsidRPr="0027007E">
        <w:rPr>
          <w:rFonts w:ascii="Verdana" w:eastAsia="MS Mincho" w:hAnsi="Verdana" w:cs="Helvetica"/>
          <w:sz w:val="20"/>
          <w:szCs w:val="20"/>
          <w:lang w:eastAsia="es-ES"/>
        </w:rPr>
        <w:t>La Corte IDH ha sido de la opinión de que la tutela judicial efectiva requiere que los procedimientos judiciales sean accesibles para las partes, sin obstáculos o demoras indebidas, a fin de que alcancen su objetivo de manera rápida, sencilla e integral</w:t>
      </w:r>
      <w:r w:rsidRPr="0027007E">
        <w:rPr>
          <w:rFonts w:ascii="Verdana" w:eastAsia="MS Mincho" w:hAnsi="Verdana" w:cs="Times New Roman"/>
          <w:sz w:val="20"/>
          <w:szCs w:val="20"/>
          <w:vertAlign w:val="superscript"/>
          <w:lang w:eastAsia="es-ES"/>
        </w:rPr>
        <w:footnoteReference w:id="355"/>
      </w:r>
      <w:r w:rsidRPr="0027007E">
        <w:rPr>
          <w:rFonts w:ascii="Verdana" w:eastAsia="MS Mincho" w:hAnsi="Verdana" w:cs="Helvetica"/>
          <w:sz w:val="20"/>
          <w:szCs w:val="20"/>
          <w:lang w:eastAsia="es-ES"/>
        </w:rPr>
        <w:t xml:space="preserve">. </w:t>
      </w:r>
      <w:r w:rsidRPr="0027007E">
        <w:rPr>
          <w:rFonts w:ascii="Verdana" w:eastAsia="MS Mincho" w:hAnsi="Verdana" w:cs="Times New Roman"/>
          <w:sz w:val="20"/>
          <w:szCs w:val="20"/>
          <w:lang w:eastAsia="es-ES"/>
        </w:rPr>
        <w:t xml:space="preserve">Para que </w:t>
      </w:r>
      <w:r w:rsidRPr="0027007E">
        <w:rPr>
          <w:rFonts w:ascii="Verdana" w:eastAsia="MS Mincho" w:hAnsi="Verdana" w:cs="Times New Roman"/>
          <w:sz w:val="20"/>
          <w:szCs w:val="20"/>
          <w:lang w:eastAsia="es-ES"/>
        </w:rPr>
        <w:lastRenderedPageBreak/>
        <w:t>un Estado cumpla con lo dispuesto en el artículo 25 de la Convención Americana, no basta con que los recursos existan formalmente, sino que es preciso que tengan efectividad en los términos del mismo</w:t>
      </w:r>
      <w:r w:rsidRPr="0027007E">
        <w:rPr>
          <w:rFonts w:ascii="Verdana" w:eastAsia="MS Mincho" w:hAnsi="Verdana" w:cs="Times New Roman"/>
          <w:sz w:val="20"/>
          <w:szCs w:val="20"/>
          <w:vertAlign w:val="superscript"/>
          <w:lang w:eastAsia="es-ES"/>
        </w:rPr>
        <w:footnoteReference w:id="356"/>
      </w:r>
      <w:r w:rsidRPr="0027007E">
        <w:rPr>
          <w:rFonts w:ascii="Verdana" w:eastAsia="MS Mincho" w:hAnsi="Verdana" w:cs="Times New Roman"/>
          <w:sz w:val="20"/>
          <w:szCs w:val="20"/>
          <w:lang w:eastAsia="es-ES"/>
        </w:rPr>
        <w:t>; es decir, que den resultados o respuestas a las violaciones de derechos reconocidos, ya sea en la Convención, en la Constitución o en la ley</w:t>
      </w:r>
      <w:r w:rsidRPr="0027007E">
        <w:rPr>
          <w:rFonts w:ascii="Verdana" w:eastAsia="MS Mincho" w:hAnsi="Verdana" w:cs="Times New Roman"/>
          <w:sz w:val="20"/>
          <w:szCs w:val="20"/>
          <w:vertAlign w:val="superscript"/>
          <w:lang w:eastAsia="es-ES"/>
        </w:rPr>
        <w:footnoteReference w:id="357"/>
      </w:r>
      <w:r w:rsidRPr="0027007E">
        <w:rPr>
          <w:rFonts w:ascii="Verdana" w:eastAsia="MS Mincho" w:hAnsi="Verdana" w:cs="Times New Roman"/>
          <w:sz w:val="20"/>
          <w:szCs w:val="20"/>
          <w:lang w:eastAsia="es-ES"/>
        </w:rPr>
        <w:t xml:space="preserve"> y que el análisis por la autoridad competente no se reduzca a una mera formalidad, sino que examine las razones invocadas por el demandante y se manifieste expresamente sobre ellas</w:t>
      </w:r>
      <w:r w:rsidRPr="0027007E">
        <w:rPr>
          <w:rFonts w:ascii="Verdana" w:eastAsia="MS Mincho" w:hAnsi="Verdana" w:cs="Times New Roman"/>
          <w:sz w:val="20"/>
          <w:szCs w:val="20"/>
          <w:vertAlign w:val="superscript"/>
          <w:lang w:eastAsia="es-ES"/>
        </w:rPr>
        <w:footnoteReference w:id="358"/>
      </w:r>
      <w:r w:rsidRPr="0027007E">
        <w:rPr>
          <w:rFonts w:ascii="Verdana" w:eastAsia="MS Mincho" w:hAnsi="Verdana" w:cs="Times New Roman"/>
          <w:sz w:val="20"/>
          <w:szCs w:val="20"/>
          <w:lang w:eastAsia="es-ES"/>
        </w:rPr>
        <w:t>.</w:t>
      </w:r>
    </w:p>
    <w:p w14:paraId="30773E54" w14:textId="77777777" w:rsidR="0027007E" w:rsidRPr="0027007E" w:rsidRDefault="0027007E" w:rsidP="0027007E">
      <w:pPr>
        <w:widowControl w:val="0"/>
        <w:numPr>
          <w:ilvl w:val="0"/>
          <w:numId w:val="34"/>
        </w:numPr>
        <w:autoSpaceDE w:val="0"/>
        <w:autoSpaceDN w:val="0"/>
        <w:adjustRightInd w:val="0"/>
        <w:spacing w:after="0" w:line="240" w:lineRule="auto"/>
        <w:ind w:left="0" w:firstLine="0"/>
        <w:contextualSpacing/>
        <w:jc w:val="both"/>
        <w:rPr>
          <w:rFonts w:ascii="Verdana" w:eastAsia="MS Mincho" w:hAnsi="Verdana" w:cs="Times"/>
          <w:sz w:val="20"/>
          <w:szCs w:val="20"/>
          <w:lang w:eastAsia="es-ES"/>
        </w:rPr>
      </w:pPr>
      <w:r w:rsidRPr="0027007E">
        <w:rPr>
          <w:rFonts w:ascii="Verdana" w:eastAsia="MS Mincho" w:hAnsi="Verdana" w:cs="Times"/>
          <w:sz w:val="20"/>
          <w:szCs w:val="20"/>
          <w:lang w:eastAsia="es-ES"/>
        </w:rPr>
        <w:t>Por otro lado, la Corte IDH en reiteradas ocasiones, en lo relativo al artículo 8.1 de la Convención Americana, se ha pronunciado sobre el derecho a ser juzgado por un juez o tribunal independiente e imparcial, considerando que son garantías fundamentales del debido proceso; debiéndose garantizar que el juez o tribunal, en el ejercicio de su función como juzgador, cuente con la mayor objetividad para enfrentar el juicio</w:t>
      </w:r>
      <w:r w:rsidRPr="0027007E">
        <w:rPr>
          <w:rFonts w:ascii="Verdana" w:eastAsia="MS Mincho" w:hAnsi="Verdana" w:cs="Times"/>
          <w:sz w:val="20"/>
          <w:szCs w:val="20"/>
          <w:vertAlign w:val="superscript"/>
          <w:lang w:eastAsia="es-ES"/>
        </w:rPr>
        <w:footnoteReference w:id="359"/>
      </w:r>
      <w:r w:rsidRPr="0027007E">
        <w:rPr>
          <w:rFonts w:ascii="Verdana" w:eastAsia="MS Mincho" w:hAnsi="Verdana" w:cs="Times"/>
          <w:sz w:val="20"/>
          <w:szCs w:val="20"/>
          <w:lang w:eastAsia="es-ES"/>
        </w:rPr>
        <w:t>. El Tribunal Interamericano ha establecido que la imparcialidad exige que el juez que interviene en una contienda particular se aproxime a los hechos de la causa careciendo, de manera subjetiva, de todo prejuicio y, asimismo, ofreciendo garantías suficientes de índole objetiva que inspiren confianza necesaria a las partes en el caso, así como a los ciudadanos en una sociedad democrática</w:t>
      </w:r>
      <w:r w:rsidRPr="0027007E">
        <w:rPr>
          <w:rFonts w:ascii="Verdana" w:eastAsia="MS Mincho" w:hAnsi="Verdana" w:cs="Times"/>
          <w:sz w:val="20"/>
          <w:szCs w:val="20"/>
          <w:vertAlign w:val="superscript"/>
          <w:lang w:eastAsia="es-ES"/>
        </w:rPr>
        <w:footnoteReference w:id="360"/>
      </w:r>
      <w:r w:rsidRPr="0027007E">
        <w:rPr>
          <w:rFonts w:ascii="Verdana" w:eastAsia="MS Mincho" w:hAnsi="Verdana" w:cs="Times"/>
          <w:sz w:val="20"/>
          <w:szCs w:val="20"/>
          <w:lang w:eastAsia="es-ES"/>
        </w:rPr>
        <w:t>. La imparcialidad del tribunal implica que sus integrantes no tengan un interés directo, una posición tomada, una preferencia por alguna de las partes y que no se encuentren involucrados en la controversia</w:t>
      </w:r>
      <w:r w:rsidRPr="0027007E">
        <w:rPr>
          <w:rFonts w:ascii="Verdana" w:eastAsia="MS Mincho" w:hAnsi="Verdana" w:cs="Times"/>
          <w:sz w:val="20"/>
          <w:szCs w:val="20"/>
          <w:vertAlign w:val="superscript"/>
          <w:lang w:eastAsia="es-ES"/>
        </w:rPr>
        <w:footnoteReference w:id="361"/>
      </w:r>
      <w:r w:rsidRPr="0027007E">
        <w:rPr>
          <w:rFonts w:ascii="Verdana" w:eastAsia="MS Mincho" w:hAnsi="Verdana" w:cs="Times"/>
          <w:sz w:val="20"/>
          <w:szCs w:val="20"/>
          <w:lang w:eastAsia="es-ES"/>
        </w:rPr>
        <w:t>.</w:t>
      </w:r>
    </w:p>
    <w:p w14:paraId="699ED828" w14:textId="77777777" w:rsidR="0027007E" w:rsidRPr="00E10368" w:rsidRDefault="0027007E" w:rsidP="0027007E">
      <w:pPr>
        <w:spacing w:after="0" w:line="240" w:lineRule="auto"/>
        <w:ind w:left="720"/>
        <w:contextualSpacing/>
        <w:rPr>
          <w:rFonts w:ascii="Verdana" w:eastAsia="MS Mincho" w:hAnsi="Verdana" w:cs="Times"/>
          <w:sz w:val="24"/>
          <w:szCs w:val="20"/>
          <w:lang w:eastAsia="es-ES"/>
        </w:rPr>
      </w:pPr>
    </w:p>
    <w:p w14:paraId="0DD766DA" w14:textId="77777777" w:rsidR="0027007E" w:rsidRPr="0027007E" w:rsidRDefault="0027007E" w:rsidP="0027007E">
      <w:pPr>
        <w:widowControl w:val="0"/>
        <w:numPr>
          <w:ilvl w:val="0"/>
          <w:numId w:val="34"/>
        </w:numPr>
        <w:autoSpaceDE w:val="0"/>
        <w:autoSpaceDN w:val="0"/>
        <w:adjustRightInd w:val="0"/>
        <w:spacing w:after="0" w:line="240" w:lineRule="auto"/>
        <w:ind w:left="0" w:firstLine="0"/>
        <w:contextualSpacing/>
        <w:jc w:val="both"/>
        <w:rPr>
          <w:rFonts w:ascii="Verdana" w:eastAsia="MS Mincho" w:hAnsi="Verdana" w:cs="Times"/>
          <w:sz w:val="20"/>
          <w:szCs w:val="20"/>
          <w:lang w:eastAsia="es-ES"/>
        </w:rPr>
      </w:pPr>
      <w:r w:rsidRPr="0027007E">
        <w:rPr>
          <w:rFonts w:ascii="Verdana" w:eastAsia="Times" w:hAnsi="Verdana" w:cs="Times New Roman"/>
          <w:sz w:val="20"/>
          <w:szCs w:val="20"/>
          <w:lang w:eastAsia="es-ES"/>
        </w:rPr>
        <w:t xml:space="preserve">Asimismo, la Corte IDH ha considerado reiteradamente que el objetivo de </w:t>
      </w:r>
      <w:r w:rsidRPr="0027007E">
        <w:rPr>
          <w:rFonts w:ascii="Verdana" w:eastAsia="MS Mincho" w:hAnsi="Verdana" w:cs="Times New Roman"/>
          <w:sz w:val="20"/>
          <w:szCs w:val="20"/>
          <w:lang w:eastAsia="es-ES"/>
        </w:rPr>
        <w:t>la garantía de independencia de los jueces</w:t>
      </w:r>
      <w:r w:rsidRPr="0027007E">
        <w:rPr>
          <w:rFonts w:ascii="Verdana" w:eastAsia="Times" w:hAnsi="Verdana" w:cs="Times New Roman"/>
          <w:sz w:val="20"/>
          <w:szCs w:val="20"/>
          <w:lang w:eastAsia="es-ES"/>
        </w:rPr>
        <w:t xml:space="preserve"> radica en evitar que el sistema judicial y sus integrantes se vean sometidos a restricciones indebidas en el ejercicio de su función por parte de órganos ajenos al Poder Judicial o incluso por parte de aquellos magistrados que ejercen funciones de revisión o apelación</w:t>
      </w:r>
      <w:r w:rsidRPr="0027007E">
        <w:rPr>
          <w:rFonts w:ascii="Verdana" w:eastAsia="MS Mincho" w:hAnsi="Verdana" w:cs="Times New Roman"/>
          <w:sz w:val="20"/>
          <w:szCs w:val="20"/>
          <w:vertAlign w:val="superscript"/>
          <w:lang w:eastAsia="es-ES"/>
        </w:rPr>
        <w:footnoteReference w:id="362"/>
      </w:r>
      <w:r w:rsidRPr="0027007E">
        <w:rPr>
          <w:rFonts w:ascii="Verdana" w:eastAsia="Times" w:hAnsi="Verdana" w:cs="Times New Roman"/>
          <w:sz w:val="20"/>
          <w:szCs w:val="20"/>
          <w:lang w:eastAsia="es-ES"/>
        </w:rPr>
        <w:t>.</w:t>
      </w:r>
      <w:r w:rsidRPr="0027007E">
        <w:rPr>
          <w:rFonts w:ascii="Verdana" w:eastAsia="MS Mincho" w:hAnsi="Verdana" w:cs="Times New Roman"/>
          <w:sz w:val="20"/>
          <w:szCs w:val="20"/>
          <w:lang w:eastAsia="es-ES"/>
        </w:rPr>
        <w:t xml:space="preserve"> </w:t>
      </w:r>
      <w:r w:rsidRPr="0027007E">
        <w:rPr>
          <w:rFonts w:ascii="Verdana" w:eastAsia="Times" w:hAnsi="Verdana" w:cs="Times New Roman"/>
          <w:sz w:val="20"/>
          <w:szCs w:val="20"/>
          <w:lang w:eastAsia="es-ES"/>
        </w:rPr>
        <w:t xml:space="preserve">Además, </w:t>
      </w:r>
      <w:r w:rsidRPr="0027007E">
        <w:rPr>
          <w:rFonts w:ascii="Verdana" w:eastAsia="MS Mincho" w:hAnsi="Verdana" w:cs="Times New Roman"/>
          <w:sz w:val="20"/>
          <w:szCs w:val="20"/>
          <w:lang w:eastAsia="es-ES"/>
        </w:rPr>
        <w:t xml:space="preserve">la garantía de la independencia judicial abarca la garantía </w:t>
      </w:r>
      <w:r w:rsidRPr="0027007E">
        <w:rPr>
          <w:rFonts w:ascii="Verdana" w:eastAsia="MS Mincho" w:hAnsi="Verdana" w:cs="Times New Roman"/>
          <w:sz w:val="20"/>
          <w:szCs w:val="20"/>
          <w:lang w:eastAsia="es-ES"/>
        </w:rPr>
        <w:lastRenderedPageBreak/>
        <w:t>contra presiones externas</w:t>
      </w:r>
      <w:r w:rsidRPr="0027007E">
        <w:rPr>
          <w:rFonts w:ascii="Cambria" w:eastAsia="MS Mincho" w:hAnsi="Cambria" w:cs="Times New Roman"/>
          <w:sz w:val="24"/>
          <w:szCs w:val="24"/>
          <w:vertAlign w:val="superscript"/>
          <w:lang w:eastAsia="es-ES"/>
        </w:rPr>
        <w:footnoteReference w:id="363"/>
      </w:r>
      <w:r w:rsidRPr="0027007E">
        <w:rPr>
          <w:rFonts w:ascii="Verdana" w:eastAsia="MS Mincho" w:hAnsi="Verdana" w:cs="Times New Roman"/>
          <w:sz w:val="20"/>
          <w:szCs w:val="20"/>
          <w:lang w:eastAsia="es-ES"/>
        </w:rPr>
        <w:t xml:space="preserve">, de tal forma que el Estado debe abstenerse de </w:t>
      </w:r>
      <w:r w:rsidRPr="0027007E">
        <w:rPr>
          <w:rFonts w:ascii="Verdana" w:eastAsia="MS Mincho" w:hAnsi="Verdana" w:cs="Arial"/>
          <w:sz w:val="20"/>
          <w:szCs w:val="20"/>
          <w:lang w:eastAsia="es-ES"/>
        </w:rPr>
        <w:t>realizar</w:t>
      </w:r>
      <w:r w:rsidRPr="0027007E">
        <w:rPr>
          <w:rFonts w:ascii="Verdana" w:eastAsia="MS Mincho" w:hAnsi="Verdana" w:cs="Times New Roman"/>
          <w:sz w:val="20"/>
          <w:szCs w:val="20"/>
          <w:lang w:eastAsia="es-ES"/>
        </w:rPr>
        <w:t xml:space="preserve"> injerencias indebidas en el Poder Judicial o en sus integrantes, es decir, en relación con la persona del juez específico, debe prevenir dichas injerencias y debe investigar y sancionar a quienes las cometan</w:t>
      </w:r>
      <w:r w:rsidRPr="0027007E">
        <w:rPr>
          <w:rFonts w:ascii="Cambria" w:eastAsia="MS Mincho" w:hAnsi="Cambria" w:cs="Times New Roman"/>
          <w:sz w:val="24"/>
          <w:szCs w:val="24"/>
          <w:vertAlign w:val="superscript"/>
          <w:lang w:eastAsia="es-ES"/>
        </w:rPr>
        <w:footnoteReference w:id="364"/>
      </w:r>
      <w:r w:rsidRPr="0027007E">
        <w:rPr>
          <w:rFonts w:ascii="Verdana" w:eastAsia="MS Mincho" w:hAnsi="Verdana" w:cs="Times New Roman"/>
          <w:sz w:val="20"/>
          <w:szCs w:val="20"/>
          <w:lang w:eastAsia="es-ES"/>
        </w:rPr>
        <w:t>.</w:t>
      </w:r>
    </w:p>
    <w:p w14:paraId="1B917763" w14:textId="77777777" w:rsidR="0027007E" w:rsidRPr="0027007E" w:rsidRDefault="0027007E" w:rsidP="0027007E">
      <w:pPr>
        <w:widowControl w:val="0"/>
        <w:autoSpaceDE w:val="0"/>
        <w:autoSpaceDN w:val="0"/>
        <w:adjustRightInd w:val="0"/>
        <w:spacing w:after="0" w:line="240" w:lineRule="auto"/>
        <w:jc w:val="both"/>
        <w:rPr>
          <w:rFonts w:ascii="Verdana" w:eastAsia="Calibri" w:hAnsi="Verdana" w:cs="BookAntiqua,Italic"/>
          <w:iCs/>
          <w:sz w:val="20"/>
          <w:szCs w:val="20"/>
          <w:lang w:eastAsia="es-CR"/>
        </w:rPr>
      </w:pPr>
    </w:p>
    <w:p w14:paraId="369DE1AA" w14:textId="77777777" w:rsidR="0027007E" w:rsidRPr="0027007E" w:rsidRDefault="0027007E" w:rsidP="0027007E">
      <w:pPr>
        <w:widowControl w:val="0"/>
        <w:numPr>
          <w:ilvl w:val="0"/>
          <w:numId w:val="34"/>
        </w:numPr>
        <w:autoSpaceDE w:val="0"/>
        <w:autoSpaceDN w:val="0"/>
        <w:adjustRightInd w:val="0"/>
        <w:spacing w:after="0" w:line="240" w:lineRule="auto"/>
        <w:ind w:left="0" w:firstLine="0"/>
        <w:contextualSpacing/>
        <w:jc w:val="both"/>
        <w:rPr>
          <w:rFonts w:ascii="Verdana" w:eastAsia="MS Mincho" w:hAnsi="Verdana" w:cs="Times"/>
          <w:sz w:val="20"/>
          <w:szCs w:val="20"/>
          <w:lang w:eastAsia="es-ES"/>
        </w:rPr>
      </w:pPr>
      <w:r w:rsidRPr="0027007E">
        <w:rPr>
          <w:rFonts w:ascii="Verdana" w:eastAsia="Calibri" w:hAnsi="Verdana" w:cs="BookAntiqua,Italic"/>
          <w:iCs/>
          <w:sz w:val="20"/>
          <w:szCs w:val="20"/>
          <w:lang w:eastAsia="es-CR"/>
        </w:rPr>
        <w:t xml:space="preserve">Adicionalmente, también ha señalado que no pueden considerarse efectivos aquellos recursos que, por las condiciones generales del país o incluso por las circunstancias particulares de un caso dado, resulten ilusorios. Ello puede ocurrir, por ejemplo, cuando su inutilidad haya quedado demostrada por la práctica, porque el Poder Judicial carezca </w:t>
      </w:r>
      <w:r w:rsidRPr="0027007E">
        <w:rPr>
          <w:rFonts w:ascii="Verdana" w:eastAsia="MS Mincho" w:hAnsi="Verdana" w:cs="BookAntiqua"/>
          <w:sz w:val="20"/>
          <w:szCs w:val="20"/>
          <w:lang w:eastAsia="es-ES"/>
        </w:rPr>
        <w:t>de</w:t>
      </w:r>
      <w:r w:rsidRPr="0027007E">
        <w:rPr>
          <w:rFonts w:ascii="Verdana" w:eastAsia="Calibri" w:hAnsi="Verdana" w:cs="BookAntiqua,Italic"/>
          <w:iCs/>
          <w:sz w:val="20"/>
          <w:szCs w:val="20"/>
          <w:lang w:eastAsia="es-CR"/>
        </w:rPr>
        <w:t xml:space="preserve"> la independencia necesaria para decidir con imparcialidad o por cualquier otra situación que configure un cuadro de denegación de justicia</w:t>
      </w:r>
      <w:r w:rsidRPr="0027007E">
        <w:rPr>
          <w:rFonts w:ascii="Verdana" w:eastAsia="Calibri" w:hAnsi="Verdana" w:cs="BookAntiqua,Italic"/>
          <w:iCs/>
          <w:sz w:val="20"/>
          <w:szCs w:val="20"/>
          <w:vertAlign w:val="superscript"/>
          <w:lang w:eastAsia="es-CR"/>
        </w:rPr>
        <w:footnoteReference w:id="365"/>
      </w:r>
      <w:r w:rsidRPr="0027007E">
        <w:rPr>
          <w:rFonts w:ascii="Verdana" w:eastAsia="Calibri" w:hAnsi="Verdana" w:cs="BookAntiqua,Italic"/>
          <w:iCs/>
          <w:sz w:val="20"/>
          <w:szCs w:val="20"/>
          <w:lang w:eastAsia="es-CR"/>
        </w:rPr>
        <w:t xml:space="preserve">. </w:t>
      </w:r>
    </w:p>
    <w:p w14:paraId="61E70249" w14:textId="77777777" w:rsidR="0027007E" w:rsidRPr="0027007E" w:rsidRDefault="0027007E" w:rsidP="0027007E">
      <w:pPr>
        <w:spacing w:after="0" w:line="240" w:lineRule="auto"/>
        <w:contextualSpacing/>
        <w:jc w:val="both"/>
        <w:rPr>
          <w:rFonts w:ascii="Verdana" w:eastAsia="MS Mincho" w:hAnsi="Verdana" w:cs="Times New Roman"/>
          <w:sz w:val="20"/>
          <w:szCs w:val="20"/>
          <w:lang w:eastAsia="es-ES"/>
        </w:rPr>
      </w:pPr>
    </w:p>
    <w:p w14:paraId="764F87F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Verdana"/>
          <w:sz w:val="20"/>
          <w:szCs w:val="20"/>
          <w:lang w:eastAsia="es-ES"/>
        </w:rPr>
        <w:t xml:space="preserve">En el presente caso se alegó expresamente la violación a las garantías de independencia del Poder Judicial, previstas en el artículo 8.1 de la Convención Americana. Sin embargo, el criterio mayoritario consideró que no existían elementos para declarar la violación a dicha disposición convencional en los siguientes términos: </w:t>
      </w:r>
    </w:p>
    <w:p w14:paraId="641F88E2" w14:textId="77777777" w:rsidR="0027007E" w:rsidRPr="0027007E" w:rsidRDefault="0027007E" w:rsidP="0027007E">
      <w:pPr>
        <w:spacing w:after="0" w:line="240" w:lineRule="auto"/>
        <w:contextualSpacing/>
        <w:jc w:val="both"/>
        <w:rPr>
          <w:rFonts w:ascii="Verdana" w:eastAsia="MS Mincho" w:hAnsi="Verdana" w:cs="Times New Roman"/>
          <w:sz w:val="20"/>
          <w:szCs w:val="20"/>
          <w:lang w:eastAsia="es-ES"/>
        </w:rPr>
      </w:pPr>
    </w:p>
    <w:p w14:paraId="28D33FDD" w14:textId="77777777" w:rsidR="0027007E" w:rsidRPr="0027007E" w:rsidRDefault="0027007E" w:rsidP="0027007E">
      <w:pPr>
        <w:numPr>
          <w:ilvl w:val="0"/>
          <w:numId w:val="35"/>
        </w:numPr>
        <w:pBdr>
          <w:top w:val="nil"/>
        </w:pBdr>
        <w:autoSpaceDE w:val="0"/>
        <w:autoSpaceDN w:val="0"/>
        <w:adjustRightInd w:val="0"/>
        <w:spacing w:after="0" w:line="240" w:lineRule="auto"/>
        <w:ind w:right="991" w:firstLine="31"/>
        <w:contextualSpacing/>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Con todo, este Tribunal hace notar que no han sido aportados elementos específicos para el presente caso que permitan analizar si, en los hechos relacionados con la acción de amparo o la denuncia penal intentados por las presuntas víctimas, las autoridades judiciales faltaron a su obligación de actuar y decidir con independencia, en los términos del 8 de la Convención, por lo cual la alegada responsabilidad del Estado en este sentido no ha sido demostrada</w:t>
      </w:r>
      <w:r w:rsidRPr="0027007E">
        <w:rPr>
          <w:rFonts w:ascii="Verdana" w:eastAsia="MS Mincho" w:hAnsi="Verdana" w:cs="Times New Roman"/>
          <w:sz w:val="18"/>
          <w:szCs w:val="18"/>
          <w:vertAlign w:val="superscript"/>
          <w:lang w:eastAsia="es-ES"/>
        </w:rPr>
        <w:footnoteReference w:id="366"/>
      </w:r>
      <w:r w:rsidRPr="0027007E">
        <w:rPr>
          <w:rFonts w:ascii="Verdana" w:eastAsia="MS Mincho" w:hAnsi="Verdana" w:cs="Times New Roman"/>
          <w:sz w:val="18"/>
          <w:szCs w:val="18"/>
          <w:lang w:eastAsia="es-ES"/>
        </w:rPr>
        <w:t>.</w:t>
      </w:r>
    </w:p>
    <w:p w14:paraId="4B45BB21" w14:textId="77777777" w:rsidR="0027007E" w:rsidRPr="0027007E" w:rsidRDefault="0027007E" w:rsidP="0027007E">
      <w:pPr>
        <w:pBdr>
          <w:top w:val="nil"/>
        </w:pBdr>
        <w:autoSpaceDE w:val="0"/>
        <w:autoSpaceDN w:val="0"/>
        <w:adjustRightInd w:val="0"/>
        <w:spacing w:after="0" w:line="240" w:lineRule="auto"/>
        <w:ind w:left="820" w:firstLine="31"/>
        <w:contextualSpacing/>
        <w:jc w:val="both"/>
        <w:rPr>
          <w:rFonts w:ascii="Verdana" w:eastAsia="MS Mincho" w:hAnsi="Verdana" w:cs="Times New Roman"/>
          <w:sz w:val="20"/>
          <w:szCs w:val="20"/>
          <w:lang w:eastAsia="es-ES"/>
        </w:rPr>
      </w:pPr>
    </w:p>
    <w:p w14:paraId="4D28C385"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Contrariamente a lo decidido por la mayoría en la Sentencia, considero que al haber quedado demostrado plenamente que, en el caso, se configuró una desviación de poder (decidido por unanimidad de votos en la Sentencia)</w:t>
      </w:r>
      <w:r w:rsidRPr="0027007E">
        <w:rPr>
          <w:rFonts w:ascii="Verdana" w:eastAsia="MS Mincho" w:hAnsi="Verdana" w:cs="Times New Roman"/>
          <w:sz w:val="20"/>
          <w:szCs w:val="20"/>
          <w:vertAlign w:val="superscript"/>
          <w:lang w:eastAsia="es-ES"/>
        </w:rPr>
        <w:footnoteReference w:id="367"/>
      </w:r>
      <w:r w:rsidRPr="0027007E">
        <w:rPr>
          <w:rFonts w:ascii="Verdana" w:eastAsia="MS Mincho" w:hAnsi="Verdana" w:cs="Times New Roman"/>
          <w:sz w:val="20"/>
          <w:szCs w:val="20"/>
          <w:lang w:eastAsia="es-ES"/>
        </w:rPr>
        <w:t xml:space="preserve">, debido a que se hizo uso de una facultad discrecional en una cláusula contractual para dar por terminada una relación laboral como medida ejemplarizante y amedrentadora para otras personas que hubieran manifestado su disidencia política mediante la firma de la solicitud de revocatoria del </w:t>
      </w:r>
      <w:r w:rsidRPr="0027007E">
        <w:rPr>
          <w:rFonts w:ascii="Verdana" w:eastAsia="MS Mincho" w:hAnsi="Verdana" w:cs="Times New Roman"/>
          <w:sz w:val="20"/>
          <w:szCs w:val="20"/>
          <w:lang w:eastAsia="es-ES"/>
        </w:rPr>
        <w:lastRenderedPageBreak/>
        <w:t>mandato presidencial</w:t>
      </w:r>
      <w:r w:rsidRPr="0027007E">
        <w:rPr>
          <w:rFonts w:ascii="Verdana" w:eastAsia="MS Mincho" w:hAnsi="Verdana" w:cs="Times New Roman"/>
          <w:sz w:val="20"/>
          <w:szCs w:val="20"/>
          <w:vertAlign w:val="superscript"/>
          <w:lang w:eastAsia="es-ES"/>
        </w:rPr>
        <w:footnoteReference w:id="368"/>
      </w:r>
      <w:r w:rsidRPr="0027007E">
        <w:rPr>
          <w:rFonts w:ascii="Verdana" w:eastAsia="MS Mincho" w:hAnsi="Verdana" w:cs="Times New Roman"/>
          <w:sz w:val="20"/>
          <w:szCs w:val="20"/>
          <w:lang w:eastAsia="es-ES"/>
        </w:rPr>
        <w:t xml:space="preserve">; la consecuencia lógica, atendiendo al contexto del caso, debió haber sido declarar también la violación del artículo 8.1 del Pacto de San José, específicamente en lo que corresponde al derecho de las víctimas a ser oídas por jueces independientes. Lo anterior debido a las injerencias indebidas ejercidas a los jueces por altos servidores públicos y por la falta de independencia del Poder Judicial venezolano existente en la época, que explícitamente se expresó en la Sentencia. </w:t>
      </w:r>
    </w:p>
    <w:p w14:paraId="2FE199B0" w14:textId="77777777" w:rsidR="0027007E" w:rsidRPr="0027007E" w:rsidRDefault="0027007E" w:rsidP="0027007E">
      <w:pPr>
        <w:spacing w:after="0" w:line="240" w:lineRule="auto"/>
        <w:contextualSpacing/>
        <w:jc w:val="both"/>
        <w:rPr>
          <w:rFonts w:ascii="Verdana" w:eastAsia="MS Mincho" w:hAnsi="Verdana" w:cs="Times New Roman"/>
          <w:sz w:val="20"/>
          <w:szCs w:val="20"/>
          <w:lang w:eastAsia="es-ES"/>
        </w:rPr>
      </w:pPr>
    </w:p>
    <w:p w14:paraId="7CD1BCA4"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 xml:space="preserve">En efecto, atendiendo a la existencia de la desviación de poder, la Corte IDH debió considerar que existían elementos suficientes para sostener que la actuación de los funcionarios de la administración de justicia que intervinieron en el caso se vieron sometidos a restricciones indebidas en el ejercicio de su función por parte de personas u órganos ajenos al Poder Judicial. Así lo esbozó el Tribunal Interamericano en la Sentencia, en el párrafo 209 de la misma, al señalar que ha sido acreditado un contexto en el cual: </w:t>
      </w:r>
    </w:p>
    <w:p w14:paraId="153ED944" w14:textId="77777777" w:rsidR="0027007E" w:rsidRPr="0027007E" w:rsidRDefault="0027007E" w:rsidP="0027007E">
      <w:pPr>
        <w:spacing w:after="0" w:line="240" w:lineRule="auto"/>
        <w:jc w:val="both"/>
        <w:rPr>
          <w:rFonts w:ascii="Verdana" w:eastAsia="MS Mincho" w:hAnsi="Verdana" w:cs="Times New Roman"/>
          <w:sz w:val="20"/>
          <w:szCs w:val="20"/>
          <w:lang w:eastAsia="es-ES"/>
        </w:rPr>
      </w:pPr>
    </w:p>
    <w:p w14:paraId="2721B895" w14:textId="77777777" w:rsidR="0027007E" w:rsidRPr="0027007E" w:rsidRDefault="0027007E" w:rsidP="0027007E">
      <w:pPr>
        <w:spacing w:after="0" w:line="240" w:lineRule="auto"/>
        <w:ind w:left="708" w:right="708"/>
        <w:contextualSpacing/>
        <w:jc w:val="both"/>
        <w:rPr>
          <w:rFonts w:ascii="Verdana" w:eastAsia="MS Mincho" w:hAnsi="Verdana" w:cs="BookAntiqua"/>
          <w:sz w:val="18"/>
          <w:szCs w:val="20"/>
          <w:lang w:eastAsia="es-ES"/>
        </w:rPr>
      </w:pPr>
      <w:r w:rsidRPr="0027007E">
        <w:rPr>
          <w:rFonts w:ascii="Verdana" w:eastAsia="MS Mincho" w:hAnsi="Verdana" w:cs="Times New Roman"/>
          <w:sz w:val="18"/>
          <w:szCs w:val="20"/>
          <w:lang w:eastAsia="es-ES"/>
        </w:rPr>
        <w:t xml:space="preserve">209. […] </w:t>
      </w:r>
      <w:r w:rsidRPr="0027007E">
        <w:rPr>
          <w:rFonts w:ascii="Verdana" w:eastAsia="MS Mincho" w:hAnsi="Verdana" w:cs="BookAntiqua"/>
          <w:sz w:val="18"/>
          <w:szCs w:val="20"/>
          <w:u w:val="single"/>
          <w:lang w:eastAsia="es-ES"/>
        </w:rPr>
        <w:t>durante los períodos relevantes a los hechos de este caso, en Venezuela fueron detectadas diversas situaciones que obstaculizaban o afectaban la independencia judicial, relacionadas con normas y prácticas asociadas al proceso de reestructuración del Poder Judicial iniciado en 1999 (y que se extendió por más de 10 años)</w:t>
      </w:r>
      <w:r w:rsidRPr="0027007E">
        <w:rPr>
          <w:rFonts w:ascii="Verdana" w:eastAsia="MS Mincho" w:hAnsi="Verdana" w:cs="BookAntiqua"/>
          <w:sz w:val="18"/>
          <w:szCs w:val="20"/>
          <w:lang w:eastAsia="es-ES"/>
        </w:rPr>
        <w:t xml:space="preserve">; la provisionalidad de los jueces; la falta de garantías en procedimientos disciplinarios contra jueces; </w:t>
      </w:r>
      <w:r w:rsidRPr="0027007E">
        <w:rPr>
          <w:rFonts w:ascii="Verdana" w:eastAsia="MS Mincho" w:hAnsi="Verdana" w:cs="BookAntiqua"/>
          <w:sz w:val="18"/>
          <w:szCs w:val="20"/>
          <w:u w:val="single"/>
          <w:lang w:eastAsia="es-ES"/>
        </w:rPr>
        <w:t>conductas amedrentadoras de altos funcionarios del Poder Ejecutivo hacia determinados jueces por adoptar decisiones en el ejercicio de sus funciones</w:t>
      </w:r>
      <w:r w:rsidRPr="0027007E">
        <w:rPr>
          <w:rFonts w:ascii="Verdana" w:eastAsia="MS Mincho" w:hAnsi="Verdana" w:cs="BookAntiqua"/>
          <w:sz w:val="18"/>
          <w:szCs w:val="20"/>
          <w:lang w:eastAsia="es-ES"/>
        </w:rPr>
        <w:t>; la falta de un código de ética judicial que garantizara la imparcialidad e independencia del órgano disciplinario</w:t>
      </w:r>
      <w:r w:rsidRPr="0027007E">
        <w:rPr>
          <w:rFonts w:ascii="Verdana" w:eastAsia="MS Mincho" w:hAnsi="Verdana" w:cs="BookAntiqua"/>
          <w:sz w:val="18"/>
          <w:szCs w:val="20"/>
          <w:vertAlign w:val="superscript"/>
          <w:lang w:eastAsia="es-ES"/>
        </w:rPr>
        <w:footnoteReference w:id="369"/>
      </w:r>
      <w:r w:rsidRPr="0027007E">
        <w:rPr>
          <w:rFonts w:ascii="Verdana" w:eastAsia="MS Mincho" w:hAnsi="Verdana" w:cs="BookAntiqua"/>
          <w:sz w:val="18"/>
          <w:szCs w:val="20"/>
          <w:lang w:eastAsia="es-ES"/>
        </w:rPr>
        <w:t xml:space="preserve"> (énfasis añadido). </w:t>
      </w:r>
    </w:p>
    <w:p w14:paraId="53B2EC6B" w14:textId="77777777" w:rsidR="0027007E" w:rsidRPr="0027007E" w:rsidRDefault="0027007E" w:rsidP="0027007E">
      <w:pPr>
        <w:spacing w:after="0" w:line="240" w:lineRule="auto"/>
        <w:ind w:left="720"/>
        <w:contextualSpacing/>
        <w:rPr>
          <w:rFonts w:ascii="Verdana" w:eastAsia="MS Mincho" w:hAnsi="Verdana" w:cs="Times New Roman"/>
          <w:sz w:val="20"/>
          <w:szCs w:val="20"/>
          <w:lang w:eastAsia="es-ES"/>
        </w:rPr>
      </w:pPr>
    </w:p>
    <w:p w14:paraId="122498DE"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 xml:space="preserve">En este sentido, cabe destacar lo expresado durante la audiencia pública por los representantes de las víctimas, al señalar que: </w:t>
      </w:r>
    </w:p>
    <w:p w14:paraId="210947E1" w14:textId="77777777" w:rsidR="0027007E" w:rsidRPr="0027007E" w:rsidRDefault="0027007E" w:rsidP="0027007E">
      <w:pPr>
        <w:spacing w:after="0" w:line="240" w:lineRule="auto"/>
        <w:jc w:val="both"/>
        <w:rPr>
          <w:rFonts w:ascii="Verdana" w:eastAsia="MS Mincho" w:hAnsi="Verdana" w:cs="Times New Roman"/>
          <w:sz w:val="20"/>
          <w:szCs w:val="20"/>
          <w:lang w:eastAsia="es-ES"/>
        </w:rPr>
      </w:pPr>
    </w:p>
    <w:p w14:paraId="7C17444C" w14:textId="77777777" w:rsidR="0027007E" w:rsidRPr="0027007E" w:rsidRDefault="0027007E" w:rsidP="0027007E">
      <w:pPr>
        <w:spacing w:after="0" w:line="240" w:lineRule="auto"/>
        <w:ind w:left="708" w:right="850"/>
        <w:contextualSpacing/>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ningún recurso judicial podía prosperar con jueces parcializados, con toda seguridad […]</w:t>
      </w:r>
    </w:p>
    <w:p w14:paraId="23A41557" w14:textId="77777777" w:rsidR="0027007E" w:rsidRPr="0027007E" w:rsidRDefault="0027007E" w:rsidP="0027007E">
      <w:pPr>
        <w:spacing w:after="0" w:line="240" w:lineRule="auto"/>
        <w:ind w:right="850"/>
        <w:jc w:val="both"/>
        <w:rPr>
          <w:rFonts w:ascii="Verdana" w:eastAsia="MS Mincho" w:hAnsi="Verdana" w:cs="Times New Roman"/>
          <w:sz w:val="18"/>
          <w:szCs w:val="18"/>
          <w:lang w:eastAsia="es-ES"/>
        </w:rPr>
      </w:pPr>
    </w:p>
    <w:p w14:paraId="68D37C80" w14:textId="77777777" w:rsidR="0027007E" w:rsidRPr="0027007E" w:rsidRDefault="0027007E" w:rsidP="0027007E">
      <w:pPr>
        <w:spacing w:after="0" w:line="240" w:lineRule="auto"/>
        <w:ind w:left="708" w:right="850"/>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Lo que nosotros objetamos es que un juez comprometido con un proyecto político, no puede decidir imparcialmente una controversia en la que ya tiene una opinión formada y una decisión tomada, “Chávez no se va” […] objetamos que ese tipo de jueces sea el juez idóneo, sea el juez independiente e imparcial, que está en capacidad de decidir la petición de unos ciudadanos que, en ejercicio de sus derechos constitucionales, han recurrido a las instancias del Estado para los efectos de solicitar precisamente la salida o la revocatoria de mandato presidencial de Hugo Chávez[…]</w:t>
      </w:r>
    </w:p>
    <w:p w14:paraId="145C28CC" w14:textId="77777777" w:rsidR="0027007E" w:rsidRPr="0027007E" w:rsidRDefault="0027007E" w:rsidP="0027007E">
      <w:pPr>
        <w:spacing w:after="0" w:line="240" w:lineRule="auto"/>
        <w:ind w:left="708" w:right="850"/>
        <w:jc w:val="both"/>
        <w:rPr>
          <w:rFonts w:ascii="Verdana" w:eastAsia="MS Mincho" w:hAnsi="Verdana" w:cs="Times New Roman"/>
          <w:sz w:val="18"/>
          <w:szCs w:val="18"/>
          <w:lang w:eastAsia="es-ES"/>
        </w:rPr>
      </w:pPr>
    </w:p>
    <w:p w14:paraId="2E95DBF9" w14:textId="77777777" w:rsidR="0027007E" w:rsidRPr="0027007E" w:rsidRDefault="0027007E" w:rsidP="0027007E">
      <w:pPr>
        <w:spacing w:after="0" w:line="240" w:lineRule="auto"/>
        <w:ind w:left="708" w:right="850"/>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la presidenta del entonces [T]</w:t>
      </w:r>
      <w:proofErr w:type="spellStart"/>
      <w:r w:rsidRPr="0027007E">
        <w:rPr>
          <w:rFonts w:ascii="Verdana" w:eastAsia="MS Mincho" w:hAnsi="Verdana" w:cs="Times New Roman"/>
          <w:sz w:val="18"/>
          <w:szCs w:val="18"/>
          <w:lang w:eastAsia="es-ES"/>
        </w:rPr>
        <w:t>ribunal</w:t>
      </w:r>
      <w:proofErr w:type="spellEnd"/>
      <w:r w:rsidRPr="0027007E">
        <w:rPr>
          <w:rFonts w:ascii="Verdana" w:eastAsia="MS Mincho" w:hAnsi="Verdana" w:cs="Times New Roman"/>
          <w:sz w:val="18"/>
          <w:szCs w:val="18"/>
          <w:lang w:eastAsia="es-ES"/>
        </w:rPr>
        <w:t xml:space="preserve"> Supremo de Justicia, sostenía que la independencia de los poderes públicos era un principio obsoleto […] que había que sustituir por la cooperación y la coordinación de los poderes públicos […]</w:t>
      </w:r>
      <w:r w:rsidRPr="0027007E">
        <w:rPr>
          <w:rFonts w:ascii="Verdana" w:eastAsia="MS Mincho" w:hAnsi="Verdana" w:cs="Times New Roman"/>
          <w:sz w:val="18"/>
          <w:szCs w:val="18"/>
          <w:vertAlign w:val="superscript"/>
          <w:lang w:eastAsia="es-ES"/>
        </w:rPr>
        <w:footnoteReference w:id="370"/>
      </w:r>
      <w:r w:rsidRPr="0027007E">
        <w:rPr>
          <w:rFonts w:ascii="Verdana" w:eastAsia="MS Mincho" w:hAnsi="Verdana" w:cs="Times New Roman"/>
          <w:sz w:val="18"/>
          <w:szCs w:val="18"/>
          <w:lang w:eastAsia="es-ES"/>
        </w:rPr>
        <w:t>.</w:t>
      </w:r>
    </w:p>
    <w:p w14:paraId="4624AC55" w14:textId="77777777" w:rsidR="0027007E" w:rsidRPr="0027007E" w:rsidRDefault="0027007E" w:rsidP="0027007E">
      <w:pPr>
        <w:spacing w:after="0" w:line="240" w:lineRule="auto"/>
        <w:jc w:val="both"/>
        <w:rPr>
          <w:rFonts w:ascii="Verdana" w:eastAsia="MS Mincho" w:hAnsi="Verdana" w:cs="Times New Roman"/>
          <w:sz w:val="20"/>
          <w:szCs w:val="20"/>
          <w:lang w:eastAsia="es-ES"/>
        </w:rPr>
      </w:pPr>
    </w:p>
    <w:p w14:paraId="07F420A9"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 xml:space="preserve">Este contexto, al cual se refiere de manera explícita la Sentencia, debe ser leído con los diferentes hechos del presente caso que derivaron en la terminación de los contratos de forma arbitraria de las víctimas. Es decir, debió atenderse a los hechos probados y al contexto particular del caso. En este sentido, la Corte IDH hizo alusión a que: </w:t>
      </w:r>
    </w:p>
    <w:p w14:paraId="3B959676" w14:textId="77777777" w:rsidR="0027007E" w:rsidRPr="0027007E" w:rsidRDefault="0027007E" w:rsidP="0027007E">
      <w:pPr>
        <w:spacing w:after="0" w:line="240" w:lineRule="auto"/>
        <w:jc w:val="both"/>
        <w:rPr>
          <w:rFonts w:ascii="Verdana" w:eastAsia="MS Mincho" w:hAnsi="Verdana" w:cs="Times New Roman"/>
          <w:sz w:val="20"/>
          <w:szCs w:val="20"/>
          <w:lang w:eastAsia="es-ES"/>
        </w:rPr>
      </w:pPr>
    </w:p>
    <w:p w14:paraId="74BA0701" w14:textId="77777777" w:rsidR="0027007E" w:rsidRPr="0027007E" w:rsidRDefault="0027007E" w:rsidP="0027007E">
      <w:pPr>
        <w:pBdr>
          <w:top w:val="nil"/>
        </w:pBdr>
        <w:spacing w:after="0" w:line="240" w:lineRule="auto"/>
        <w:ind w:left="708" w:right="708"/>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xml:space="preserve">143. Además, </w:t>
      </w:r>
      <w:r w:rsidRPr="0027007E">
        <w:rPr>
          <w:rFonts w:ascii="Verdana" w:eastAsia="MS Mincho" w:hAnsi="Verdana" w:cs="Times New Roman"/>
          <w:sz w:val="18"/>
          <w:szCs w:val="18"/>
          <w:u w:val="single"/>
          <w:lang w:eastAsia="es-ES"/>
        </w:rPr>
        <w:t xml:space="preserve">constan seis declaraciones del propio Presidente de la República y de otros altos funcionarios públicos realizadas en ese período [entre la publicación de la lista </w:t>
      </w:r>
      <w:proofErr w:type="spellStart"/>
      <w:r w:rsidRPr="0027007E">
        <w:rPr>
          <w:rFonts w:ascii="Verdana" w:eastAsia="MS Mincho" w:hAnsi="Verdana" w:cs="Times New Roman"/>
          <w:sz w:val="18"/>
          <w:szCs w:val="18"/>
          <w:u w:val="single"/>
          <w:lang w:eastAsia="es-ES"/>
        </w:rPr>
        <w:t>Tascón</w:t>
      </w:r>
      <w:proofErr w:type="spellEnd"/>
      <w:r w:rsidRPr="0027007E">
        <w:rPr>
          <w:rFonts w:ascii="Verdana" w:eastAsia="MS Mincho" w:hAnsi="Verdana" w:cs="Times New Roman"/>
          <w:sz w:val="18"/>
          <w:szCs w:val="18"/>
          <w:u w:val="single"/>
          <w:lang w:eastAsia="es-ES"/>
        </w:rPr>
        <w:t xml:space="preserve">, la terminación de los contratos de las víctimas y la celebración del referendo], en que se llama a la ciudadanía a revisar la lista </w:t>
      </w:r>
      <w:proofErr w:type="spellStart"/>
      <w:r w:rsidRPr="0027007E">
        <w:rPr>
          <w:rFonts w:ascii="Verdana" w:eastAsia="MS Mincho" w:hAnsi="Verdana" w:cs="Times New Roman"/>
          <w:sz w:val="18"/>
          <w:szCs w:val="18"/>
          <w:u w:val="single"/>
          <w:lang w:eastAsia="es-ES"/>
        </w:rPr>
        <w:t>Tascón</w:t>
      </w:r>
      <w:proofErr w:type="spellEnd"/>
      <w:r w:rsidRPr="0027007E">
        <w:rPr>
          <w:rFonts w:ascii="Verdana" w:eastAsia="MS Mincho" w:hAnsi="Verdana" w:cs="Times New Roman"/>
          <w:sz w:val="18"/>
          <w:szCs w:val="18"/>
          <w:u w:val="single"/>
          <w:lang w:eastAsia="es-ES"/>
        </w:rPr>
        <w:t xml:space="preserve"> para que “salgan los rostros”, acusando a los firmantes de traición e incluso de terrorismo y amenazando con “botar” (despedir) o trasladar a los funcionarios que hubiesen firmado</w:t>
      </w:r>
      <w:r w:rsidRPr="0027007E">
        <w:rPr>
          <w:rFonts w:ascii="Verdana" w:eastAsia="MS Mincho" w:hAnsi="Verdana" w:cs="Times New Roman"/>
          <w:sz w:val="18"/>
          <w:szCs w:val="18"/>
          <w:lang w:eastAsia="es-ES"/>
        </w:rPr>
        <w:t xml:space="preserve"> (</w:t>
      </w:r>
      <w:r w:rsidRPr="0027007E">
        <w:rPr>
          <w:rFonts w:ascii="Verdana" w:eastAsia="MS Mincho" w:hAnsi="Verdana" w:cs="Times New Roman"/>
          <w:i/>
          <w:sz w:val="18"/>
          <w:szCs w:val="18"/>
          <w:lang w:eastAsia="es-ES"/>
        </w:rPr>
        <w:t xml:space="preserve">supra </w:t>
      </w:r>
      <w:proofErr w:type="spellStart"/>
      <w:r w:rsidRPr="0027007E">
        <w:rPr>
          <w:rFonts w:ascii="Verdana" w:eastAsia="MS Mincho" w:hAnsi="Verdana" w:cs="Times New Roman"/>
          <w:sz w:val="18"/>
          <w:szCs w:val="18"/>
          <w:lang w:eastAsia="es-ES"/>
        </w:rPr>
        <w:t>párrs</w:t>
      </w:r>
      <w:proofErr w:type="spellEnd"/>
      <w:r w:rsidRPr="0027007E">
        <w:rPr>
          <w:rFonts w:ascii="Verdana" w:eastAsia="MS Mincho" w:hAnsi="Verdana" w:cs="Times New Roman"/>
          <w:sz w:val="18"/>
          <w:szCs w:val="18"/>
          <w:lang w:eastAsia="es-ES"/>
        </w:rPr>
        <w:t>. 59 a 64). Los contenidos de tales declaraciones reflejan formas de presión para no firmar y amenazas de represalias para quienes lo hicieron.</w:t>
      </w:r>
    </w:p>
    <w:p w14:paraId="1FAB9EE9" w14:textId="77777777" w:rsidR="0027007E" w:rsidRPr="0027007E" w:rsidRDefault="0027007E" w:rsidP="0027007E">
      <w:pPr>
        <w:pBdr>
          <w:top w:val="nil"/>
        </w:pBdr>
        <w:spacing w:after="0" w:line="240" w:lineRule="auto"/>
        <w:ind w:left="708" w:right="708"/>
        <w:jc w:val="both"/>
        <w:rPr>
          <w:rFonts w:ascii="Verdana" w:eastAsia="MS Mincho" w:hAnsi="Verdana" w:cs="Times New Roman"/>
          <w:sz w:val="18"/>
          <w:szCs w:val="18"/>
          <w:lang w:eastAsia="es-ES"/>
        </w:rPr>
      </w:pPr>
    </w:p>
    <w:p w14:paraId="15FC198D" w14:textId="77777777" w:rsidR="0027007E" w:rsidRPr="0027007E" w:rsidRDefault="0027007E" w:rsidP="0027007E">
      <w:pPr>
        <w:pBdr>
          <w:top w:val="nil"/>
        </w:pBdr>
        <w:spacing w:after="0" w:line="240" w:lineRule="auto"/>
        <w:ind w:left="708" w:right="708"/>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w:t>
      </w:r>
    </w:p>
    <w:p w14:paraId="036D05F3" w14:textId="77777777" w:rsidR="0027007E" w:rsidRPr="0027007E" w:rsidRDefault="0027007E" w:rsidP="0027007E">
      <w:pPr>
        <w:pBdr>
          <w:top w:val="nil"/>
        </w:pBdr>
        <w:spacing w:after="0" w:line="240" w:lineRule="auto"/>
        <w:ind w:left="708" w:right="708"/>
        <w:jc w:val="both"/>
        <w:rPr>
          <w:rFonts w:ascii="Verdana" w:eastAsia="MS Mincho" w:hAnsi="Verdana" w:cs="Times New Roman"/>
          <w:sz w:val="18"/>
          <w:szCs w:val="18"/>
          <w:lang w:eastAsia="es-ES"/>
        </w:rPr>
      </w:pPr>
    </w:p>
    <w:p w14:paraId="0889F8F2" w14:textId="77777777" w:rsidR="0027007E" w:rsidRPr="0027007E" w:rsidRDefault="0027007E" w:rsidP="0027007E">
      <w:pPr>
        <w:pBdr>
          <w:top w:val="nil"/>
        </w:pBdr>
        <w:spacing w:after="0" w:line="240" w:lineRule="auto"/>
        <w:ind w:left="708" w:right="708"/>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xml:space="preserve">146 </w:t>
      </w:r>
      <w:r w:rsidRPr="0027007E">
        <w:rPr>
          <w:rFonts w:ascii="Verdana" w:eastAsia="MS Mincho" w:hAnsi="Verdana" w:cs="Times New Roman"/>
          <w:sz w:val="18"/>
          <w:szCs w:val="18"/>
          <w:u w:val="single"/>
          <w:lang w:eastAsia="es-ES"/>
        </w:rPr>
        <w:t>[…] Se refirió que jueces e inspectores de trabajo no modificaban las decisiones de despidos o terminaciones de contratos y que la Fiscalía General de la República o la Defensoría del Pueblo</w:t>
      </w:r>
      <w:r w:rsidRPr="0027007E">
        <w:rPr>
          <w:rFonts w:ascii="Verdana" w:eastAsia="MS Mincho" w:hAnsi="Verdana" w:cs="Times New Roman"/>
          <w:sz w:val="18"/>
          <w:szCs w:val="18"/>
          <w:u w:val="single"/>
          <w:vertAlign w:val="superscript"/>
          <w:lang w:eastAsia="es-ES"/>
        </w:rPr>
        <w:t xml:space="preserve"> </w:t>
      </w:r>
      <w:r w:rsidRPr="0027007E">
        <w:rPr>
          <w:rFonts w:ascii="Verdana" w:eastAsia="MS Mincho" w:hAnsi="Verdana" w:cs="Times New Roman"/>
          <w:sz w:val="18"/>
          <w:szCs w:val="18"/>
          <w:u w:val="single"/>
          <w:lang w:eastAsia="es-ES"/>
        </w:rPr>
        <w:t>tampoco habrían intervenido en ese sentido</w:t>
      </w:r>
      <w:r w:rsidRPr="0027007E">
        <w:rPr>
          <w:rFonts w:ascii="Verdana" w:eastAsia="MS Mincho" w:hAnsi="Verdana" w:cs="Times New Roman"/>
          <w:sz w:val="18"/>
          <w:szCs w:val="18"/>
          <w:lang w:eastAsia="es-ES"/>
        </w:rPr>
        <w:t>. De hecho, posteriormente el propio Fiscal General de la República reconocería la posible existencia de múltiples denuncias al ordenar, en abril de 2005, la apertura de una investigación por casos de discriminación política […]</w:t>
      </w:r>
      <w:r w:rsidRPr="0027007E">
        <w:rPr>
          <w:rFonts w:ascii="Verdana" w:eastAsia="MS Mincho" w:hAnsi="Verdana" w:cs="Times New Roman"/>
          <w:sz w:val="18"/>
          <w:szCs w:val="18"/>
          <w:vertAlign w:val="superscript"/>
          <w:lang w:eastAsia="es-ES"/>
        </w:rPr>
        <w:footnoteReference w:id="371"/>
      </w:r>
      <w:r w:rsidRPr="0027007E">
        <w:rPr>
          <w:rFonts w:ascii="Verdana" w:eastAsia="MS Mincho" w:hAnsi="Verdana" w:cs="Times New Roman"/>
          <w:sz w:val="18"/>
          <w:szCs w:val="18"/>
          <w:lang w:eastAsia="es-ES"/>
        </w:rPr>
        <w:t>. [Énfasis añadido]</w:t>
      </w:r>
    </w:p>
    <w:p w14:paraId="30202233" w14:textId="77777777" w:rsidR="0027007E" w:rsidRPr="0027007E" w:rsidRDefault="0027007E" w:rsidP="0027007E">
      <w:pPr>
        <w:pBdr>
          <w:top w:val="nil"/>
        </w:pBdr>
        <w:spacing w:after="0" w:line="240" w:lineRule="auto"/>
        <w:jc w:val="both"/>
        <w:rPr>
          <w:rFonts w:ascii="Verdana" w:eastAsia="MS Mincho" w:hAnsi="Verdana" w:cs="Times New Roman"/>
          <w:sz w:val="20"/>
          <w:szCs w:val="20"/>
          <w:lang w:eastAsia="es-ES"/>
        </w:rPr>
      </w:pPr>
    </w:p>
    <w:p w14:paraId="5BCCC08A" w14:textId="5DABCA15"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Como puede apr</w:t>
      </w:r>
      <w:r w:rsidR="001E496D">
        <w:rPr>
          <w:rFonts w:ascii="Verdana" w:eastAsia="MS Mincho" w:hAnsi="Verdana" w:cs="Times New Roman"/>
          <w:sz w:val="20"/>
          <w:szCs w:val="20"/>
          <w:lang w:eastAsia="es-ES"/>
        </w:rPr>
        <w:t>e</w:t>
      </w:r>
      <w:r w:rsidRPr="0027007E">
        <w:rPr>
          <w:rFonts w:ascii="Verdana" w:eastAsia="MS Mincho" w:hAnsi="Verdana" w:cs="Times New Roman"/>
          <w:sz w:val="20"/>
          <w:szCs w:val="20"/>
          <w:lang w:eastAsia="es-ES"/>
        </w:rPr>
        <w:t xml:space="preserve">ciarse, hubo presiones e injerencias indebidas al poder judicial, y los “jueces e inspectores de trabajo no modificaban las decisiones de despidos o terminaciones de contratos”. Además, en los hechos del caso se expuso que: </w:t>
      </w:r>
    </w:p>
    <w:p w14:paraId="590348F2" w14:textId="77777777" w:rsidR="0027007E" w:rsidRPr="0027007E" w:rsidRDefault="0027007E" w:rsidP="0027007E">
      <w:pPr>
        <w:pBdr>
          <w:top w:val="nil"/>
        </w:pBdr>
        <w:spacing w:after="0" w:line="240" w:lineRule="auto"/>
        <w:jc w:val="both"/>
        <w:rPr>
          <w:rFonts w:ascii="Verdana" w:eastAsia="MS Mincho" w:hAnsi="Verdana" w:cs="Times New Roman"/>
          <w:b/>
          <w:sz w:val="20"/>
          <w:szCs w:val="20"/>
          <w:lang w:eastAsia="es-ES"/>
        </w:rPr>
      </w:pPr>
    </w:p>
    <w:p w14:paraId="6E124B72" w14:textId="77777777" w:rsidR="0027007E" w:rsidRPr="0027007E" w:rsidRDefault="0027007E" w:rsidP="0027007E">
      <w:pPr>
        <w:numPr>
          <w:ilvl w:val="0"/>
          <w:numId w:val="36"/>
        </w:numPr>
        <w:pBdr>
          <w:top w:val="nil"/>
        </w:pBdr>
        <w:spacing w:after="0" w:line="240" w:lineRule="auto"/>
        <w:ind w:right="708" w:hanging="11"/>
        <w:contextualSpacing/>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t xml:space="preserve">Con posterioridad a la publicación de la “Lista </w:t>
      </w:r>
      <w:proofErr w:type="spellStart"/>
      <w:r w:rsidRPr="0027007E">
        <w:rPr>
          <w:rFonts w:ascii="Verdana" w:eastAsia="MS Mincho" w:hAnsi="Verdana" w:cs="Times New Roman"/>
          <w:sz w:val="18"/>
          <w:szCs w:val="18"/>
          <w:lang w:eastAsia="es-ES"/>
        </w:rPr>
        <w:t>Tascón</w:t>
      </w:r>
      <w:proofErr w:type="spellEnd"/>
      <w:r w:rsidRPr="0027007E">
        <w:rPr>
          <w:rFonts w:ascii="Verdana" w:eastAsia="MS Mincho" w:hAnsi="Verdana" w:cs="Times New Roman"/>
          <w:sz w:val="18"/>
          <w:szCs w:val="18"/>
          <w:lang w:eastAsia="es-ES"/>
        </w:rPr>
        <w:t xml:space="preserve">”, se conocieron denuncias sobre despidos de trabajadores o funcionarios públicos como represalia a su firma en la solicitud de referendo revocatorio presidencial. Tales denuncias fueron precedidas de una serie de declaraciones de funcionarios públicos, por ejemplo: </w:t>
      </w:r>
    </w:p>
    <w:p w14:paraId="4EE544F5" w14:textId="77777777" w:rsidR="0027007E" w:rsidRPr="0027007E" w:rsidRDefault="0027007E" w:rsidP="0027007E">
      <w:pPr>
        <w:pBdr>
          <w:top w:val="nil"/>
        </w:pBdr>
        <w:spacing w:after="0" w:line="240" w:lineRule="auto"/>
        <w:jc w:val="both"/>
        <w:rPr>
          <w:rFonts w:ascii="Verdana" w:eastAsia="MS Mincho" w:hAnsi="Verdana" w:cs="Times New Roman"/>
          <w:sz w:val="20"/>
          <w:szCs w:val="20"/>
          <w:lang w:eastAsia="es-ES"/>
        </w:rPr>
      </w:pPr>
    </w:p>
    <w:p w14:paraId="4C933E19" w14:textId="77777777" w:rsidR="0027007E" w:rsidRPr="0027007E" w:rsidRDefault="0027007E" w:rsidP="0027007E">
      <w:pPr>
        <w:numPr>
          <w:ilvl w:val="0"/>
          <w:numId w:val="13"/>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 xml:space="preserve">El 20 de marzo de 2004, Roger </w:t>
      </w:r>
      <w:proofErr w:type="spellStart"/>
      <w:r w:rsidRPr="0027007E">
        <w:rPr>
          <w:rFonts w:ascii="Verdana" w:eastAsia="MS Mincho" w:hAnsi="Verdana" w:cs="Times New Roman"/>
          <w:sz w:val="16"/>
          <w:szCs w:val="16"/>
          <w:lang w:eastAsia="es-ES"/>
        </w:rPr>
        <w:t>Capella</w:t>
      </w:r>
      <w:proofErr w:type="spellEnd"/>
      <w:r w:rsidRPr="0027007E">
        <w:rPr>
          <w:rFonts w:ascii="Verdana" w:eastAsia="MS Mincho" w:hAnsi="Verdana" w:cs="Times New Roman"/>
          <w:sz w:val="16"/>
          <w:szCs w:val="16"/>
          <w:lang w:eastAsia="es-ES"/>
        </w:rPr>
        <w:t xml:space="preserve">, entonces </w:t>
      </w:r>
      <w:r w:rsidRPr="0027007E">
        <w:rPr>
          <w:rFonts w:ascii="Verdana" w:eastAsia="MS Mincho" w:hAnsi="Verdana" w:cs="Times New Roman"/>
          <w:sz w:val="16"/>
          <w:szCs w:val="16"/>
          <w:u w:val="single"/>
          <w:lang w:eastAsia="es-ES"/>
        </w:rPr>
        <w:t>Ministro de Salud y</w:t>
      </w:r>
      <w:r w:rsidRPr="0027007E">
        <w:rPr>
          <w:rFonts w:ascii="Verdana" w:eastAsia="MS Mincho" w:hAnsi="Verdana" w:cs="Times New Roman"/>
          <w:sz w:val="20"/>
          <w:szCs w:val="20"/>
          <w:u w:val="single"/>
          <w:lang w:eastAsia="es-ES"/>
        </w:rPr>
        <w:t xml:space="preserve"> </w:t>
      </w:r>
      <w:r w:rsidRPr="0027007E">
        <w:rPr>
          <w:rFonts w:ascii="Verdana" w:eastAsia="MS Mincho" w:hAnsi="Verdana" w:cs="Times New Roman"/>
          <w:sz w:val="16"/>
          <w:szCs w:val="16"/>
          <w:u w:val="single"/>
          <w:lang w:eastAsia="es-ES"/>
        </w:rPr>
        <w:t>Desarrollo Social</w:t>
      </w:r>
      <w:r w:rsidRPr="0027007E">
        <w:rPr>
          <w:rFonts w:ascii="Verdana" w:eastAsia="MS Mincho" w:hAnsi="Verdana" w:cs="Times New Roman"/>
          <w:sz w:val="16"/>
          <w:szCs w:val="16"/>
          <w:lang w:eastAsia="es-ES"/>
        </w:rPr>
        <w:t xml:space="preserve"> </w:t>
      </w:r>
      <w:r w:rsidRPr="0027007E">
        <w:rPr>
          <w:rFonts w:ascii="Verdana" w:eastAsia="MS Mincho" w:hAnsi="Verdana" w:cs="Times New Roman"/>
          <w:sz w:val="16"/>
          <w:szCs w:val="16"/>
          <w:u w:val="single"/>
          <w:lang w:eastAsia="es-ES"/>
        </w:rPr>
        <w:t>declaró que “un traidor no puede estar en un cargo de confianza y este Estado tiene una política y una correspondencia con el Gobierno que tiene, donde no hay espacio para los traidores</w:t>
      </w:r>
      <w:r w:rsidRPr="0027007E">
        <w:rPr>
          <w:rFonts w:ascii="Verdana" w:eastAsia="MS Mincho" w:hAnsi="Verdana" w:cs="Times New Roman"/>
          <w:sz w:val="16"/>
          <w:szCs w:val="16"/>
          <w:lang w:eastAsia="es-ES"/>
        </w:rPr>
        <w:t xml:space="preserve">. </w:t>
      </w:r>
      <w:r w:rsidRPr="0027007E">
        <w:rPr>
          <w:rFonts w:ascii="Verdana" w:eastAsia="MS Mincho" w:hAnsi="Verdana" w:cs="Times New Roman"/>
          <w:sz w:val="16"/>
          <w:szCs w:val="16"/>
          <w:u w:val="single"/>
          <w:lang w:eastAsia="es-ES"/>
        </w:rPr>
        <w:t>Los que hayan firmado están botados”.</w:t>
      </w:r>
      <w:r w:rsidRPr="0027007E">
        <w:rPr>
          <w:rFonts w:ascii="Verdana" w:eastAsia="MS Mincho" w:hAnsi="Verdana" w:cs="Times New Roman"/>
          <w:sz w:val="16"/>
          <w:szCs w:val="16"/>
          <w:lang w:eastAsia="es-ES"/>
        </w:rPr>
        <w:t xml:space="preserve"> El mismo funcionario declaró que "quienes hayan firmado contra el presidente Chávez" serían despedidos “porque se trata de un acto de terrorismo”. Según señaló el Estado, en una declaración posterior dicho Ministro se habría retractado de lo anterior, señalando que “f</w:t>
      </w:r>
      <w:r w:rsidRPr="0027007E">
        <w:rPr>
          <w:rFonts w:ascii="Verdana" w:eastAsia="MS Mincho" w:hAnsi="Verdana" w:cs="Arial"/>
          <w:sz w:val="16"/>
          <w:szCs w:val="16"/>
          <w:lang w:eastAsia="es-ES"/>
        </w:rPr>
        <w:t xml:space="preserve">ue un error decir que se despedirá a médicos por </w:t>
      </w:r>
      <w:proofErr w:type="gramStart"/>
      <w:r w:rsidRPr="0027007E">
        <w:rPr>
          <w:rFonts w:ascii="Verdana" w:eastAsia="MS Mincho" w:hAnsi="Verdana" w:cs="Arial"/>
          <w:sz w:val="16"/>
          <w:szCs w:val="16"/>
          <w:lang w:eastAsia="es-ES"/>
        </w:rPr>
        <w:t>firmar[</w:t>
      </w:r>
      <w:proofErr w:type="gramEnd"/>
      <w:r w:rsidRPr="0027007E">
        <w:rPr>
          <w:rFonts w:ascii="Verdana" w:eastAsia="MS Mincho" w:hAnsi="Verdana" w:cs="Arial"/>
          <w:sz w:val="16"/>
          <w:szCs w:val="16"/>
          <w:lang w:eastAsia="es-ES"/>
        </w:rPr>
        <w:t>; n]i en el Ministerio ni en los entes que dependen del Estado se han tomado ni se tomarán retaliaciones políticas para quienes tengan una visión diferente a la del Gobierno nacional”, o que “el Estado es absolutamente respetuoso de las posiciones de todos y cada uno de sus trabajadores. De manera que no se puede confundir mi posición particular con la posición del Estado”.</w:t>
      </w:r>
    </w:p>
    <w:p w14:paraId="47C22FC8" w14:textId="77777777" w:rsidR="0027007E" w:rsidRPr="0027007E" w:rsidRDefault="0027007E" w:rsidP="0027007E">
      <w:pPr>
        <w:numPr>
          <w:ilvl w:val="0"/>
          <w:numId w:val="13"/>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w:t>
      </w:r>
    </w:p>
    <w:p w14:paraId="7FAFD84E" w14:textId="77777777" w:rsidR="0027007E" w:rsidRPr="0027007E" w:rsidRDefault="0027007E" w:rsidP="0027007E">
      <w:pPr>
        <w:numPr>
          <w:ilvl w:val="0"/>
          <w:numId w:val="13"/>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 xml:space="preserve">El 29 de marzo de 2004 el </w:t>
      </w:r>
      <w:r w:rsidRPr="0027007E">
        <w:rPr>
          <w:rFonts w:ascii="Verdana" w:eastAsia="MS Mincho" w:hAnsi="Verdana" w:cs="Times New Roman"/>
          <w:sz w:val="16"/>
          <w:szCs w:val="16"/>
          <w:u w:val="single"/>
          <w:lang w:eastAsia="es-ES"/>
        </w:rPr>
        <w:t>Ministro de Relaciones Exteriores</w:t>
      </w:r>
      <w:r w:rsidRPr="0027007E">
        <w:rPr>
          <w:rFonts w:ascii="Verdana" w:eastAsia="MS Mincho" w:hAnsi="Verdana" w:cs="Times New Roman"/>
          <w:sz w:val="16"/>
          <w:szCs w:val="16"/>
          <w:lang w:eastAsia="es-ES"/>
        </w:rPr>
        <w:t xml:space="preserve"> declaró ante los medios de comunicación lo siguiente: “considero lógico que un funcionario con cargo de confianza que haya firmado contra Hugo Chávez, ponga su cargo a la orden; en caso contrario será transferido a otras funciones dentro de la cancillería. </w:t>
      </w:r>
      <w:r w:rsidRPr="0027007E">
        <w:rPr>
          <w:rFonts w:ascii="Verdana" w:eastAsia="MS Mincho" w:hAnsi="Verdana" w:cs="Times New Roman"/>
          <w:sz w:val="16"/>
          <w:szCs w:val="16"/>
          <w:u w:val="single"/>
          <w:lang w:eastAsia="es-ES"/>
        </w:rPr>
        <w:t>No será despedido, pero ya no podrá ser un cercano colaborador, porque no cree en la política definida por el Presidente”.</w:t>
      </w:r>
      <w:r w:rsidRPr="0027007E">
        <w:rPr>
          <w:rFonts w:ascii="Verdana" w:eastAsia="MS Mincho" w:hAnsi="Verdana" w:cs="Times New Roman"/>
          <w:sz w:val="16"/>
          <w:szCs w:val="16"/>
          <w:lang w:eastAsia="es-ES"/>
        </w:rPr>
        <w:t xml:space="preserve"> </w:t>
      </w:r>
    </w:p>
    <w:p w14:paraId="180A2193" w14:textId="77777777" w:rsidR="0027007E" w:rsidRPr="0027007E" w:rsidRDefault="0027007E" w:rsidP="0027007E">
      <w:pPr>
        <w:numPr>
          <w:ilvl w:val="0"/>
          <w:numId w:val="13"/>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El entonces presidente de Petróleos de Venezuela (PDVSA) advirtió que “</w:t>
      </w:r>
      <w:r w:rsidRPr="0027007E">
        <w:rPr>
          <w:rFonts w:ascii="Verdana" w:eastAsia="MS Mincho" w:hAnsi="Verdana" w:cs="Times New Roman"/>
          <w:sz w:val="16"/>
          <w:szCs w:val="16"/>
          <w:u w:val="single"/>
          <w:lang w:eastAsia="es-ES"/>
        </w:rPr>
        <w:t>no causaría extrañeza si los trabajadores que firmaron la petición de convocatoria fueran despedidos de sus empleos”</w:t>
      </w:r>
      <w:r w:rsidRPr="0027007E">
        <w:rPr>
          <w:rFonts w:ascii="Verdana" w:eastAsia="MS Mincho" w:hAnsi="Verdana" w:cs="Times New Roman"/>
          <w:sz w:val="16"/>
          <w:szCs w:val="16"/>
          <w:lang w:eastAsia="es-ES"/>
        </w:rPr>
        <w:t xml:space="preserve">. </w:t>
      </w:r>
    </w:p>
    <w:p w14:paraId="57B6B3D5" w14:textId="77777777" w:rsidR="0027007E" w:rsidRPr="0027007E" w:rsidRDefault="0027007E" w:rsidP="0027007E">
      <w:pPr>
        <w:spacing w:after="0" w:line="240" w:lineRule="auto"/>
        <w:contextualSpacing/>
        <w:rPr>
          <w:rFonts w:ascii="Verdana" w:eastAsia="MS Mincho" w:hAnsi="Verdana" w:cs="Times New Roman"/>
          <w:sz w:val="16"/>
          <w:szCs w:val="16"/>
          <w:lang w:eastAsia="es-ES"/>
        </w:rPr>
      </w:pPr>
    </w:p>
    <w:p w14:paraId="171DCB66" w14:textId="77777777" w:rsidR="0027007E" w:rsidRPr="0027007E" w:rsidRDefault="0027007E" w:rsidP="0027007E">
      <w:pPr>
        <w:numPr>
          <w:ilvl w:val="0"/>
          <w:numId w:val="36"/>
        </w:numPr>
        <w:pBdr>
          <w:top w:val="nil"/>
        </w:pBdr>
        <w:spacing w:after="0" w:line="240" w:lineRule="auto"/>
        <w:ind w:right="708" w:hanging="11"/>
        <w:contextualSpacing/>
        <w:jc w:val="both"/>
        <w:rPr>
          <w:rFonts w:ascii="Verdana" w:eastAsia="MS Mincho" w:hAnsi="Verdana" w:cs="Times New Roman"/>
          <w:sz w:val="18"/>
          <w:szCs w:val="18"/>
          <w:lang w:eastAsia="es-ES"/>
        </w:rPr>
      </w:pPr>
      <w:r w:rsidRPr="0027007E">
        <w:rPr>
          <w:rFonts w:ascii="Verdana" w:eastAsia="MS Mincho" w:hAnsi="Verdana" w:cs="Times New Roman"/>
          <w:sz w:val="18"/>
          <w:szCs w:val="18"/>
          <w:lang w:eastAsia="es-ES"/>
        </w:rPr>
        <w:lastRenderedPageBreak/>
        <w:t xml:space="preserve">En informes de organizaciones no gubernamentales internacionales y venezolanas, así como en declaraciones o reportajes publicados en medios de comunicación y en testimonios rendidos ante la Corte fueron referidos o documentados casos de supuestos despidos de trabajadores o funcionarios públicos motivados en su participación en las solicitudes de referendos: </w:t>
      </w:r>
    </w:p>
    <w:p w14:paraId="6D10B370" w14:textId="77777777" w:rsidR="0027007E" w:rsidRPr="0027007E" w:rsidRDefault="0027007E" w:rsidP="0027007E">
      <w:pPr>
        <w:pBdr>
          <w:top w:val="nil"/>
        </w:pBdr>
        <w:spacing w:after="0" w:line="240" w:lineRule="auto"/>
        <w:ind w:left="720"/>
        <w:contextualSpacing/>
        <w:jc w:val="both"/>
        <w:rPr>
          <w:rFonts w:ascii="Verdana" w:eastAsia="MS Mincho" w:hAnsi="Verdana" w:cs="Times New Roman"/>
          <w:sz w:val="20"/>
          <w:szCs w:val="20"/>
          <w:lang w:eastAsia="es-ES"/>
        </w:rPr>
      </w:pPr>
    </w:p>
    <w:p w14:paraId="34C0B00C" w14:textId="77777777" w:rsidR="0027007E" w:rsidRPr="0027007E" w:rsidRDefault="0027007E" w:rsidP="0027007E">
      <w:pPr>
        <w:numPr>
          <w:ilvl w:val="0"/>
          <w:numId w:val="12"/>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 xml:space="preserve">En marzo de 2004 Froilán Barrios, miembro del comité ejecutivo de la Confederación de Trabajadores de Venezuela, denunció que la industria petrolera “tiene una lista de 1909 trabajadores entre activos y jubilados sobre quienes recae la amenaza de una eventual remoción o traslado de cargo por haber participado en el </w:t>
      </w:r>
      <w:proofErr w:type="spellStart"/>
      <w:r w:rsidRPr="0027007E">
        <w:rPr>
          <w:rFonts w:ascii="Verdana" w:eastAsia="MS Mincho" w:hAnsi="Verdana" w:cs="Times New Roman"/>
          <w:sz w:val="16"/>
          <w:szCs w:val="16"/>
          <w:lang w:eastAsia="es-ES"/>
        </w:rPr>
        <w:t>reafirmazo</w:t>
      </w:r>
      <w:proofErr w:type="spellEnd"/>
      <w:r w:rsidRPr="0027007E">
        <w:rPr>
          <w:rFonts w:ascii="Verdana" w:eastAsia="MS Mincho" w:hAnsi="Verdana" w:cs="Times New Roman"/>
          <w:sz w:val="16"/>
          <w:szCs w:val="16"/>
          <w:lang w:eastAsia="es-ES"/>
        </w:rPr>
        <w:t>”.</w:t>
      </w:r>
    </w:p>
    <w:p w14:paraId="5F2E8676" w14:textId="77777777" w:rsidR="0027007E" w:rsidRPr="0027007E" w:rsidRDefault="0027007E" w:rsidP="0027007E">
      <w:pPr>
        <w:numPr>
          <w:ilvl w:val="0"/>
          <w:numId w:val="12"/>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 xml:space="preserve">Habrían sido despedidos 80 empleados públicos del Fondo de Garantías de Depósitos y Protección Bancaria, supuestamente por estar incluidos en “una lista, con base en parte en la lista </w:t>
      </w:r>
      <w:proofErr w:type="spellStart"/>
      <w:r w:rsidRPr="0027007E">
        <w:rPr>
          <w:rFonts w:ascii="Verdana" w:eastAsia="MS Mincho" w:hAnsi="Verdana" w:cs="Times New Roman"/>
          <w:sz w:val="16"/>
          <w:szCs w:val="16"/>
          <w:lang w:eastAsia="es-ES"/>
        </w:rPr>
        <w:t>Tascón</w:t>
      </w:r>
      <w:proofErr w:type="spellEnd"/>
      <w:r w:rsidRPr="0027007E">
        <w:rPr>
          <w:rFonts w:ascii="Verdana" w:eastAsia="MS Mincho" w:hAnsi="Verdana" w:cs="Times New Roman"/>
          <w:sz w:val="16"/>
          <w:szCs w:val="16"/>
          <w:lang w:eastAsia="es-ES"/>
        </w:rPr>
        <w:t xml:space="preserve">, que circuló dentro de la institución”. Algunos empleados habrían declarado que en el listado que se distribuyó dentro de la organización aparecía el nombre de cada empleado, su perfil político (desde “1” para chavistas militantes hasta “6” para oposición política radical) y una inicial indicando si el empleado había firmado la solicitud de referendo consultivo o revocatorios, según los datos de la lista </w:t>
      </w:r>
      <w:proofErr w:type="spellStart"/>
      <w:r w:rsidRPr="0027007E">
        <w:rPr>
          <w:rFonts w:ascii="Verdana" w:eastAsia="MS Mincho" w:hAnsi="Verdana" w:cs="Times New Roman"/>
          <w:sz w:val="16"/>
          <w:szCs w:val="16"/>
          <w:lang w:eastAsia="es-ES"/>
        </w:rPr>
        <w:t>Tascón</w:t>
      </w:r>
      <w:proofErr w:type="spellEnd"/>
      <w:r w:rsidRPr="0027007E">
        <w:rPr>
          <w:rFonts w:ascii="Verdana" w:eastAsia="MS Mincho" w:hAnsi="Verdana" w:cs="Times New Roman"/>
          <w:sz w:val="16"/>
          <w:szCs w:val="16"/>
          <w:lang w:eastAsia="es-ES"/>
        </w:rPr>
        <w:t>. Según empleados cesados de sus cargos, todos ellos se encontraban clasificados como opositores al gobierno en la lista que circuló. Según información publicada en la prensa, el Director de dicha institución declaró, al referirse a los despidos, que “se trataba de funcionarios de libre remoción y que venían arrastrando una cultura no cónsona con el proyecto que está contemplado para el desarrollo socioeconómico”.</w:t>
      </w:r>
    </w:p>
    <w:p w14:paraId="16E94F5C" w14:textId="22745EB3" w:rsidR="0027007E" w:rsidRPr="0027007E" w:rsidRDefault="0027007E" w:rsidP="0027007E">
      <w:pPr>
        <w:numPr>
          <w:ilvl w:val="0"/>
          <w:numId w:val="12"/>
        </w:numPr>
        <w:pBdr>
          <w:top w:val="nil"/>
        </w:pBdr>
        <w:spacing w:after="0" w:line="240" w:lineRule="auto"/>
        <w:ind w:left="1134" w:right="708" w:firstLine="0"/>
        <w:contextualSpacing/>
        <w:jc w:val="both"/>
        <w:rPr>
          <w:rFonts w:ascii="Verdana" w:eastAsia="MS Mincho" w:hAnsi="Verdana" w:cs="Times New Roman"/>
          <w:sz w:val="16"/>
          <w:szCs w:val="16"/>
          <w:lang w:eastAsia="es-ES"/>
        </w:rPr>
      </w:pPr>
      <w:r w:rsidRPr="0027007E">
        <w:rPr>
          <w:rFonts w:ascii="Verdana" w:eastAsia="MS Mincho" w:hAnsi="Verdana" w:cs="Times New Roman"/>
          <w:sz w:val="16"/>
          <w:szCs w:val="16"/>
          <w:lang w:eastAsia="es-ES"/>
        </w:rPr>
        <w:t>Se reportaron otras denuncias de represalias similares contra funcionarios en otras instituciones estatales, tales como el Centro Nacional de Tecnologías de Información, Gobernación del Estado Miranda, Ministerio para la Economía Popular, el Instituto de Previsión y Asistencia Social para el Personal del Ministerio de Educación, Dirección de Educación de Miranda, y el Consejo Nacional Electoral; así como en la Defensoría del Puebl</w:t>
      </w:r>
      <w:r w:rsidR="001E496D">
        <w:rPr>
          <w:rFonts w:ascii="Verdana" w:eastAsia="MS Mincho" w:hAnsi="Verdana" w:cs="Times New Roman"/>
          <w:sz w:val="16"/>
          <w:szCs w:val="16"/>
          <w:lang w:eastAsia="es-ES"/>
        </w:rPr>
        <w:t>o</w:t>
      </w:r>
      <w:r w:rsidRPr="0027007E">
        <w:rPr>
          <w:rFonts w:ascii="Verdana" w:eastAsia="MS Mincho" w:hAnsi="Verdana" w:cs="Times New Roman"/>
          <w:sz w:val="16"/>
          <w:szCs w:val="16"/>
          <w:lang w:eastAsia="es-ES"/>
        </w:rPr>
        <w:t>, Ministerio de Salud, “SENIAT”, gobernaciones, alcaldías y Ministerio de Relaciones Exteriores; la Fuerza Armada Nacional y la entidad llamada Protección Civil y Administración de Desastres</w:t>
      </w:r>
      <w:r w:rsidRPr="0027007E">
        <w:rPr>
          <w:rFonts w:ascii="Verdana" w:eastAsia="MS Mincho" w:hAnsi="Verdana" w:cs="Times New Roman"/>
          <w:sz w:val="16"/>
          <w:szCs w:val="16"/>
          <w:vertAlign w:val="superscript"/>
          <w:lang w:eastAsia="es-ES"/>
        </w:rPr>
        <w:footnoteReference w:id="372"/>
      </w:r>
      <w:r w:rsidRPr="0027007E">
        <w:rPr>
          <w:rFonts w:ascii="Verdana" w:eastAsia="MS Mincho" w:hAnsi="Verdana" w:cs="Times New Roman"/>
          <w:sz w:val="16"/>
          <w:szCs w:val="16"/>
          <w:lang w:eastAsia="es-ES"/>
        </w:rPr>
        <w:t>. [Énfasis añadido]</w:t>
      </w:r>
    </w:p>
    <w:p w14:paraId="0F9644E1" w14:textId="77777777" w:rsidR="0027007E" w:rsidRPr="0027007E" w:rsidRDefault="0027007E" w:rsidP="0027007E">
      <w:pPr>
        <w:spacing w:after="0" w:line="240" w:lineRule="auto"/>
        <w:rPr>
          <w:rFonts w:ascii="Verdana" w:eastAsia="MS Mincho" w:hAnsi="Verdana" w:cs="Times New Roman"/>
          <w:sz w:val="20"/>
          <w:szCs w:val="20"/>
          <w:lang w:eastAsia="es-ES"/>
        </w:rPr>
      </w:pPr>
    </w:p>
    <w:p w14:paraId="12DD3805"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BookAntiqua"/>
          <w:sz w:val="20"/>
          <w:szCs w:val="20"/>
          <w:lang w:eastAsia="es-ES"/>
        </w:rPr>
      </w:pPr>
      <w:r w:rsidRPr="0027007E">
        <w:rPr>
          <w:rFonts w:ascii="Verdana" w:eastAsia="MS Mincho" w:hAnsi="Verdana" w:cs="Times New Roman"/>
          <w:sz w:val="20"/>
          <w:szCs w:val="20"/>
          <w:lang w:eastAsia="es-ES"/>
        </w:rPr>
        <w:t>Todo lo anterior debió ser considerado en el caso para declarar la violación al derecho a ser oído por un tribunal independiente. En</w:t>
      </w:r>
      <w:r w:rsidRPr="0027007E">
        <w:rPr>
          <w:rFonts w:ascii="Verdana" w:eastAsia="MS Mincho" w:hAnsi="Verdana" w:cs="BookAntiqua"/>
          <w:sz w:val="20"/>
          <w:szCs w:val="20"/>
          <w:lang w:eastAsia="es-ES"/>
        </w:rPr>
        <w:t xml:space="preserve"> el caso quedó demostrado que las autoridades judiciales “estaban en posición y obligación, por control de convencionalidad, de garantizar una protección judicial con las debidas garantías a las […] víctimas, […] </w:t>
      </w:r>
      <w:r w:rsidRPr="0027007E">
        <w:rPr>
          <w:rFonts w:ascii="Verdana" w:eastAsia="MS Mincho" w:hAnsi="Verdana" w:cs="BookAntiqua"/>
          <w:i/>
          <w:sz w:val="20"/>
          <w:szCs w:val="20"/>
          <w:u w:val="single"/>
          <w:lang w:eastAsia="es-ES"/>
        </w:rPr>
        <w:t>analizando la motivación o la finalidad real del acto impugnado más allá de las razones formales invocadas por la autoridad recurrida, así como los elementos contextuales e indiciarios</w:t>
      </w:r>
      <w:r w:rsidRPr="0027007E">
        <w:rPr>
          <w:rFonts w:ascii="Verdana" w:eastAsia="MS Mincho" w:hAnsi="Verdana" w:cs="BookAntiqua"/>
          <w:i/>
          <w:sz w:val="20"/>
          <w:szCs w:val="20"/>
          <w:lang w:eastAsia="es-ES"/>
        </w:rPr>
        <w:t xml:space="preserve"> […]”</w:t>
      </w:r>
      <w:r w:rsidRPr="0027007E">
        <w:rPr>
          <w:rFonts w:ascii="Verdana" w:eastAsia="MS Mincho" w:hAnsi="Verdana" w:cs="BookAntiqua"/>
          <w:i/>
          <w:sz w:val="20"/>
          <w:szCs w:val="20"/>
          <w:vertAlign w:val="superscript"/>
          <w:lang w:eastAsia="es-ES"/>
        </w:rPr>
        <w:footnoteReference w:id="373"/>
      </w:r>
      <w:r w:rsidRPr="0027007E">
        <w:rPr>
          <w:rFonts w:ascii="Verdana" w:eastAsia="MS Mincho" w:hAnsi="Verdana" w:cs="BookAntiqua"/>
          <w:i/>
          <w:sz w:val="20"/>
          <w:szCs w:val="20"/>
          <w:lang w:eastAsia="es-ES"/>
        </w:rPr>
        <w:t xml:space="preserve">. </w:t>
      </w:r>
      <w:r w:rsidRPr="0027007E">
        <w:rPr>
          <w:rFonts w:ascii="Verdana" w:eastAsia="MS Mincho" w:hAnsi="Verdana" w:cs="BookAntiqua"/>
          <w:sz w:val="20"/>
          <w:szCs w:val="20"/>
          <w:lang w:eastAsia="es-ES"/>
        </w:rPr>
        <w:t xml:space="preserve">De hecho, en el caso la Corte IDH constató que en el recurso de amparo las autoridades no indagaron </w:t>
      </w:r>
      <w:r w:rsidRPr="0027007E">
        <w:rPr>
          <w:rFonts w:ascii="Verdana" w:eastAsia="MS Mincho" w:hAnsi="Verdana" w:cs="Times New Roman"/>
          <w:sz w:val="20"/>
          <w:szCs w:val="20"/>
          <w:u w:val="single"/>
          <w:lang w:eastAsia="es-ES"/>
        </w:rPr>
        <w:t>acerca de las motivaciones del despido, conformándose con las generalidades sin sustento particularizado</w:t>
      </w:r>
      <w:r w:rsidRPr="0027007E">
        <w:rPr>
          <w:rFonts w:ascii="Verdana" w:eastAsia="MS Mincho" w:hAnsi="Verdana" w:cs="Times New Roman"/>
          <w:sz w:val="20"/>
          <w:szCs w:val="20"/>
          <w:u w:val="single"/>
          <w:vertAlign w:val="superscript"/>
          <w:lang w:eastAsia="es-ES"/>
        </w:rPr>
        <w:footnoteReference w:id="374"/>
      </w:r>
      <w:r w:rsidRPr="0027007E">
        <w:rPr>
          <w:rFonts w:ascii="Verdana" w:eastAsia="MS Mincho" w:hAnsi="Verdana" w:cs="BookAntiqua"/>
          <w:sz w:val="20"/>
          <w:szCs w:val="20"/>
          <w:lang w:eastAsia="es-ES"/>
        </w:rPr>
        <w:t xml:space="preserve">. </w:t>
      </w:r>
    </w:p>
    <w:p w14:paraId="4BBAC7D8"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BookAntiqua"/>
          <w:sz w:val="20"/>
          <w:szCs w:val="20"/>
          <w:lang w:eastAsia="es-ES"/>
        </w:rPr>
      </w:pPr>
    </w:p>
    <w:p w14:paraId="579193DE"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BookAntiqua"/>
          <w:sz w:val="20"/>
          <w:szCs w:val="20"/>
          <w:lang w:eastAsia="es-ES"/>
        </w:rPr>
      </w:pPr>
      <w:r w:rsidRPr="0027007E">
        <w:rPr>
          <w:rFonts w:ascii="Verdana" w:eastAsia="MS Mincho" w:hAnsi="Verdana" w:cs="BookAntiqua"/>
          <w:sz w:val="20"/>
          <w:szCs w:val="20"/>
          <w:lang w:eastAsia="es-ES"/>
        </w:rPr>
        <w:t xml:space="preserve">Cabe destacar que </w:t>
      </w:r>
      <w:r w:rsidRPr="0027007E">
        <w:rPr>
          <w:rFonts w:ascii="Verdana" w:eastAsia="MS Mincho" w:hAnsi="Verdana" w:cs="Times New Roman"/>
          <w:sz w:val="20"/>
          <w:szCs w:val="20"/>
          <w:lang w:eastAsia="es-ES"/>
        </w:rPr>
        <w:t xml:space="preserve">uno de los aspectos de mayor incidencia en el ejercicio efectivo de la democracia es el de la separación de poderes y, más específicamente, el de la independencia del Poder Judicial; lo cual, como lo hizo notar la Corte IDH en la Sentencia, está recogido también en la Carta Democrática Interamericana. Puesto que tales cualidades, en </w:t>
      </w:r>
      <w:proofErr w:type="gramStart"/>
      <w:r w:rsidRPr="0027007E">
        <w:rPr>
          <w:rFonts w:ascii="Verdana" w:eastAsia="MS Mincho" w:hAnsi="Verdana" w:cs="Times New Roman"/>
          <w:sz w:val="20"/>
          <w:szCs w:val="20"/>
          <w:lang w:eastAsia="es-ES"/>
        </w:rPr>
        <w:t>tanto</w:t>
      </w:r>
      <w:proofErr w:type="gramEnd"/>
      <w:r w:rsidRPr="0027007E">
        <w:rPr>
          <w:rFonts w:ascii="Verdana" w:eastAsia="MS Mincho" w:hAnsi="Verdana" w:cs="Times New Roman"/>
          <w:sz w:val="20"/>
          <w:szCs w:val="20"/>
          <w:lang w:eastAsia="es-ES"/>
        </w:rPr>
        <w:t xml:space="preserve"> elementos esenciales de la democracia, deben ser reales y efectivas, y no solo formales, su ausencia en un determinado Estado hace que éste no sea plenamente democrático, en violación de la Carta Democrática Interamericana y de los tratados que ésta interpreta. </w:t>
      </w:r>
    </w:p>
    <w:p w14:paraId="06E282CB" w14:textId="77777777" w:rsidR="0027007E" w:rsidRPr="0027007E" w:rsidRDefault="0027007E" w:rsidP="0027007E">
      <w:pPr>
        <w:spacing w:after="0" w:line="240" w:lineRule="auto"/>
        <w:ind w:left="720"/>
        <w:contextualSpacing/>
        <w:rPr>
          <w:rFonts w:ascii="Verdana" w:eastAsia="MS Mincho" w:hAnsi="Verdana" w:cs="Times New Roman"/>
          <w:sz w:val="20"/>
          <w:szCs w:val="20"/>
          <w:lang w:eastAsia="es-ES"/>
        </w:rPr>
      </w:pPr>
    </w:p>
    <w:p w14:paraId="3AC062BD"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BookAntiqua"/>
          <w:sz w:val="20"/>
          <w:szCs w:val="20"/>
          <w:lang w:eastAsia="es-ES"/>
        </w:rPr>
      </w:pPr>
      <w:r w:rsidRPr="0027007E">
        <w:rPr>
          <w:rFonts w:ascii="Verdana" w:eastAsia="MS Mincho" w:hAnsi="Verdana" w:cs="Times New Roman"/>
          <w:sz w:val="20"/>
          <w:szCs w:val="20"/>
          <w:lang w:eastAsia="es-ES"/>
        </w:rPr>
        <w:lastRenderedPageBreak/>
        <w:t xml:space="preserve">En este sentido, la Corte IDH expresó: </w:t>
      </w:r>
    </w:p>
    <w:p w14:paraId="0198C0F5" w14:textId="77777777" w:rsidR="0027007E" w:rsidRPr="00E10368" w:rsidRDefault="0027007E" w:rsidP="0027007E">
      <w:pPr>
        <w:pBdr>
          <w:top w:val="nil"/>
        </w:pBdr>
        <w:autoSpaceDE w:val="0"/>
        <w:autoSpaceDN w:val="0"/>
        <w:adjustRightInd w:val="0"/>
        <w:spacing w:after="0" w:line="240" w:lineRule="auto"/>
        <w:ind w:right="708"/>
        <w:contextualSpacing/>
        <w:jc w:val="both"/>
        <w:rPr>
          <w:rFonts w:ascii="Verdana" w:eastAsia="MS Mincho" w:hAnsi="Verdana" w:cs="Times New Roman"/>
          <w:sz w:val="16"/>
          <w:szCs w:val="20"/>
          <w:lang w:eastAsia="es-ES"/>
        </w:rPr>
      </w:pPr>
    </w:p>
    <w:p w14:paraId="5C2F37BE" w14:textId="77777777" w:rsidR="0027007E" w:rsidRPr="0027007E" w:rsidRDefault="0027007E" w:rsidP="0027007E">
      <w:pPr>
        <w:numPr>
          <w:ilvl w:val="0"/>
          <w:numId w:val="37"/>
        </w:numPr>
        <w:pBdr>
          <w:top w:val="nil"/>
        </w:pBdr>
        <w:spacing w:after="0" w:line="240" w:lineRule="auto"/>
        <w:ind w:right="708" w:firstLine="31"/>
        <w:contextualSpacing/>
        <w:jc w:val="both"/>
        <w:rPr>
          <w:rFonts w:ascii="Verdana" w:eastAsia="MS Mincho" w:hAnsi="Verdana" w:cs="Times New Roman"/>
          <w:b/>
          <w:sz w:val="18"/>
          <w:szCs w:val="18"/>
          <w:lang w:eastAsia="es-ES"/>
        </w:rPr>
      </w:pPr>
      <w:r w:rsidRPr="0027007E">
        <w:rPr>
          <w:rFonts w:ascii="Verdana" w:eastAsia="MS Mincho" w:hAnsi="Verdana" w:cs="Times New Roman"/>
          <w:sz w:val="18"/>
          <w:szCs w:val="18"/>
          <w:shd w:val="clear" w:color="auto" w:fill="FFFFFF"/>
          <w:lang w:eastAsia="es-ES"/>
        </w:rPr>
        <w:t xml:space="preserve">Pues bien, según la referida Carta, </w:t>
      </w:r>
      <w:r w:rsidRPr="0027007E">
        <w:rPr>
          <w:rFonts w:ascii="Verdana" w:eastAsia="MS Mincho" w:hAnsi="Verdana" w:cs="Times New Roman"/>
          <w:sz w:val="18"/>
          <w:szCs w:val="18"/>
          <w:u w:val="single"/>
          <w:shd w:val="clear" w:color="auto" w:fill="FFFFFF"/>
          <w:lang w:eastAsia="es-ES"/>
        </w:rPr>
        <w:t>son “elementos esenciales de la democracia representativa”,</w:t>
      </w:r>
      <w:r w:rsidRPr="0027007E">
        <w:rPr>
          <w:rFonts w:ascii="Verdana" w:eastAsia="MS Mincho" w:hAnsi="Verdana" w:cs="Times New Roman"/>
          <w:sz w:val="18"/>
          <w:szCs w:val="18"/>
          <w:shd w:val="clear" w:color="auto" w:fill="FFFFFF"/>
          <w:lang w:eastAsia="es-ES"/>
        </w:rPr>
        <w:t xml:space="preserve"> entre otros: “el respeto a los derechos humanos y las libertades fundamentales; el acceso al poder y su ejercicio con sujeción al estado de derecho; </w:t>
      </w:r>
      <w:r w:rsidRPr="0027007E">
        <w:rPr>
          <w:rFonts w:ascii="Verdana" w:eastAsia="MS Mincho" w:hAnsi="Verdana" w:cs="Times New Roman"/>
          <w:color w:val="000000"/>
          <w:sz w:val="18"/>
          <w:szCs w:val="18"/>
          <w:u w:val="single"/>
          <w:shd w:val="clear" w:color="auto" w:fill="FFFFFF"/>
          <w:lang w:eastAsia="es-ES"/>
        </w:rPr>
        <w:t xml:space="preserve">[…] </w:t>
      </w:r>
      <w:r w:rsidRPr="0027007E">
        <w:rPr>
          <w:rFonts w:ascii="Verdana" w:eastAsia="MS Mincho" w:hAnsi="Verdana" w:cs="Times New Roman"/>
          <w:i/>
          <w:color w:val="000000"/>
          <w:sz w:val="18"/>
          <w:szCs w:val="18"/>
          <w:u w:val="single"/>
          <w:shd w:val="clear" w:color="auto" w:fill="FFFFFF"/>
          <w:lang w:eastAsia="es-ES"/>
        </w:rPr>
        <w:t>la separación e independencia de los poderes público</w:t>
      </w:r>
      <w:r w:rsidRPr="0027007E">
        <w:rPr>
          <w:rFonts w:ascii="Verdana" w:eastAsia="MS Mincho" w:hAnsi="Verdana" w:cs="Times New Roman"/>
          <w:i/>
          <w:color w:val="000000"/>
          <w:sz w:val="18"/>
          <w:szCs w:val="18"/>
          <w:shd w:val="clear" w:color="auto" w:fill="FFFFFF"/>
          <w:lang w:eastAsia="es-ES"/>
        </w:rPr>
        <w:t>s”</w:t>
      </w:r>
      <w:r w:rsidRPr="0027007E">
        <w:rPr>
          <w:rFonts w:ascii="Verdana" w:eastAsia="MS Mincho" w:hAnsi="Verdana" w:cs="Times New Roman"/>
          <w:sz w:val="18"/>
          <w:szCs w:val="18"/>
          <w:shd w:val="clear" w:color="auto" w:fill="FFFFFF"/>
          <w:lang w:eastAsia="es-ES"/>
        </w:rPr>
        <w:t xml:space="preserve"> y, en definitiva, “la participación de la ciudadanía en las decisiones relativas a su propio desarrollo es un derecho y una responsabilidad” y “es también una condición necesaria para el pleno y efectivo ejercicio de la democracia”, por lo cual “la eliminación de toda forma de discriminación […] y de las diversas formas de intolerancia […] contribuyen al fortalecimiento de la democracia y la participación ciudadana”</w:t>
      </w:r>
      <w:r w:rsidRPr="0027007E">
        <w:rPr>
          <w:rFonts w:ascii="Verdana" w:eastAsia="MS Mincho" w:hAnsi="Verdana" w:cs="Times New Roman"/>
          <w:sz w:val="18"/>
          <w:szCs w:val="18"/>
          <w:shd w:val="clear" w:color="auto" w:fill="FFFFFF"/>
          <w:vertAlign w:val="superscript"/>
          <w:lang w:eastAsia="es-ES"/>
        </w:rPr>
        <w:footnoteReference w:id="375"/>
      </w:r>
      <w:r w:rsidRPr="0027007E">
        <w:rPr>
          <w:rFonts w:ascii="Verdana" w:eastAsia="MS Mincho" w:hAnsi="Verdana" w:cs="Times New Roman"/>
          <w:sz w:val="18"/>
          <w:szCs w:val="18"/>
          <w:shd w:val="clear" w:color="auto" w:fill="FFFFFF"/>
          <w:lang w:eastAsia="es-ES"/>
        </w:rPr>
        <w:t>. [Énfasis añadido]</w:t>
      </w:r>
    </w:p>
    <w:p w14:paraId="1A7A4B78" w14:textId="77777777" w:rsidR="0027007E" w:rsidRPr="00E10368" w:rsidRDefault="0027007E" w:rsidP="0027007E">
      <w:pPr>
        <w:pBdr>
          <w:top w:val="nil"/>
        </w:pBdr>
        <w:autoSpaceDE w:val="0"/>
        <w:autoSpaceDN w:val="0"/>
        <w:adjustRightInd w:val="0"/>
        <w:spacing w:after="0" w:line="240" w:lineRule="auto"/>
        <w:contextualSpacing/>
        <w:jc w:val="both"/>
        <w:rPr>
          <w:rFonts w:ascii="Verdana" w:eastAsia="MS Mincho" w:hAnsi="Verdana" w:cs="BookAntiqua"/>
          <w:sz w:val="16"/>
          <w:szCs w:val="20"/>
          <w:lang w:eastAsia="es-ES"/>
        </w:rPr>
      </w:pPr>
    </w:p>
    <w:p w14:paraId="60ADF88F"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BookAntiqua"/>
          <w:sz w:val="20"/>
          <w:szCs w:val="20"/>
          <w:lang w:eastAsia="es-ES"/>
        </w:rPr>
      </w:pPr>
      <w:r w:rsidRPr="0027007E">
        <w:rPr>
          <w:rFonts w:ascii="Verdana" w:eastAsia="MS Mincho" w:hAnsi="Verdana" w:cs="BookAntiqua"/>
          <w:sz w:val="20"/>
          <w:szCs w:val="20"/>
          <w:lang w:eastAsia="es-ES"/>
        </w:rPr>
        <w:t>La falta de independencia del Poder Judicial era un hecho público y notorio en la época de los hechos</w:t>
      </w:r>
      <w:r w:rsidRPr="0027007E">
        <w:rPr>
          <w:rFonts w:ascii="Verdana" w:eastAsia="MS Mincho" w:hAnsi="Verdana" w:cs="BookAntiqua"/>
          <w:sz w:val="20"/>
          <w:szCs w:val="20"/>
          <w:vertAlign w:val="superscript"/>
          <w:lang w:eastAsia="es-ES"/>
        </w:rPr>
        <w:footnoteReference w:id="376"/>
      </w:r>
      <w:r w:rsidRPr="0027007E">
        <w:rPr>
          <w:rFonts w:ascii="Verdana" w:eastAsia="MS Mincho" w:hAnsi="Verdana" w:cs="BookAntiqua"/>
          <w:sz w:val="20"/>
          <w:szCs w:val="20"/>
          <w:lang w:eastAsia="es-ES"/>
        </w:rPr>
        <w:t xml:space="preserve"> y la Corte IDH lo deja ver en la Sentencia</w:t>
      </w:r>
      <w:r w:rsidRPr="0027007E">
        <w:rPr>
          <w:rFonts w:ascii="Verdana" w:eastAsia="MS Mincho" w:hAnsi="Verdana" w:cs="BookAntiqua"/>
          <w:sz w:val="20"/>
          <w:szCs w:val="20"/>
          <w:vertAlign w:val="superscript"/>
          <w:lang w:eastAsia="es-ES"/>
        </w:rPr>
        <w:footnoteReference w:id="377"/>
      </w:r>
      <w:r w:rsidRPr="0027007E">
        <w:rPr>
          <w:rFonts w:ascii="Verdana" w:eastAsia="MS Mincho" w:hAnsi="Verdana" w:cs="BookAntiqua"/>
          <w:sz w:val="20"/>
          <w:szCs w:val="20"/>
          <w:lang w:eastAsia="es-ES"/>
        </w:rPr>
        <w:t xml:space="preserve"> (véase </w:t>
      </w:r>
      <w:r w:rsidRPr="0027007E">
        <w:rPr>
          <w:rFonts w:ascii="Verdana" w:eastAsia="MS Mincho" w:hAnsi="Verdana" w:cs="BookAntiqua"/>
          <w:i/>
          <w:sz w:val="20"/>
          <w:szCs w:val="20"/>
          <w:lang w:eastAsia="es-ES"/>
        </w:rPr>
        <w:t>supra</w:t>
      </w:r>
      <w:r w:rsidRPr="0027007E">
        <w:rPr>
          <w:rFonts w:ascii="Verdana" w:eastAsia="MS Mincho" w:hAnsi="Verdana" w:cs="BookAntiqua"/>
          <w:sz w:val="20"/>
          <w:szCs w:val="20"/>
          <w:lang w:eastAsia="es-ES"/>
        </w:rPr>
        <w:t>, párr. 49 del presente Voto). Además, cabe destacar que si bien el amparo constitucional fue admitido, lo cierto es que al exigir la prueba diabólica —es decir, que lograra comprobar que la verdadera razón de la terminación de los contratos laborales fue la firma de la solicitud de revocatoria del mandato presidencial—; al excluir la única prueba directa (las grabaciones telefónicas)</w:t>
      </w:r>
      <w:r w:rsidRPr="0027007E">
        <w:rPr>
          <w:rFonts w:ascii="Verdana" w:eastAsia="MS Mincho" w:hAnsi="Verdana" w:cs="BookAntiqua"/>
          <w:sz w:val="20"/>
          <w:szCs w:val="20"/>
          <w:vertAlign w:val="superscript"/>
          <w:lang w:eastAsia="es-ES"/>
        </w:rPr>
        <w:footnoteReference w:id="378"/>
      </w:r>
      <w:r w:rsidRPr="0027007E">
        <w:rPr>
          <w:rFonts w:ascii="Verdana" w:eastAsia="MS Mincho" w:hAnsi="Verdana" w:cs="BookAntiqua"/>
          <w:sz w:val="20"/>
          <w:szCs w:val="20"/>
          <w:lang w:eastAsia="es-ES"/>
        </w:rPr>
        <w:t>; y al faltar en su deber de adecuada fundamentación, las autoridades judiciales no garantizaron, de manera independiente, un efectivo acceso a la justicia. Ello implicó, desde un principio, que la acción de amparo fuera un recurso ilusorio frente a los derechos que se alegaban como vulnerados, contribuyendo a la desviación de poder probada en la Sentencia.</w:t>
      </w:r>
    </w:p>
    <w:p w14:paraId="0D25681C"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BookAntiqua"/>
          <w:sz w:val="20"/>
          <w:szCs w:val="20"/>
          <w:lang w:eastAsia="es-ES"/>
        </w:rPr>
      </w:pPr>
    </w:p>
    <w:p w14:paraId="6F17ABB2"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BookAntiqua"/>
          <w:sz w:val="20"/>
          <w:szCs w:val="20"/>
          <w:lang w:eastAsia="es-ES"/>
        </w:rPr>
      </w:pPr>
      <w:r w:rsidRPr="0027007E">
        <w:rPr>
          <w:rFonts w:ascii="Verdana" w:eastAsia="MS Mincho" w:hAnsi="Verdana" w:cs="BookAntiqua"/>
          <w:sz w:val="20"/>
          <w:szCs w:val="20"/>
          <w:lang w:eastAsia="es-ES"/>
        </w:rPr>
        <w:t xml:space="preserve">En este contexto, no resultaría extraño que todo recurso que interpusieran las víctimas a nivel interno estuviera destinado al fracaso. Es fundamental señalar que la lista </w:t>
      </w:r>
      <w:proofErr w:type="spellStart"/>
      <w:r w:rsidRPr="0027007E">
        <w:rPr>
          <w:rFonts w:ascii="Verdana" w:eastAsia="MS Mincho" w:hAnsi="Verdana" w:cs="BookAntiqua"/>
          <w:sz w:val="20"/>
          <w:szCs w:val="20"/>
          <w:lang w:eastAsia="es-ES"/>
        </w:rPr>
        <w:t>Tascón</w:t>
      </w:r>
      <w:proofErr w:type="spellEnd"/>
      <w:r w:rsidRPr="0027007E">
        <w:rPr>
          <w:rFonts w:ascii="Verdana" w:eastAsia="MS Mincho" w:hAnsi="Verdana" w:cs="BookAntiqua"/>
          <w:sz w:val="20"/>
          <w:szCs w:val="20"/>
          <w:lang w:eastAsia="es-ES"/>
        </w:rPr>
        <w:t xml:space="preserve"> era de carácter público y que las altas autoridades del Poder Ejecutivo —inclusive el propio Presidente de la República— emitían declaraciones amedrentadoras con el propósito de desincentivar la participación política. Esto influyó de manera negativa en las decisiones que se tomaban en el Poder Judicial. En la Sentencia se comprobó y declaró una “desviación de poder”, en la cual existía una finalidad declarada (que se encubre con un velo de legalidad) pero que es muy distinta de la finalidad real que perseguían los actos de las autoridades. Es bajo este contexto, que el Poder Judicial no era plenamente independiente para decidir sobre las violaciones de derechos constitucionales y convencionales, máxime si quienes lo solicitaban eran percibidos como disidentes u opositores al régimen político en turno.</w:t>
      </w:r>
    </w:p>
    <w:p w14:paraId="7A22CE56"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BookAntiqua"/>
          <w:b/>
          <w:sz w:val="20"/>
          <w:szCs w:val="20"/>
          <w:lang w:eastAsia="es-ES"/>
        </w:rPr>
      </w:pPr>
    </w:p>
    <w:p w14:paraId="2452B10E" w14:textId="77777777" w:rsidR="0027007E" w:rsidRPr="0027007E" w:rsidRDefault="0027007E" w:rsidP="0027007E">
      <w:pPr>
        <w:numPr>
          <w:ilvl w:val="0"/>
          <w:numId w:val="34"/>
        </w:numPr>
        <w:spacing w:after="0" w:line="240" w:lineRule="auto"/>
        <w:ind w:left="0" w:firstLine="0"/>
        <w:contextualSpacing/>
        <w:jc w:val="both"/>
        <w:rPr>
          <w:rFonts w:ascii="Verdana" w:eastAsia="MS Mincho" w:hAnsi="Verdana" w:cs="Times New Roman"/>
          <w:sz w:val="20"/>
          <w:szCs w:val="20"/>
          <w:lang w:eastAsia="es-ES"/>
        </w:rPr>
      </w:pPr>
      <w:r w:rsidRPr="0027007E">
        <w:rPr>
          <w:rFonts w:ascii="Verdana" w:eastAsia="MS Mincho" w:hAnsi="Verdana" w:cs="BookAntiqua"/>
          <w:sz w:val="20"/>
          <w:szCs w:val="20"/>
          <w:lang w:eastAsia="es-ES"/>
        </w:rPr>
        <w:lastRenderedPageBreak/>
        <w:t xml:space="preserve">En conclusión, las víctimas fueron objeto de discriminación política mediante un despido arbitrario y el Poder Judicial no fue independiente frente a actos del régimen de turno. En el caso se comprobó una “desviación de poder”, debido a que </w:t>
      </w:r>
      <w:r w:rsidRPr="0027007E">
        <w:rPr>
          <w:rFonts w:ascii="Verdana" w:eastAsia="MS Mincho" w:hAnsi="Verdana" w:cs="Times New Roman"/>
          <w:sz w:val="20"/>
          <w:szCs w:val="20"/>
        </w:rPr>
        <w:t>los despidos de las víctimas tenía “la intención encubierta de acallar y desincentivar la disidencia política, pues fue instrumentalizado para que otras personas se vieran amedrentadas de participar políticamente y de expresar sus ideas y opiniones</w:t>
      </w:r>
      <w:proofErr w:type="gramStart"/>
      <w:r w:rsidRPr="0027007E">
        <w:rPr>
          <w:rFonts w:ascii="Verdana" w:eastAsia="MS Mincho" w:hAnsi="Verdana" w:cs="Times New Roman"/>
          <w:sz w:val="20"/>
          <w:szCs w:val="20"/>
        </w:rPr>
        <w:t>”</w:t>
      </w:r>
      <w:r w:rsidRPr="0027007E">
        <w:rPr>
          <w:rFonts w:ascii="Verdana" w:eastAsia="Cambria" w:hAnsi="Verdana" w:cs="Cambria"/>
          <w:color w:val="000000"/>
          <w:sz w:val="20"/>
          <w:szCs w:val="20"/>
          <w:u w:color="000000"/>
          <w:vertAlign w:val="superscript"/>
          <w:lang w:val="es-ES_tradnl" w:eastAsia="es-ES"/>
        </w:rPr>
        <w:t xml:space="preserve"> </w:t>
      </w:r>
      <w:proofErr w:type="gramEnd"/>
      <w:r w:rsidRPr="0027007E">
        <w:rPr>
          <w:rFonts w:ascii="Verdana" w:eastAsia="Cambria" w:hAnsi="Verdana" w:cs="Cambria"/>
          <w:color w:val="000000"/>
          <w:sz w:val="20"/>
          <w:szCs w:val="20"/>
          <w:u w:color="000000"/>
          <w:vertAlign w:val="superscript"/>
          <w:lang w:val="es-ES_tradnl" w:eastAsia="es-ES"/>
        </w:rPr>
        <w:footnoteReference w:id="379"/>
      </w:r>
      <w:r w:rsidRPr="0027007E">
        <w:rPr>
          <w:rFonts w:ascii="Verdana" w:eastAsia="Cambria" w:hAnsi="Verdana" w:cs="Cambria"/>
          <w:color w:val="000000"/>
          <w:sz w:val="20"/>
          <w:szCs w:val="20"/>
          <w:u w:color="000000"/>
          <w:lang w:val="es-ES_tradnl" w:eastAsia="es-ES"/>
        </w:rPr>
        <w:t xml:space="preserve">. </w:t>
      </w:r>
      <w:r w:rsidRPr="0027007E">
        <w:rPr>
          <w:rFonts w:ascii="Verdana" w:eastAsia="MS Mincho" w:hAnsi="Verdana" w:cs="Times New Roman"/>
          <w:sz w:val="20"/>
          <w:szCs w:val="20"/>
          <w:lang w:eastAsia="es-ES"/>
        </w:rPr>
        <w:t>Las autoridades judiciales no indagaron acerca de las motivaciones del despido ante la alegada desviación de poder y discriminación política, coadyuvando</w:t>
      </w:r>
      <w:r w:rsidRPr="0027007E">
        <w:rPr>
          <w:rFonts w:ascii="Verdana" w:eastAsia="MS Mincho" w:hAnsi="Verdana" w:cs="Times New Roman"/>
          <w:sz w:val="20"/>
          <w:szCs w:val="20"/>
          <w:lang w:val="es-ES_tradnl" w:eastAsia="es-ES"/>
        </w:rPr>
        <w:t xml:space="preserve"> a la intención real y finalidad no declarada, </w:t>
      </w:r>
      <w:r w:rsidRPr="0027007E">
        <w:rPr>
          <w:rFonts w:ascii="Verdana" w:eastAsia="MS Mincho" w:hAnsi="Verdana" w:cs="Times New Roman"/>
          <w:sz w:val="20"/>
          <w:szCs w:val="20"/>
          <w:lang w:eastAsia="es-ES"/>
        </w:rPr>
        <w:t>debido a que se hizo uso de una facultad discrecional en una cláusula contractual para dar por terminada una relación laboral como medida ejemplarizante y amedrentadora para otras personas que hubieran manifestado su disidencia política mediante la firma de la solicitud de revocatoria del mandato presidencial</w:t>
      </w:r>
      <w:r w:rsidRPr="0027007E">
        <w:rPr>
          <w:rFonts w:ascii="Verdana" w:eastAsia="MS Mincho" w:hAnsi="Verdana" w:cs="Times New Roman"/>
          <w:sz w:val="20"/>
          <w:szCs w:val="20"/>
          <w:vertAlign w:val="superscript"/>
          <w:lang w:eastAsia="es-ES"/>
        </w:rPr>
        <w:footnoteReference w:id="380"/>
      </w:r>
      <w:r w:rsidRPr="0027007E">
        <w:rPr>
          <w:rFonts w:ascii="Verdana" w:eastAsia="MS Mincho" w:hAnsi="Verdana" w:cs="Times New Roman"/>
          <w:sz w:val="20"/>
          <w:szCs w:val="20"/>
          <w:lang w:eastAsia="es-ES"/>
        </w:rPr>
        <w:t>. Bajo ese contexto probado en la Sentencia, considero que la consecuencia lógica hubiese sido que la Corte IDH, además de declarar la violación del artículo 25 del Pacto de San José (protección judicial), declarara también la violación del derecho de las víctimas a ser oídas por jueces independientes, contenido</w:t>
      </w:r>
      <w:r w:rsidRPr="0027007E">
        <w:rPr>
          <w:rFonts w:ascii="Verdana" w:eastAsia="MS Mincho" w:hAnsi="Verdana" w:cs="Times New Roman"/>
          <w:sz w:val="20"/>
          <w:szCs w:val="20"/>
          <w:lang w:val="es-ES_tradnl" w:eastAsia="es-ES"/>
        </w:rPr>
        <w:t xml:space="preserve"> en el artículo 8.1 de la Convención Americana.</w:t>
      </w:r>
    </w:p>
    <w:p w14:paraId="135F2AA6"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Times New Roman"/>
          <w:sz w:val="20"/>
          <w:szCs w:val="20"/>
          <w:lang w:eastAsia="es-ES"/>
        </w:rPr>
      </w:pPr>
    </w:p>
    <w:p w14:paraId="44F3DD80"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Times New Roman"/>
          <w:sz w:val="20"/>
          <w:szCs w:val="20"/>
          <w:lang w:eastAsia="es-ES"/>
        </w:rPr>
      </w:pPr>
    </w:p>
    <w:p w14:paraId="5A853E02"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Times New Roman"/>
          <w:sz w:val="20"/>
          <w:szCs w:val="20"/>
          <w:lang w:eastAsia="es-ES"/>
        </w:rPr>
      </w:pPr>
    </w:p>
    <w:p w14:paraId="44A8A9A5"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Times New Roman"/>
          <w:sz w:val="20"/>
          <w:szCs w:val="20"/>
          <w:lang w:eastAsia="es-ES"/>
        </w:rPr>
      </w:pPr>
    </w:p>
    <w:p w14:paraId="1580ED65" w14:textId="77777777" w:rsidR="0027007E" w:rsidRPr="0027007E" w:rsidRDefault="0027007E" w:rsidP="0027007E">
      <w:pPr>
        <w:pBdr>
          <w:top w:val="nil"/>
        </w:pBdr>
        <w:autoSpaceDE w:val="0"/>
        <w:autoSpaceDN w:val="0"/>
        <w:adjustRightInd w:val="0"/>
        <w:spacing w:after="0" w:line="240" w:lineRule="auto"/>
        <w:contextualSpacing/>
        <w:jc w:val="both"/>
        <w:rPr>
          <w:rFonts w:ascii="Verdana" w:eastAsia="MS Mincho" w:hAnsi="Verdana" w:cs="Times New Roman"/>
          <w:sz w:val="20"/>
          <w:szCs w:val="20"/>
          <w:lang w:eastAsia="es-ES"/>
        </w:rPr>
      </w:pPr>
    </w:p>
    <w:p w14:paraId="0E1FF5FD" w14:textId="77777777" w:rsidR="0027007E" w:rsidRPr="0027007E" w:rsidRDefault="0027007E" w:rsidP="0027007E">
      <w:pPr>
        <w:pBdr>
          <w:top w:val="nil"/>
        </w:pBdr>
        <w:autoSpaceDE w:val="0"/>
        <w:autoSpaceDN w:val="0"/>
        <w:adjustRightInd w:val="0"/>
        <w:spacing w:after="0" w:line="240" w:lineRule="auto"/>
        <w:ind w:right="944"/>
        <w:contextualSpacing/>
        <w:jc w:val="right"/>
        <w:rPr>
          <w:rFonts w:ascii="Verdana" w:eastAsia="MS Mincho" w:hAnsi="Verdana" w:cs="BookAntiqua"/>
          <w:sz w:val="20"/>
          <w:szCs w:val="20"/>
          <w:lang w:val="es-ES_tradnl" w:eastAsia="es-ES"/>
        </w:rPr>
      </w:pPr>
    </w:p>
    <w:p w14:paraId="7B2CAA85" w14:textId="77777777" w:rsidR="0027007E" w:rsidRPr="0027007E" w:rsidRDefault="0027007E" w:rsidP="0027007E">
      <w:pPr>
        <w:spacing w:after="0" w:line="240" w:lineRule="auto"/>
        <w:ind w:left="3600" w:right="96" w:firstLine="720"/>
        <w:jc w:val="center"/>
        <w:rPr>
          <w:rFonts w:ascii="Verdana" w:eastAsia="Calibri" w:hAnsi="Verdana" w:cs="Times New Roman"/>
          <w:sz w:val="20"/>
          <w:szCs w:val="20"/>
          <w:lang w:val="es-MX"/>
        </w:rPr>
      </w:pPr>
      <w:r w:rsidRPr="0027007E">
        <w:rPr>
          <w:rFonts w:ascii="Verdana" w:eastAsia="Calibri" w:hAnsi="Verdana" w:cs="Times New Roman"/>
          <w:sz w:val="20"/>
          <w:szCs w:val="20"/>
          <w:lang w:val="es-MX"/>
        </w:rPr>
        <w:t xml:space="preserve">          Eduardo Ferrer Mac-Gregor </w:t>
      </w:r>
      <w:proofErr w:type="spellStart"/>
      <w:r w:rsidRPr="0027007E">
        <w:rPr>
          <w:rFonts w:ascii="Verdana" w:eastAsia="Calibri" w:hAnsi="Verdana" w:cs="Times New Roman"/>
          <w:sz w:val="20"/>
          <w:szCs w:val="20"/>
          <w:lang w:val="es-MX"/>
        </w:rPr>
        <w:t>Poisot</w:t>
      </w:r>
      <w:proofErr w:type="spellEnd"/>
    </w:p>
    <w:p w14:paraId="7B96B8AF" w14:textId="77777777" w:rsidR="0027007E" w:rsidRPr="0027007E" w:rsidRDefault="0027007E" w:rsidP="0027007E">
      <w:pPr>
        <w:spacing w:after="0" w:line="240" w:lineRule="auto"/>
        <w:ind w:left="3960" w:right="96" w:firstLine="360"/>
        <w:jc w:val="center"/>
        <w:rPr>
          <w:rFonts w:ascii="Verdana" w:eastAsia="Calibri" w:hAnsi="Verdana" w:cs="Times New Roman"/>
          <w:sz w:val="20"/>
          <w:szCs w:val="20"/>
          <w:lang w:val="es-MX"/>
        </w:rPr>
      </w:pPr>
      <w:r w:rsidRPr="0027007E">
        <w:rPr>
          <w:rFonts w:ascii="Verdana" w:eastAsia="Calibri" w:hAnsi="Verdana" w:cs="Times New Roman"/>
          <w:sz w:val="20"/>
          <w:szCs w:val="20"/>
          <w:lang w:val="es-MX"/>
        </w:rPr>
        <w:t xml:space="preserve">         Juez</w:t>
      </w:r>
    </w:p>
    <w:p w14:paraId="603801E4" w14:textId="77777777" w:rsidR="0027007E" w:rsidRPr="0027007E" w:rsidRDefault="0027007E" w:rsidP="0027007E">
      <w:pPr>
        <w:spacing w:after="0" w:line="240" w:lineRule="auto"/>
        <w:rPr>
          <w:rFonts w:ascii="Cambria" w:eastAsia="MS Mincho" w:hAnsi="Cambria" w:cs="Times New Roman"/>
          <w:sz w:val="24"/>
          <w:szCs w:val="24"/>
          <w:lang w:eastAsia="es-ES"/>
        </w:rPr>
      </w:pPr>
    </w:p>
    <w:p w14:paraId="5FAD6C75" w14:textId="77777777" w:rsidR="0027007E" w:rsidRPr="0027007E" w:rsidRDefault="0027007E" w:rsidP="0027007E">
      <w:pPr>
        <w:spacing w:after="0" w:line="240" w:lineRule="auto"/>
        <w:rPr>
          <w:rFonts w:ascii="Cambria" w:eastAsia="MS Mincho" w:hAnsi="Cambria" w:cs="Times New Roman"/>
          <w:sz w:val="24"/>
          <w:szCs w:val="24"/>
          <w:lang w:eastAsia="es-ES"/>
        </w:rPr>
      </w:pPr>
    </w:p>
    <w:p w14:paraId="1B269C2C" w14:textId="77777777" w:rsidR="0027007E" w:rsidRPr="0027007E" w:rsidRDefault="0027007E" w:rsidP="0027007E">
      <w:pPr>
        <w:spacing w:after="0" w:line="240" w:lineRule="auto"/>
        <w:rPr>
          <w:rFonts w:ascii="Cambria" w:eastAsia="MS Mincho" w:hAnsi="Cambria" w:cs="Times New Roman"/>
          <w:sz w:val="24"/>
          <w:szCs w:val="24"/>
          <w:lang w:eastAsia="es-ES"/>
        </w:rPr>
      </w:pPr>
    </w:p>
    <w:p w14:paraId="33420B64" w14:textId="77777777" w:rsidR="0027007E" w:rsidRPr="0027007E" w:rsidRDefault="0027007E" w:rsidP="0027007E">
      <w:pPr>
        <w:spacing w:after="0" w:line="240" w:lineRule="auto"/>
        <w:rPr>
          <w:rFonts w:ascii="Cambria" w:eastAsia="MS Mincho" w:hAnsi="Cambria" w:cs="Times New Roman"/>
          <w:sz w:val="24"/>
          <w:szCs w:val="24"/>
          <w:lang w:eastAsia="es-ES"/>
        </w:rPr>
      </w:pPr>
    </w:p>
    <w:p w14:paraId="07BBD924" w14:textId="77777777" w:rsidR="0027007E" w:rsidRPr="0027007E" w:rsidRDefault="0027007E" w:rsidP="0027007E">
      <w:pPr>
        <w:spacing w:after="0" w:line="240" w:lineRule="auto"/>
        <w:rPr>
          <w:rFonts w:ascii="Cambria" w:eastAsia="MS Mincho" w:hAnsi="Cambria" w:cs="Times New Roman"/>
          <w:sz w:val="24"/>
          <w:szCs w:val="24"/>
          <w:lang w:eastAsia="es-ES"/>
        </w:rPr>
      </w:pPr>
    </w:p>
    <w:p w14:paraId="4C85FD70" w14:textId="77777777" w:rsidR="0027007E" w:rsidRPr="0027007E" w:rsidRDefault="0027007E" w:rsidP="0027007E">
      <w:pPr>
        <w:spacing w:after="0" w:line="240" w:lineRule="auto"/>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 xml:space="preserve">      Pablo Saavedra Alessandri</w:t>
      </w:r>
    </w:p>
    <w:p w14:paraId="4B5896D7" w14:textId="77777777" w:rsidR="0027007E" w:rsidRPr="0027007E" w:rsidRDefault="0027007E" w:rsidP="0027007E">
      <w:pPr>
        <w:spacing w:after="0" w:line="240" w:lineRule="auto"/>
        <w:rPr>
          <w:rFonts w:ascii="Verdana" w:eastAsia="MS Mincho" w:hAnsi="Verdana" w:cs="Times New Roman"/>
          <w:sz w:val="20"/>
          <w:szCs w:val="20"/>
          <w:lang w:eastAsia="es-ES"/>
        </w:rPr>
      </w:pPr>
      <w:r w:rsidRPr="0027007E">
        <w:rPr>
          <w:rFonts w:ascii="Verdana" w:eastAsia="MS Mincho" w:hAnsi="Verdana" w:cs="Times New Roman"/>
          <w:sz w:val="20"/>
          <w:szCs w:val="20"/>
          <w:lang w:eastAsia="es-ES"/>
        </w:rPr>
        <w:tab/>
        <w:t xml:space="preserve">     Secretario</w:t>
      </w:r>
    </w:p>
    <w:p w14:paraId="03FD02E0" w14:textId="77777777" w:rsidR="0027007E" w:rsidRDefault="0027007E" w:rsidP="00E86169">
      <w:pPr>
        <w:spacing w:after="0"/>
        <w:ind w:right="49"/>
        <w:jc w:val="both"/>
        <w:rPr>
          <w:rFonts w:ascii="Verdana" w:hAnsi="Verdana"/>
          <w:sz w:val="20"/>
          <w:szCs w:val="20"/>
        </w:rPr>
        <w:sectPr w:rsidR="0027007E" w:rsidSect="0027007E">
          <w:footerReference w:type="even" r:id="rId13"/>
          <w:footerReference w:type="default" r:id="rId14"/>
          <w:footnotePr>
            <w:numRestart w:val="eachSect"/>
          </w:footnotePr>
          <w:pgSz w:w="12240" w:h="15840"/>
          <w:pgMar w:top="1417" w:right="1418" w:bottom="1417" w:left="1418" w:header="708" w:footer="708" w:gutter="0"/>
          <w:pgNumType w:start="1"/>
          <w:cols w:space="708"/>
          <w:titlePg/>
          <w:docGrid w:linePitch="360"/>
        </w:sectPr>
      </w:pPr>
    </w:p>
    <w:p w14:paraId="02B9D576" w14:textId="77777777" w:rsidR="0027007E" w:rsidRDefault="0027007E" w:rsidP="0027007E">
      <w:pPr>
        <w:pStyle w:val="Title"/>
        <w:ind w:right="-138"/>
        <w:rPr>
          <w:rFonts w:eastAsia="MS Mincho"/>
          <w:lang w:val="es-CR"/>
        </w:rPr>
      </w:pPr>
    </w:p>
    <w:p w14:paraId="2E3ED421" w14:textId="77777777" w:rsidR="0027007E" w:rsidRDefault="0027007E" w:rsidP="0027007E">
      <w:pPr>
        <w:pStyle w:val="Title"/>
        <w:ind w:right="-138"/>
        <w:rPr>
          <w:rFonts w:eastAsia="MS Mincho"/>
          <w:lang w:val="es-CR"/>
        </w:rPr>
      </w:pPr>
    </w:p>
    <w:p w14:paraId="3B5CBBAD" w14:textId="77777777" w:rsidR="0027007E" w:rsidRDefault="0027007E" w:rsidP="0027007E">
      <w:pPr>
        <w:pStyle w:val="Title"/>
        <w:ind w:right="-138"/>
        <w:rPr>
          <w:rFonts w:eastAsia="MS Mincho"/>
          <w:lang w:val="es-CR"/>
        </w:rPr>
      </w:pPr>
    </w:p>
    <w:p w14:paraId="6F98A37A" w14:textId="77777777" w:rsidR="0027007E" w:rsidRDefault="0027007E" w:rsidP="0027007E">
      <w:pPr>
        <w:pStyle w:val="Title"/>
        <w:ind w:right="-138"/>
        <w:rPr>
          <w:rFonts w:eastAsia="MS Mincho"/>
          <w:lang w:val="es-CR"/>
        </w:rPr>
      </w:pPr>
    </w:p>
    <w:p w14:paraId="4DC47209" w14:textId="77777777" w:rsidR="0027007E" w:rsidRPr="00954476" w:rsidRDefault="0027007E" w:rsidP="0027007E">
      <w:pPr>
        <w:pStyle w:val="Title"/>
        <w:ind w:right="-138"/>
        <w:rPr>
          <w:rFonts w:eastAsia="MS Mincho"/>
          <w:lang w:val="es-CR"/>
        </w:rPr>
      </w:pPr>
    </w:p>
    <w:p w14:paraId="0457A0B6" w14:textId="77777777" w:rsidR="0027007E" w:rsidRPr="00954476" w:rsidRDefault="0027007E" w:rsidP="0027007E">
      <w:pPr>
        <w:pStyle w:val="Title"/>
        <w:ind w:right="-138"/>
        <w:jc w:val="center"/>
        <w:rPr>
          <w:rFonts w:eastAsia="MS Mincho"/>
        </w:rPr>
      </w:pPr>
      <w:r w:rsidRPr="00954476">
        <w:rPr>
          <w:rFonts w:eastAsia="MS Mincho"/>
          <w:lang w:val="es-CR"/>
        </w:rPr>
        <w:t>VOTO PARCIALMENTE DISIDENTE DEL JUEZ EDUARDO VIO GROSSI,</w:t>
      </w:r>
    </w:p>
    <w:p w14:paraId="30BD06A3" w14:textId="77777777" w:rsidR="0027007E" w:rsidRPr="00954476" w:rsidRDefault="0027007E" w:rsidP="0027007E">
      <w:pPr>
        <w:pStyle w:val="Title"/>
        <w:ind w:right="-138"/>
        <w:jc w:val="center"/>
        <w:rPr>
          <w:rFonts w:eastAsia="MS Mincho"/>
          <w:lang w:val="es-CR"/>
        </w:rPr>
      </w:pPr>
      <w:r w:rsidRPr="00954476">
        <w:rPr>
          <w:rFonts w:eastAsia="MS Mincho"/>
          <w:lang w:val="es-CR"/>
        </w:rPr>
        <w:t>CORTE INTERAMERICANA DE DERECHOS HUMANOS,</w:t>
      </w:r>
    </w:p>
    <w:p w14:paraId="5EB46E9C" w14:textId="77777777" w:rsidR="0027007E" w:rsidRPr="00954476" w:rsidRDefault="0027007E" w:rsidP="0027007E">
      <w:pPr>
        <w:autoSpaceDE w:val="0"/>
        <w:autoSpaceDN w:val="0"/>
        <w:adjustRightInd w:val="0"/>
        <w:spacing w:after="0" w:line="240" w:lineRule="auto"/>
        <w:jc w:val="center"/>
        <w:rPr>
          <w:rFonts w:ascii="Verdana" w:eastAsia="MS Mincho" w:hAnsi="Verdana" w:cs="Times New Roman"/>
          <w:b/>
          <w:i/>
          <w:sz w:val="20"/>
          <w:szCs w:val="20"/>
          <w:lang w:eastAsia="es-ES" w:bidi="en-US"/>
        </w:rPr>
      </w:pPr>
      <w:r w:rsidRPr="00954476">
        <w:rPr>
          <w:rFonts w:ascii="Verdana" w:eastAsia="MS Mincho" w:hAnsi="Verdana" w:cs="Times New Roman"/>
          <w:b/>
          <w:i/>
          <w:sz w:val="20"/>
          <w:szCs w:val="20"/>
          <w:lang w:eastAsia="es-ES" w:bidi="en-US"/>
        </w:rPr>
        <w:t>CASO SAN MIGUEL SOSA Y OTRAS VS. VENEZUELA</w:t>
      </w:r>
    </w:p>
    <w:p w14:paraId="4B0436E1" w14:textId="77777777" w:rsidR="0027007E" w:rsidRPr="00954476" w:rsidRDefault="0027007E" w:rsidP="0027007E">
      <w:pPr>
        <w:pStyle w:val="Title"/>
        <w:ind w:right="-138"/>
        <w:jc w:val="center"/>
        <w:rPr>
          <w:rFonts w:eastAsia="MS Mincho"/>
          <w:lang w:val="es-CR"/>
        </w:rPr>
      </w:pPr>
      <w:r w:rsidRPr="00954476">
        <w:rPr>
          <w:rFonts w:eastAsia="MS Mincho"/>
          <w:lang w:val="es-CR"/>
        </w:rPr>
        <w:t>SENTENCIA DE 8 DE FEBRERO DE 2018,</w:t>
      </w:r>
    </w:p>
    <w:p w14:paraId="7BBA3844" w14:textId="77777777" w:rsidR="0027007E" w:rsidRPr="00954476" w:rsidRDefault="0027007E" w:rsidP="0027007E">
      <w:pPr>
        <w:pStyle w:val="Title"/>
        <w:ind w:right="-138"/>
        <w:jc w:val="center"/>
        <w:rPr>
          <w:rFonts w:eastAsia="MS Mincho"/>
          <w:lang w:val="es-CR"/>
        </w:rPr>
      </w:pPr>
      <w:r w:rsidRPr="00954476">
        <w:rPr>
          <w:rFonts w:eastAsia="MS Mincho"/>
          <w:lang w:val="es-CR"/>
        </w:rPr>
        <w:t>(Fondo, Reparaciones y Costas).</w:t>
      </w:r>
    </w:p>
    <w:p w14:paraId="320D8370" w14:textId="77777777" w:rsidR="0027007E" w:rsidRPr="00954476" w:rsidRDefault="0027007E" w:rsidP="0027007E">
      <w:pPr>
        <w:pStyle w:val="Title"/>
        <w:ind w:right="-138"/>
        <w:rPr>
          <w:rFonts w:eastAsia="MS Mincho"/>
          <w:lang w:val="es-CR"/>
        </w:rPr>
      </w:pPr>
    </w:p>
    <w:p w14:paraId="4B782765" w14:textId="77777777" w:rsidR="0027007E" w:rsidRPr="00954476" w:rsidRDefault="0027007E" w:rsidP="0027007E">
      <w:pPr>
        <w:pStyle w:val="Title"/>
        <w:numPr>
          <w:ilvl w:val="0"/>
          <w:numId w:val="39"/>
        </w:numPr>
        <w:ind w:left="0" w:right="-138" w:firstLine="0"/>
        <w:rPr>
          <w:rFonts w:eastAsia="MS Mincho"/>
          <w:b w:val="0"/>
          <w:lang w:val="es-CR"/>
        </w:rPr>
      </w:pPr>
      <w:r w:rsidRPr="00954476">
        <w:rPr>
          <w:rFonts w:eastAsia="MS Mincho"/>
          <w:b w:val="0"/>
          <w:lang w:val="es-CR"/>
        </w:rPr>
        <w:t>Se expide el presente voto individual parcialmente disidente de la Sentencia del título</w:t>
      </w:r>
      <w:r w:rsidRPr="00AC1A4B">
        <w:rPr>
          <w:rFonts w:eastAsia="MS Mincho"/>
        </w:rPr>
        <w:footnoteReference w:id="381"/>
      </w:r>
      <w:r w:rsidRPr="00954476">
        <w:rPr>
          <w:rFonts w:eastAsia="MS Mincho"/>
          <w:b w:val="0"/>
          <w:lang w:val="es-CR"/>
        </w:rPr>
        <w:t>, por discrepar de ella en dos de sus puntos resolutivos. Uno, el N° 4</w:t>
      </w:r>
      <w:r w:rsidRPr="00AC1A4B">
        <w:rPr>
          <w:rFonts w:eastAsia="MS Mincho"/>
          <w:b w:val="0"/>
          <w:vertAlign w:val="superscript"/>
        </w:rPr>
        <w:footnoteReference w:id="382"/>
      </w:r>
      <w:r w:rsidRPr="00954476">
        <w:rPr>
          <w:rFonts w:eastAsia="MS Mincho"/>
          <w:b w:val="0"/>
          <w:lang w:val="es-CR"/>
        </w:rPr>
        <w:t>, concerniente al artículo 26 de la Convención Americana sobre Derechos Humanos</w:t>
      </w:r>
      <w:r w:rsidRPr="00AC1A4B">
        <w:rPr>
          <w:rFonts w:eastAsia="MS Mincho"/>
          <w:vertAlign w:val="superscript"/>
        </w:rPr>
        <w:footnoteReference w:id="383"/>
      </w:r>
      <w:r w:rsidRPr="00954476">
        <w:rPr>
          <w:rFonts w:eastAsia="MS Mincho"/>
          <w:b w:val="0"/>
          <w:lang w:val="es-CR"/>
        </w:rPr>
        <w:t xml:space="preserve"> con relación al derecho al trabajo. Y el otro, el N° 7</w:t>
      </w:r>
      <w:r w:rsidRPr="00AC1A4B">
        <w:rPr>
          <w:rFonts w:eastAsia="MS Mincho"/>
          <w:b w:val="0"/>
          <w:vertAlign w:val="superscript"/>
        </w:rPr>
        <w:footnoteReference w:id="384"/>
      </w:r>
      <w:r w:rsidRPr="00AC1A4B">
        <w:rPr>
          <w:rFonts w:eastAsia="MS Mincho"/>
          <w:b w:val="0"/>
          <w:lang w:val="es-CR"/>
        </w:rPr>
        <w:t>,</w:t>
      </w:r>
      <w:r w:rsidRPr="00954476">
        <w:rPr>
          <w:rFonts w:eastAsia="MS Mincho"/>
          <w:b w:val="0"/>
          <w:lang w:val="es-CR"/>
        </w:rPr>
        <w:t xml:space="preserve"> atingente a la no violación de las garantías judiciales con referencia a la independencia judicial. </w:t>
      </w:r>
    </w:p>
    <w:p w14:paraId="5B8C2103" w14:textId="77777777" w:rsidR="0027007E" w:rsidRPr="00954476" w:rsidRDefault="0027007E" w:rsidP="0027007E">
      <w:pPr>
        <w:pStyle w:val="Title"/>
        <w:ind w:right="-138"/>
        <w:rPr>
          <w:rFonts w:eastAsia="MS Mincho"/>
          <w:b w:val="0"/>
          <w:lang w:val="es-CR"/>
        </w:rPr>
      </w:pPr>
    </w:p>
    <w:p w14:paraId="29DB4955" w14:textId="77777777" w:rsidR="0027007E" w:rsidRPr="00954476" w:rsidRDefault="0027007E" w:rsidP="0027007E">
      <w:pPr>
        <w:pStyle w:val="Title"/>
        <w:numPr>
          <w:ilvl w:val="0"/>
          <w:numId w:val="38"/>
        </w:numPr>
        <w:ind w:right="-138"/>
        <w:rPr>
          <w:rFonts w:eastAsia="MS Mincho"/>
          <w:lang w:val="es-CR"/>
        </w:rPr>
      </w:pPr>
      <w:r w:rsidRPr="00954476">
        <w:rPr>
          <w:rFonts w:eastAsia="MS Mincho"/>
          <w:lang w:val="es-CR"/>
        </w:rPr>
        <w:t xml:space="preserve">El artículo 26. </w:t>
      </w:r>
    </w:p>
    <w:p w14:paraId="5C99022A" w14:textId="77777777" w:rsidR="0027007E" w:rsidRPr="00954476" w:rsidRDefault="0027007E" w:rsidP="0027007E">
      <w:pPr>
        <w:pStyle w:val="Title"/>
        <w:ind w:right="-138"/>
        <w:rPr>
          <w:rFonts w:eastAsia="MS Mincho"/>
          <w:lang w:val="es-CR"/>
        </w:rPr>
      </w:pPr>
    </w:p>
    <w:p w14:paraId="74F4FF9D" w14:textId="77777777" w:rsidR="0027007E" w:rsidRPr="00954476" w:rsidRDefault="0027007E" w:rsidP="0027007E">
      <w:pPr>
        <w:pStyle w:val="Title"/>
        <w:numPr>
          <w:ilvl w:val="0"/>
          <w:numId w:val="39"/>
        </w:numPr>
        <w:ind w:left="0" w:right="-138" w:firstLine="0"/>
        <w:rPr>
          <w:rFonts w:eastAsia="MS Mincho"/>
          <w:b w:val="0"/>
          <w:lang w:val="es-CR"/>
        </w:rPr>
      </w:pPr>
      <w:r w:rsidRPr="00954476">
        <w:rPr>
          <w:rFonts w:eastAsia="MS Mincho"/>
          <w:b w:val="0"/>
          <w:lang w:val="es-CR"/>
        </w:rPr>
        <w:t>Como se ha expresado en otras dos ocasiones</w:t>
      </w:r>
      <w:r w:rsidRPr="00AC1A4B">
        <w:rPr>
          <w:rFonts w:eastAsia="MS Mincho"/>
          <w:b w:val="0"/>
          <w:vertAlign w:val="superscript"/>
        </w:rPr>
        <w:footnoteReference w:id="385"/>
      </w:r>
      <w:r w:rsidRPr="00954476">
        <w:rPr>
          <w:rFonts w:eastAsia="MS Mincho"/>
          <w:b w:val="0"/>
          <w:lang w:val="es-CR"/>
        </w:rPr>
        <w:t xml:space="preserve">, en este voto se estima improcedente la referencia al artículo 26 de la Convención para justificar la </w:t>
      </w:r>
      <w:proofErr w:type="spellStart"/>
      <w:r w:rsidRPr="00954476">
        <w:rPr>
          <w:rFonts w:eastAsia="MS Mincho"/>
          <w:b w:val="0"/>
          <w:lang w:val="es-CR"/>
        </w:rPr>
        <w:t>justiciabilidad</w:t>
      </w:r>
      <w:proofErr w:type="spellEnd"/>
      <w:r w:rsidRPr="00954476">
        <w:rPr>
          <w:rFonts w:eastAsia="MS Mincho"/>
          <w:b w:val="0"/>
          <w:lang w:val="es-CR"/>
        </w:rPr>
        <w:t>, por parte de la Corte Interamericana de Derechos Humanos</w:t>
      </w:r>
      <w:r w:rsidRPr="00AC1A4B">
        <w:rPr>
          <w:rFonts w:eastAsia="MS Mincho"/>
          <w:b w:val="0"/>
          <w:vertAlign w:val="superscript"/>
        </w:rPr>
        <w:footnoteReference w:id="386"/>
      </w:r>
      <w:r w:rsidRPr="00954476">
        <w:rPr>
          <w:rFonts w:eastAsia="MS Mincho"/>
          <w:b w:val="0"/>
          <w:lang w:val="es-CR"/>
        </w:rPr>
        <w:t>, de eventuales violaciones</w:t>
      </w:r>
      <w:r>
        <w:rPr>
          <w:rFonts w:eastAsia="MS Mincho"/>
          <w:b w:val="0"/>
          <w:lang w:val="es-CR"/>
        </w:rPr>
        <w:t>, por arte de la República Bolivariana de Venezuela</w:t>
      </w:r>
      <w:r w:rsidRPr="00AC1A4B">
        <w:rPr>
          <w:rFonts w:eastAsia="MS Mincho"/>
          <w:b w:val="0"/>
          <w:vertAlign w:val="superscript"/>
        </w:rPr>
        <w:footnoteReference w:id="387"/>
      </w:r>
      <w:r w:rsidRPr="00AC1A4B">
        <w:rPr>
          <w:rFonts w:eastAsia="MS Mincho"/>
          <w:b w:val="0"/>
          <w:vertAlign w:val="superscript"/>
          <w:lang w:val="es-CR"/>
        </w:rPr>
        <w:t xml:space="preserve"> </w:t>
      </w:r>
      <w:r w:rsidRPr="00954476">
        <w:rPr>
          <w:rFonts w:eastAsia="MS Mincho"/>
          <w:b w:val="0"/>
          <w:lang w:val="es-CR"/>
        </w:rPr>
        <w:t xml:space="preserve">al Derecho al Trabajo. Las razones  para ello fueron especialmente expuestas en el voto disidente emitido en el </w:t>
      </w:r>
      <w:r w:rsidRPr="00954476">
        <w:rPr>
          <w:b w:val="0"/>
          <w:i/>
          <w:spacing w:val="-12"/>
          <w:lang w:val="es-VE"/>
        </w:rPr>
        <w:t xml:space="preserve">Caso </w:t>
      </w:r>
      <w:r w:rsidRPr="00AC1A4B">
        <w:rPr>
          <w:b w:val="0"/>
          <w:i/>
          <w:spacing w:val="-12"/>
          <w:lang w:val="es-VE"/>
        </w:rPr>
        <w:t>Lagos del Campo Vs. Perú,</w:t>
      </w:r>
      <w:r w:rsidRPr="00954476">
        <w:rPr>
          <w:bCs/>
          <w:i/>
          <w:spacing w:val="-12"/>
          <w:lang w:val="es-VE"/>
        </w:rPr>
        <w:t xml:space="preserve"> </w:t>
      </w:r>
      <w:r w:rsidRPr="00954476">
        <w:rPr>
          <w:rFonts w:eastAsia="MS Mincho"/>
          <w:b w:val="0"/>
          <w:lang w:val="es-CR"/>
        </w:rPr>
        <w:t>las que se dan por reproducidas.</w:t>
      </w:r>
    </w:p>
    <w:p w14:paraId="75FF1BA0" w14:textId="77777777" w:rsidR="0027007E" w:rsidRPr="00954476" w:rsidRDefault="0027007E" w:rsidP="0027007E">
      <w:pPr>
        <w:pStyle w:val="Title"/>
        <w:ind w:right="-138"/>
        <w:rPr>
          <w:rFonts w:eastAsia="MS Mincho"/>
          <w:b w:val="0"/>
          <w:lang w:val="es-CR"/>
        </w:rPr>
      </w:pPr>
    </w:p>
    <w:p w14:paraId="56D3B10D" w14:textId="77777777" w:rsidR="0027007E" w:rsidRPr="00522E82" w:rsidRDefault="0027007E" w:rsidP="0027007E">
      <w:pPr>
        <w:pStyle w:val="Title"/>
        <w:numPr>
          <w:ilvl w:val="0"/>
          <w:numId w:val="39"/>
        </w:numPr>
        <w:ind w:left="0" w:right="-138" w:firstLine="0"/>
        <w:rPr>
          <w:b w:val="0"/>
          <w:lang w:val="es-ES"/>
        </w:rPr>
      </w:pPr>
      <w:r w:rsidRPr="00522E82">
        <w:rPr>
          <w:rFonts w:eastAsia="MS Mincho"/>
          <w:b w:val="0"/>
          <w:lang w:val="es-CR"/>
        </w:rPr>
        <w:t>Sin perjuicio de ello, se insiste en que</w:t>
      </w:r>
      <w:r w:rsidRPr="00522E82">
        <w:rPr>
          <w:b w:val="0"/>
          <w:lang w:val="es-ES"/>
        </w:rPr>
        <w:t xml:space="preserve"> “</w:t>
      </w:r>
      <w:r w:rsidRPr="00522E82">
        <w:rPr>
          <w:b w:val="0"/>
          <w:i/>
          <w:lang w:val="es-ES"/>
        </w:rPr>
        <w:t>los únicos derechos susceptibles de ser objeto del sistema de protección previsto en la Convención, son los “reconocidos” en ella; que el artículo 26</w:t>
      </w:r>
      <w:r w:rsidRPr="00522E82">
        <w:rPr>
          <w:rStyle w:val="FootnoteReference"/>
          <w:b w:val="0"/>
          <w:i/>
          <w:lang w:val="es-ES"/>
        </w:rPr>
        <w:footnoteReference w:id="388"/>
      </w:r>
      <w:r w:rsidRPr="00522E82">
        <w:rPr>
          <w:b w:val="0"/>
          <w:i/>
          <w:lang w:val="es-ES"/>
        </w:rPr>
        <w:t xml:space="preserve"> de esta última no se refiere a tales derechos, sino a los que “derivan de las normas económicas, sociales y sobre educación, ciencia y cultura, contenidas en la Carta de </w:t>
      </w:r>
      <w:r w:rsidRPr="00522E82">
        <w:rPr>
          <w:b w:val="0"/>
          <w:i/>
          <w:lang w:val="es-ES"/>
        </w:rPr>
        <w:lastRenderedPageBreak/>
        <w:t>la Organización de los Estados Americanos”; que lo que dispone el citado artículo 26 es la obligación de los Estados de adoptar medidas en vista de lograr progresivamente la plena efectividad de los derechos a que se refiere y ello en la medida de los recursos disponibles; y, finalmente y en consecuencia, que si bien esos derechos existen, no son susceptibles de ser judicializados ante la Corte, salvo que así lo contemple algún tratado, como acontece, por ejemplo, con el Protocolo de San Salvador, pero únicamente respecto al derecho de organizar sindicatos y a afiliarse en ellos y al derecho a la educación.</w:t>
      </w:r>
      <w:r w:rsidRPr="00522E82">
        <w:rPr>
          <w:b w:val="0"/>
          <w:lang w:val="es-ES"/>
        </w:rPr>
        <w:t>” Asimismo se reitera que “</w:t>
      </w:r>
      <w:r w:rsidRPr="00522E82">
        <w:rPr>
          <w:b w:val="0"/>
          <w:i/>
          <w:lang w:val="es-ES"/>
        </w:rPr>
        <w:t>se debe procurar no dejar margen alguno para que se perciba que, en alguna medida, se estaría alterando el principio de que ningún Estado puede ser llevado a un tribunal internacional sin su consentimiento</w:t>
      </w:r>
      <w:r w:rsidRPr="00522E82">
        <w:rPr>
          <w:b w:val="0"/>
          <w:lang w:val="es-ES"/>
        </w:rPr>
        <w:t>”</w:t>
      </w:r>
      <w:r w:rsidRPr="00522E82">
        <w:rPr>
          <w:rStyle w:val="FootnoteReference"/>
          <w:b w:val="0"/>
          <w:lang w:val="es-ES"/>
        </w:rPr>
        <w:footnoteReference w:id="389"/>
      </w:r>
      <w:r w:rsidRPr="00522E82">
        <w:rPr>
          <w:b w:val="0"/>
          <w:lang w:val="es-ES"/>
        </w:rPr>
        <w:t>.</w:t>
      </w:r>
    </w:p>
    <w:p w14:paraId="123C172B" w14:textId="77777777" w:rsidR="0027007E" w:rsidRPr="00954476" w:rsidRDefault="0027007E" w:rsidP="0027007E">
      <w:pPr>
        <w:pStyle w:val="ListParagraph"/>
        <w:ind w:left="0"/>
        <w:jc w:val="both"/>
        <w:rPr>
          <w:rFonts w:ascii="Verdana" w:hAnsi="Verdana"/>
          <w:sz w:val="20"/>
          <w:lang w:val="es-ES"/>
        </w:rPr>
      </w:pPr>
    </w:p>
    <w:p w14:paraId="26517F20" w14:textId="77777777" w:rsidR="0027007E" w:rsidRPr="00522E82" w:rsidRDefault="0027007E" w:rsidP="0027007E">
      <w:pPr>
        <w:pStyle w:val="Title"/>
        <w:numPr>
          <w:ilvl w:val="0"/>
          <w:numId w:val="39"/>
        </w:numPr>
        <w:ind w:left="0" w:right="-138" w:firstLine="0"/>
        <w:rPr>
          <w:b w:val="0"/>
          <w:lang w:val="es-ES"/>
        </w:rPr>
      </w:pPr>
      <w:r w:rsidRPr="00522E82">
        <w:rPr>
          <w:b w:val="0"/>
          <w:lang w:val="es-ES"/>
        </w:rPr>
        <w:t xml:space="preserve">De </w:t>
      </w:r>
      <w:r w:rsidRPr="00522E82">
        <w:rPr>
          <w:rFonts w:eastAsia="MS Mincho"/>
          <w:b w:val="0"/>
          <w:lang w:val="es-CR"/>
        </w:rPr>
        <w:t>suerte</w:t>
      </w:r>
      <w:r w:rsidRPr="00522E82">
        <w:rPr>
          <w:b w:val="0"/>
          <w:lang w:val="es-ES"/>
        </w:rPr>
        <w:t>, en consecuencia, que, correspondiéndole a la Corte conocer únicamente los casos “</w:t>
      </w:r>
      <w:r w:rsidRPr="00522E82">
        <w:rPr>
          <w:b w:val="0"/>
          <w:i/>
          <w:lang w:val="es-ES"/>
        </w:rPr>
        <w:t>relativo</w:t>
      </w:r>
      <w:r w:rsidRPr="00522E82">
        <w:rPr>
          <w:b w:val="0"/>
          <w:lang w:val="es-ES"/>
        </w:rPr>
        <w:t xml:space="preserve">(s) </w:t>
      </w:r>
      <w:r w:rsidRPr="00522E82">
        <w:rPr>
          <w:b w:val="0"/>
          <w:i/>
          <w:lang w:val="es-ES"/>
        </w:rPr>
        <w:t xml:space="preserve">a la interpretación y aplicación de las disposiciones de </w:t>
      </w:r>
      <w:r w:rsidRPr="00522E82">
        <w:rPr>
          <w:b w:val="0"/>
          <w:lang w:val="es-ES"/>
        </w:rPr>
        <w:t>(la)</w:t>
      </w:r>
      <w:r w:rsidRPr="00522E82">
        <w:rPr>
          <w:b w:val="0"/>
          <w:i/>
          <w:lang w:val="es-ES"/>
        </w:rPr>
        <w:t xml:space="preserve"> Convención que le sea</w:t>
      </w:r>
      <w:r w:rsidRPr="00522E82">
        <w:rPr>
          <w:b w:val="0"/>
          <w:lang w:val="es-ES"/>
        </w:rPr>
        <w:t>(n)</w:t>
      </w:r>
      <w:r w:rsidRPr="00522E82">
        <w:rPr>
          <w:b w:val="0"/>
          <w:i/>
          <w:lang w:val="es-ES"/>
        </w:rPr>
        <w:t xml:space="preserve"> sometido</w:t>
      </w:r>
      <w:r w:rsidRPr="00522E82">
        <w:rPr>
          <w:b w:val="0"/>
          <w:lang w:val="es-ES"/>
        </w:rPr>
        <w:t>(s)</w:t>
      </w:r>
      <w:r w:rsidRPr="00522E82">
        <w:rPr>
          <w:b w:val="0"/>
          <w:i/>
          <w:lang w:val="es-ES"/>
        </w:rPr>
        <w:t>”</w:t>
      </w:r>
      <w:r w:rsidRPr="00522E82">
        <w:rPr>
          <w:rStyle w:val="FootnoteReference"/>
          <w:b w:val="0"/>
          <w:lang w:val="es-ES"/>
        </w:rPr>
        <w:footnoteReference w:id="390"/>
      </w:r>
      <w:r w:rsidRPr="00522E82">
        <w:rPr>
          <w:b w:val="0"/>
          <w:lang w:val="es-ES"/>
        </w:rPr>
        <w:t>, es obvio que no le compete juzgar aquellos que no implican interpretar y aplicar esta última, como acontece en la presente causa.</w:t>
      </w:r>
    </w:p>
    <w:p w14:paraId="1F86B270" w14:textId="77777777" w:rsidR="0027007E" w:rsidRPr="00954476" w:rsidRDefault="0027007E" w:rsidP="0027007E">
      <w:pPr>
        <w:pStyle w:val="ListParagraph"/>
        <w:ind w:left="0"/>
        <w:jc w:val="both"/>
        <w:rPr>
          <w:rFonts w:ascii="Verdana" w:hAnsi="Verdana"/>
          <w:i/>
          <w:sz w:val="20"/>
          <w:lang w:val="es-ES"/>
        </w:rPr>
      </w:pPr>
    </w:p>
    <w:p w14:paraId="0D7834ED" w14:textId="77777777" w:rsidR="0027007E" w:rsidRPr="001E429C" w:rsidRDefault="0027007E" w:rsidP="0027007E">
      <w:pPr>
        <w:pStyle w:val="Title"/>
        <w:numPr>
          <w:ilvl w:val="0"/>
          <w:numId w:val="38"/>
        </w:numPr>
        <w:ind w:right="-138"/>
        <w:rPr>
          <w:b w:val="0"/>
          <w:i/>
          <w:lang w:val="es-ES"/>
        </w:rPr>
      </w:pPr>
      <w:r w:rsidRPr="00954476">
        <w:rPr>
          <w:lang w:val="es-ES"/>
        </w:rPr>
        <w:t>No violación de las garantías judiciales.</w:t>
      </w:r>
    </w:p>
    <w:p w14:paraId="57933174" w14:textId="77777777" w:rsidR="0027007E" w:rsidRDefault="0027007E" w:rsidP="0027007E">
      <w:pPr>
        <w:pBdr>
          <w:top w:val="nil"/>
        </w:pBdr>
        <w:autoSpaceDE w:val="0"/>
        <w:autoSpaceDN w:val="0"/>
        <w:adjustRightInd w:val="0"/>
        <w:spacing w:after="0" w:line="240" w:lineRule="auto"/>
        <w:jc w:val="both"/>
        <w:rPr>
          <w:rFonts w:ascii="Verdana" w:hAnsi="Verdana"/>
          <w:i/>
          <w:sz w:val="20"/>
          <w:szCs w:val="20"/>
          <w:lang w:val="es-ES"/>
        </w:rPr>
      </w:pPr>
    </w:p>
    <w:p w14:paraId="44DD0250" w14:textId="77777777" w:rsidR="0027007E" w:rsidRPr="00522E82" w:rsidRDefault="0027007E" w:rsidP="0027007E">
      <w:pPr>
        <w:pStyle w:val="Title"/>
        <w:numPr>
          <w:ilvl w:val="0"/>
          <w:numId w:val="39"/>
        </w:numPr>
        <w:ind w:left="0" w:right="-138" w:firstLine="0"/>
        <w:rPr>
          <w:rFonts w:cs="BookAntiqua"/>
          <w:b w:val="0"/>
        </w:rPr>
      </w:pPr>
      <w:r w:rsidRPr="00522E82">
        <w:rPr>
          <w:b w:val="0"/>
          <w:lang w:val="es-ES"/>
        </w:rPr>
        <w:t>Con relación al Resolutivo N° 7, en la Sentencia se indica</w:t>
      </w:r>
      <w:r w:rsidRPr="00522E82">
        <w:rPr>
          <w:rFonts w:eastAsia="Calibri" w:cs="BookAntiqua,Italic"/>
          <w:b w:val="0"/>
          <w:iCs/>
          <w:lang w:eastAsia="es-CR"/>
        </w:rPr>
        <w:t xml:space="preserve"> que</w:t>
      </w:r>
      <w:r w:rsidRPr="00522E82">
        <w:rPr>
          <w:rFonts w:eastAsia="Calibri" w:cs="BookAntiqua,Italic"/>
          <w:b w:val="0"/>
          <w:i/>
          <w:iCs/>
          <w:lang w:eastAsia="es-CR"/>
        </w:rPr>
        <w:t xml:space="preserve"> “no pueden considerarse efectivos aquellos recursos que, por las condiciones generales del país o incluso por las circunstancias particulares de un caso dado, resulten ilusorios. Ello puede ocurrir, por ejemplo, cuando su inutilidad haya quedado demostrada por la práctica, porque el Poder Judicial carezca de la independencia necesaria para decidir con imparcialidad o por cualquier otra situación que configure un cuadro de denegación de justicia”. </w:t>
      </w:r>
      <w:r w:rsidRPr="00522E82">
        <w:rPr>
          <w:rFonts w:eastAsia="Calibri" w:cs="BookAntiqua,Italic"/>
          <w:b w:val="0"/>
          <w:iCs/>
          <w:lang w:eastAsia="es-CR"/>
        </w:rPr>
        <w:t>Y añade que,</w:t>
      </w:r>
      <w:r w:rsidRPr="00522E82">
        <w:rPr>
          <w:rFonts w:eastAsia="Calibri" w:cs="BookAntiqua,Italic"/>
          <w:b w:val="0"/>
          <w:i/>
          <w:iCs/>
          <w:lang w:eastAsia="es-CR"/>
        </w:rPr>
        <w:t xml:space="preserve"> “(s)in perjuicio de ello, </w:t>
      </w:r>
      <w:r w:rsidRPr="00522E82">
        <w:rPr>
          <w:rFonts w:cs="BookAntiqua"/>
          <w:b w:val="0"/>
          <w:i/>
        </w:rPr>
        <w:t>no basta con realizar una mención general a un alegado contexto para que sea posible concluir que existía una vulneración a la independencia e imparcialidad en determinado proceso, por lo que es necesario que se presenten argumentos concretos para considerar tal hipótesis</w:t>
      </w:r>
      <w:r w:rsidRPr="00522E82">
        <w:rPr>
          <w:rFonts w:cs="BookAntiqua"/>
          <w:b w:val="0"/>
        </w:rPr>
        <w:t>”</w:t>
      </w:r>
      <w:r w:rsidRPr="00522E82">
        <w:rPr>
          <w:rStyle w:val="FootnoteReference"/>
          <w:rFonts w:cs="BookAntiqua"/>
          <w:b w:val="0"/>
        </w:rPr>
        <w:footnoteReference w:id="391"/>
      </w:r>
      <w:r w:rsidRPr="00522E82">
        <w:rPr>
          <w:rFonts w:cs="BookAntiqua"/>
          <w:b w:val="0"/>
        </w:rPr>
        <w:t xml:space="preserve">. </w:t>
      </w:r>
    </w:p>
    <w:p w14:paraId="6DAE825D" w14:textId="77777777" w:rsidR="0027007E" w:rsidRPr="001E429C" w:rsidRDefault="0027007E" w:rsidP="0027007E">
      <w:pPr>
        <w:pBdr>
          <w:top w:val="nil"/>
        </w:pBdr>
        <w:autoSpaceDE w:val="0"/>
        <w:autoSpaceDN w:val="0"/>
        <w:adjustRightInd w:val="0"/>
        <w:spacing w:after="0" w:line="240" w:lineRule="auto"/>
        <w:jc w:val="both"/>
        <w:rPr>
          <w:rFonts w:ascii="Verdana" w:hAnsi="Verdana" w:cs="BookAntiqua"/>
          <w:sz w:val="20"/>
          <w:szCs w:val="20"/>
        </w:rPr>
      </w:pPr>
    </w:p>
    <w:p w14:paraId="5ACC18AD" w14:textId="77777777" w:rsidR="0027007E" w:rsidRPr="00522E82" w:rsidRDefault="0027007E" w:rsidP="0027007E">
      <w:pPr>
        <w:pStyle w:val="Title"/>
        <w:numPr>
          <w:ilvl w:val="0"/>
          <w:numId w:val="39"/>
        </w:numPr>
        <w:ind w:left="0" w:right="-138" w:firstLine="0"/>
        <w:rPr>
          <w:b w:val="0"/>
        </w:rPr>
      </w:pPr>
      <w:r w:rsidRPr="00522E82">
        <w:rPr>
          <w:rFonts w:cs="BookAntiqua"/>
          <w:b w:val="0"/>
        </w:rPr>
        <w:t xml:space="preserve">En </w:t>
      </w:r>
      <w:r w:rsidRPr="00522E82">
        <w:rPr>
          <w:rFonts w:eastAsia="Calibri" w:cs="BookAntiqua,Italic"/>
          <w:b w:val="0"/>
          <w:iCs/>
          <w:lang w:eastAsia="es-CR"/>
        </w:rPr>
        <w:t>razón</w:t>
      </w:r>
      <w:r w:rsidRPr="00522E82">
        <w:rPr>
          <w:rFonts w:cs="BookAntiqua"/>
          <w:b w:val="0"/>
        </w:rPr>
        <w:t xml:space="preserve"> de lo último indicado, en la Sentencia se concluye en </w:t>
      </w:r>
      <w:r w:rsidRPr="00522E82">
        <w:rPr>
          <w:b w:val="0"/>
          <w:i/>
          <w:lang w:val="es-ES"/>
        </w:rPr>
        <w:t>“</w:t>
      </w:r>
      <w:r w:rsidRPr="00522E82">
        <w:rPr>
          <w:b w:val="0"/>
          <w:i/>
        </w:rPr>
        <w:t>que no han sido aportados elementos específicos para el presente caso que permitan analizar si en los hechos relacionados con la acción de amparo o la denuncia penal, intentados por las presuntas víctimas, las autoridades judiciales faltaron a su obligación de actuar y decidir con independencia, en los términos del 8 de la Convención, por lo cual la alegada responsabilidad del Estado en este sentido no ha sido demostrada”</w:t>
      </w:r>
      <w:r w:rsidRPr="00522E82">
        <w:rPr>
          <w:rStyle w:val="FootnoteReference"/>
          <w:b w:val="0"/>
        </w:rPr>
        <w:footnoteReference w:id="392"/>
      </w:r>
      <w:r w:rsidRPr="00522E82">
        <w:rPr>
          <w:b w:val="0"/>
          <w:i/>
        </w:rPr>
        <w:t>.</w:t>
      </w:r>
    </w:p>
    <w:p w14:paraId="62DB9E74" w14:textId="77777777" w:rsidR="0027007E" w:rsidRPr="001E429C" w:rsidRDefault="0027007E" w:rsidP="0027007E">
      <w:pPr>
        <w:pBdr>
          <w:top w:val="nil"/>
        </w:pBdr>
        <w:autoSpaceDE w:val="0"/>
        <w:autoSpaceDN w:val="0"/>
        <w:adjustRightInd w:val="0"/>
        <w:spacing w:after="0" w:line="240" w:lineRule="auto"/>
        <w:jc w:val="both"/>
        <w:rPr>
          <w:rFonts w:ascii="Verdana" w:hAnsi="Verdana"/>
          <w:sz w:val="20"/>
          <w:szCs w:val="20"/>
        </w:rPr>
      </w:pPr>
    </w:p>
    <w:p w14:paraId="1E5AC0C7" w14:textId="77777777" w:rsidR="0027007E" w:rsidRPr="00522E82" w:rsidRDefault="0027007E" w:rsidP="0027007E">
      <w:pPr>
        <w:pStyle w:val="Title"/>
        <w:numPr>
          <w:ilvl w:val="0"/>
          <w:numId w:val="39"/>
        </w:numPr>
        <w:ind w:left="0" w:right="-138" w:firstLine="0"/>
        <w:rPr>
          <w:b w:val="0"/>
          <w:i/>
        </w:rPr>
      </w:pPr>
      <w:r w:rsidRPr="00522E82">
        <w:rPr>
          <w:b w:val="0"/>
        </w:rPr>
        <w:t xml:space="preserve">Sin </w:t>
      </w:r>
      <w:r w:rsidRPr="00522E82">
        <w:rPr>
          <w:rFonts w:cs="BookAntiqua"/>
          <w:b w:val="0"/>
        </w:rPr>
        <w:t>embargo</w:t>
      </w:r>
      <w:r w:rsidRPr="00522E82">
        <w:rPr>
          <w:b w:val="0"/>
        </w:rPr>
        <w:t>, tal categórica afirmación no se condice, por de pronto, con lo manifestado previamente por la propia Sentencia</w:t>
      </w:r>
      <w:r w:rsidRPr="00522E82">
        <w:rPr>
          <w:rFonts w:cs="Arial"/>
          <w:b w:val="0"/>
        </w:rPr>
        <w:t>, a saber,</w:t>
      </w:r>
      <w:r w:rsidRPr="00522E82">
        <w:rPr>
          <w:b w:val="0"/>
          <w:spacing w:val="-3"/>
        </w:rPr>
        <w:t xml:space="preserve"> que</w:t>
      </w:r>
      <w:r w:rsidRPr="00522E82">
        <w:rPr>
          <w:b w:val="0"/>
          <w:i/>
          <w:spacing w:val="-3"/>
        </w:rPr>
        <w:t xml:space="preserve"> “</w:t>
      </w:r>
      <w:r w:rsidRPr="00522E82">
        <w:rPr>
          <w:b w:val="0"/>
          <w:i/>
        </w:rPr>
        <w:t xml:space="preserve">constan seis declaraciones del propio Presidente de la República y de otros altos funcionarios públicos realizadas en ese período, en que se llama a la ciudadanía a revisar la lista </w:t>
      </w:r>
      <w:proofErr w:type="spellStart"/>
      <w:r w:rsidRPr="00522E82">
        <w:rPr>
          <w:b w:val="0"/>
          <w:i/>
        </w:rPr>
        <w:t>Tascón</w:t>
      </w:r>
      <w:proofErr w:type="spellEnd"/>
      <w:r w:rsidRPr="00522E82">
        <w:rPr>
          <w:b w:val="0"/>
          <w:i/>
        </w:rPr>
        <w:t xml:space="preserve"> para que “salgan los rostros”, acusando a los firmantes de traición e incluso de terrorismo y amenazando con “botar” (despedir) o trasladar a los funcionarios que hubiesen firmado” </w:t>
      </w:r>
      <w:r w:rsidRPr="00522E82">
        <w:rPr>
          <w:b w:val="0"/>
        </w:rPr>
        <w:t>y que</w:t>
      </w:r>
      <w:r w:rsidRPr="00522E82">
        <w:rPr>
          <w:b w:val="0"/>
          <w:i/>
        </w:rPr>
        <w:t xml:space="preserve"> “(l)los </w:t>
      </w:r>
      <w:r w:rsidRPr="00522E82">
        <w:rPr>
          <w:b w:val="0"/>
          <w:i/>
        </w:rPr>
        <w:lastRenderedPageBreak/>
        <w:t>contenidos de tales declaraciones reflejan formas de presión para no firmar y amenazas de represalias para quienes lo hicieron”</w:t>
      </w:r>
      <w:r w:rsidRPr="00522E82">
        <w:rPr>
          <w:rStyle w:val="FootnoteReference"/>
          <w:b w:val="0"/>
          <w:i/>
        </w:rPr>
        <w:footnoteReference w:id="393"/>
      </w:r>
      <w:r w:rsidRPr="00522E82">
        <w:rPr>
          <w:b w:val="0"/>
          <w:i/>
        </w:rPr>
        <w:t>.</w:t>
      </w:r>
    </w:p>
    <w:p w14:paraId="1AA256B5" w14:textId="77777777" w:rsidR="0027007E" w:rsidRDefault="0027007E" w:rsidP="0027007E">
      <w:pPr>
        <w:pBdr>
          <w:top w:val="nil"/>
        </w:pBdr>
        <w:spacing w:after="0" w:line="240" w:lineRule="auto"/>
        <w:jc w:val="both"/>
        <w:rPr>
          <w:rFonts w:ascii="Verdana" w:hAnsi="Verdana"/>
          <w:i/>
          <w:sz w:val="20"/>
          <w:szCs w:val="20"/>
        </w:rPr>
      </w:pPr>
    </w:p>
    <w:p w14:paraId="60E50B02" w14:textId="77777777" w:rsidR="0027007E" w:rsidRPr="00522E82" w:rsidRDefault="0027007E" w:rsidP="0027007E">
      <w:pPr>
        <w:pStyle w:val="Title"/>
        <w:numPr>
          <w:ilvl w:val="0"/>
          <w:numId w:val="39"/>
        </w:numPr>
        <w:ind w:left="0" w:right="-138" w:firstLine="0"/>
        <w:rPr>
          <w:b w:val="0"/>
          <w:spacing w:val="-3"/>
        </w:rPr>
      </w:pPr>
      <w:r w:rsidRPr="00522E82">
        <w:rPr>
          <w:b w:val="0"/>
        </w:rPr>
        <w:t>Tampoco</w:t>
      </w:r>
      <w:r w:rsidRPr="00522E82">
        <w:rPr>
          <w:b w:val="0"/>
          <w:spacing w:val="-3"/>
        </w:rPr>
        <w:t xml:space="preserve"> lo decidido en la Sentencia se corresponde con su afirmación en cuanto a que </w:t>
      </w:r>
      <w:r w:rsidRPr="00522E82">
        <w:rPr>
          <w:b w:val="0"/>
          <w:i/>
          <w:spacing w:val="-3"/>
        </w:rPr>
        <w:t>“</w:t>
      </w:r>
      <w:r w:rsidRPr="00522E82">
        <w:rPr>
          <w:b w:val="0"/>
          <w:i/>
        </w:rPr>
        <w:t xml:space="preserve">(a)demás, fue aportada información que indica que los hechos del presente caso no fueron aislados, pues la materialización de tales amenazas constaría en informes de organizaciones no gubernamentales internacionales y venezolanas, así como en declaraciones o reportajes publicados en medios de comunicación y en testimonios rendidos ante la Corte, que refirieron o documentaron casos de despidos de trabajadores o funcionarios de diversas instituciones públicas que habrían estado motivados por su participación en la solicitud de referendo revocatorio”. </w:t>
      </w:r>
      <w:r w:rsidRPr="00522E82">
        <w:rPr>
          <w:b w:val="0"/>
        </w:rPr>
        <w:t xml:space="preserve">El fallo igualmente señala que </w:t>
      </w:r>
      <w:r w:rsidRPr="00522E82">
        <w:rPr>
          <w:b w:val="0"/>
          <w:i/>
        </w:rPr>
        <w:t>“(t</w:t>
      </w:r>
      <w:proofErr w:type="gramStart"/>
      <w:r w:rsidRPr="00522E82">
        <w:rPr>
          <w:b w:val="0"/>
          <w:i/>
        </w:rPr>
        <w:t>)</w:t>
      </w:r>
      <w:proofErr w:type="spellStart"/>
      <w:r w:rsidRPr="00522E82">
        <w:rPr>
          <w:b w:val="0"/>
          <w:i/>
        </w:rPr>
        <w:t>ambién</w:t>
      </w:r>
      <w:proofErr w:type="spellEnd"/>
      <w:proofErr w:type="gramEnd"/>
      <w:r w:rsidRPr="00522E82">
        <w:rPr>
          <w:b w:val="0"/>
          <w:i/>
        </w:rPr>
        <w:t xml:space="preserve"> fue aportada información sobre denuncias de personas que habrían sido coaccionadas para evitar que firmaran o para que, si ya lo habían hecho, después no revalidaran su firma, así como testimonios que refieren a situaciones de rechazo de solicitudes de trabajo en cargos públicos a firmantes o a la prohibición de que éstos fuesen beneficiarios de ciertos programas de asistencia social”. </w:t>
      </w:r>
      <w:r w:rsidRPr="00522E82">
        <w:rPr>
          <w:b w:val="0"/>
        </w:rPr>
        <w:t xml:space="preserve">Y agrega que </w:t>
      </w:r>
      <w:r w:rsidRPr="00522E82">
        <w:rPr>
          <w:b w:val="0"/>
          <w:i/>
        </w:rPr>
        <w:t>“(s</w:t>
      </w:r>
      <w:proofErr w:type="gramStart"/>
      <w:r w:rsidRPr="00522E82">
        <w:rPr>
          <w:b w:val="0"/>
          <w:i/>
        </w:rPr>
        <w:t>)e</w:t>
      </w:r>
      <w:proofErr w:type="gramEnd"/>
      <w:r w:rsidRPr="00522E82">
        <w:rPr>
          <w:b w:val="0"/>
          <w:i/>
        </w:rPr>
        <w:t xml:space="preserve"> refirió que jueces e inspectores de trabajo no modificaban las decisiones de despidos o terminaciones de contratos y que la Fiscalía General de la República o la Defensoría del Pueblo</w:t>
      </w:r>
      <w:r w:rsidRPr="00522E82">
        <w:rPr>
          <w:rStyle w:val="FootnoteReference"/>
          <w:b w:val="0"/>
          <w:i/>
        </w:rPr>
        <w:t xml:space="preserve"> </w:t>
      </w:r>
      <w:r w:rsidRPr="00522E82">
        <w:rPr>
          <w:b w:val="0"/>
          <w:i/>
        </w:rPr>
        <w:t xml:space="preserve">tampoco habrían intervenido en ese sentido”, </w:t>
      </w:r>
      <w:r w:rsidRPr="00522E82">
        <w:rPr>
          <w:b w:val="0"/>
        </w:rPr>
        <w:t>concluyendo en que “(</w:t>
      </w:r>
      <w:r w:rsidRPr="00522E82">
        <w:rPr>
          <w:b w:val="0"/>
          <w:i/>
        </w:rPr>
        <w:t>d)e hecho, posteriormente el propio Fiscal General de la República reconocería la posible existencia de múltiples denuncias al ordenar, en abril de 2005, la apertura de una investigación por casos de discriminación política”</w:t>
      </w:r>
      <w:r w:rsidRPr="00522E82">
        <w:rPr>
          <w:rStyle w:val="FootnoteReference"/>
          <w:b w:val="0"/>
          <w:i/>
        </w:rPr>
        <w:footnoteReference w:id="394"/>
      </w:r>
    </w:p>
    <w:p w14:paraId="4DE440D7" w14:textId="77777777" w:rsidR="0027007E" w:rsidRPr="00954476" w:rsidRDefault="0027007E" w:rsidP="0027007E">
      <w:pPr>
        <w:pBdr>
          <w:top w:val="nil"/>
        </w:pBdr>
        <w:autoSpaceDE w:val="0"/>
        <w:autoSpaceDN w:val="0"/>
        <w:adjustRightInd w:val="0"/>
        <w:spacing w:after="0" w:line="240" w:lineRule="auto"/>
        <w:jc w:val="both"/>
        <w:rPr>
          <w:rFonts w:ascii="Verdana" w:hAnsi="Verdana"/>
          <w:sz w:val="20"/>
          <w:szCs w:val="20"/>
        </w:rPr>
      </w:pPr>
    </w:p>
    <w:p w14:paraId="48984E46" w14:textId="77777777" w:rsidR="0027007E" w:rsidRPr="00522E82" w:rsidRDefault="0027007E" w:rsidP="0027007E">
      <w:pPr>
        <w:pStyle w:val="Title"/>
        <w:numPr>
          <w:ilvl w:val="0"/>
          <w:numId w:val="39"/>
        </w:numPr>
        <w:ind w:left="0" w:right="-138" w:firstLine="0"/>
        <w:rPr>
          <w:b w:val="0"/>
          <w:spacing w:val="-3"/>
        </w:rPr>
      </w:pPr>
      <w:r w:rsidRPr="00522E82">
        <w:rPr>
          <w:b w:val="0"/>
        </w:rPr>
        <w:t xml:space="preserve">Del mismo modo, no hay correspondencia entre lo resuelto por la Sentencia y su afirmación en orden a </w:t>
      </w:r>
      <w:r w:rsidRPr="00522E82">
        <w:rPr>
          <w:b w:val="0"/>
          <w:spacing w:val="-3"/>
        </w:rPr>
        <w:t>“</w:t>
      </w:r>
      <w:r w:rsidRPr="00522E82">
        <w:rPr>
          <w:b w:val="0"/>
          <w:i/>
          <w:spacing w:val="-3"/>
        </w:rPr>
        <w:t>que las autoridades sí utilizaron esas firmas (</w:t>
      </w:r>
      <w:r w:rsidRPr="00522E82">
        <w:rPr>
          <w:b w:val="0"/>
          <w:spacing w:val="-3"/>
        </w:rPr>
        <w:t>de solicitud de referendo</w:t>
      </w:r>
      <w:r w:rsidRPr="00522E82">
        <w:rPr>
          <w:b w:val="0"/>
          <w:i/>
          <w:spacing w:val="-3"/>
        </w:rPr>
        <w:t>) para amedrentar a los ciudadanos a fin de que no se expresaran de igual manera</w:t>
      </w:r>
      <w:r w:rsidRPr="00522E82">
        <w:rPr>
          <w:b w:val="0"/>
          <w:spacing w:val="-3"/>
        </w:rPr>
        <w:t xml:space="preserve">” y que </w:t>
      </w:r>
      <w:r w:rsidRPr="00522E82">
        <w:rPr>
          <w:b w:val="0"/>
          <w:i/>
          <w:spacing w:val="-3"/>
        </w:rPr>
        <w:t xml:space="preserve">“(e)l despido arbitrario al que fueron sometidas (las víctimas), luego de la publicación de la lista </w:t>
      </w:r>
      <w:proofErr w:type="spellStart"/>
      <w:r w:rsidRPr="00522E82">
        <w:rPr>
          <w:b w:val="0"/>
          <w:i/>
          <w:spacing w:val="-3"/>
        </w:rPr>
        <w:t>Tascón</w:t>
      </w:r>
      <w:proofErr w:type="spellEnd"/>
      <w:r w:rsidRPr="00522E82">
        <w:rPr>
          <w:b w:val="0"/>
          <w:i/>
          <w:spacing w:val="-3"/>
        </w:rPr>
        <w:t xml:space="preserve"> y en un contexto de denuncias de despidos arbitrarios y de otras formas de represalia para quienes habían firmado por el referendo, tenía la intención encubierta de acallar y desincentivar la disidencia política, pues fue instrumentalizado como factor ejemplarizante para que otras personas que ejercieron esa misma libertad se vieran amedrentadas de participar políticamente y eventualmente motivadas de manera ilegítima a retirar o “reparar” sus firmas en el procedimiento establecido por el </w:t>
      </w:r>
      <w:r w:rsidRPr="00522E82">
        <w:rPr>
          <w:b w:val="0"/>
          <w:i/>
        </w:rPr>
        <w:t>Consejo Nacional Electoral</w:t>
      </w:r>
      <w:r w:rsidRPr="00522E82">
        <w:rPr>
          <w:b w:val="0"/>
          <w:i/>
          <w:spacing w:val="-3"/>
        </w:rPr>
        <w:t xml:space="preserve"> al efecto”</w:t>
      </w:r>
      <w:r w:rsidRPr="00522E82">
        <w:rPr>
          <w:rStyle w:val="FootnoteReference"/>
          <w:b w:val="0"/>
          <w:i/>
          <w:spacing w:val="-3"/>
        </w:rPr>
        <w:footnoteReference w:id="395"/>
      </w:r>
      <w:r w:rsidRPr="00522E82">
        <w:rPr>
          <w:b w:val="0"/>
          <w:i/>
          <w:spacing w:val="-3"/>
        </w:rPr>
        <w:t xml:space="preserve">. </w:t>
      </w:r>
    </w:p>
    <w:p w14:paraId="15FFA8ED" w14:textId="77777777" w:rsidR="0027007E" w:rsidRPr="00954476" w:rsidRDefault="0027007E" w:rsidP="0027007E">
      <w:pPr>
        <w:pBdr>
          <w:top w:val="nil"/>
        </w:pBdr>
        <w:autoSpaceDE w:val="0"/>
        <w:autoSpaceDN w:val="0"/>
        <w:adjustRightInd w:val="0"/>
        <w:spacing w:after="0" w:line="240" w:lineRule="auto"/>
        <w:jc w:val="both"/>
        <w:rPr>
          <w:rFonts w:ascii="Verdana" w:hAnsi="Verdana"/>
          <w:sz w:val="20"/>
          <w:szCs w:val="20"/>
        </w:rPr>
      </w:pPr>
    </w:p>
    <w:p w14:paraId="0C00493E" w14:textId="77777777" w:rsidR="0027007E" w:rsidRPr="00522E82" w:rsidRDefault="0027007E" w:rsidP="0027007E">
      <w:pPr>
        <w:pStyle w:val="Title"/>
        <w:numPr>
          <w:ilvl w:val="0"/>
          <w:numId w:val="39"/>
        </w:numPr>
        <w:ind w:left="0" w:right="-138" w:firstLine="0"/>
        <w:rPr>
          <w:rFonts w:cs="Arial"/>
          <w:b w:val="0"/>
        </w:rPr>
      </w:pPr>
      <w:r w:rsidRPr="00522E82">
        <w:rPr>
          <w:b w:val="0"/>
        </w:rPr>
        <w:t xml:space="preserve">Y todavía menos relación tiene todavía lo resulto en la Sentencia con lo que en ella misma se sostiene en lo relativo, por una parte, a que </w:t>
      </w:r>
      <w:r w:rsidRPr="00522E82">
        <w:rPr>
          <w:b w:val="0"/>
          <w:i/>
        </w:rPr>
        <w:t xml:space="preserve">“(s)ería posible considerar que hay elementos que </w:t>
      </w:r>
      <w:r w:rsidRPr="00522E82">
        <w:rPr>
          <w:rFonts w:cs="Arial"/>
          <w:b w:val="0"/>
          <w:i/>
        </w:rPr>
        <w:t xml:space="preserve">permitirían analizar si los funcionarios de la administración de justicia que intervinieron se vieron sometidos a restricciones indebidas en el ejercicio de su función por parte de personas u órganos ajenos al Poder Judicial” </w:t>
      </w:r>
      <w:r w:rsidRPr="00522E82">
        <w:rPr>
          <w:rFonts w:cs="Arial"/>
          <w:b w:val="0"/>
        </w:rPr>
        <w:t xml:space="preserve">y por la otra parte, a que </w:t>
      </w:r>
      <w:r w:rsidRPr="00522E82">
        <w:rPr>
          <w:rFonts w:cs="Arial"/>
          <w:b w:val="0"/>
          <w:i/>
        </w:rPr>
        <w:t>“(a)</w:t>
      </w:r>
      <w:r w:rsidRPr="00522E82">
        <w:rPr>
          <w:b w:val="0"/>
          <w:i/>
        </w:rPr>
        <w:t>demás, no es menos cierto que,</w:t>
      </w:r>
      <w:r w:rsidRPr="00522E82">
        <w:rPr>
          <w:rFonts w:cs="BookAntiqua"/>
          <w:b w:val="0"/>
          <w:i/>
        </w:rPr>
        <w:t xml:space="preserve"> según ha sido constatado en varios casos ante este Tribunal, durante los períodos relevantes a los hechos de este caso, en Venezuela fueron detectadas diversas situaciones que obstaculizaban o afectaban la independencia judicial, relacionadas con normas y prácticas asociadas al proceso de reestructuración del Poder Judicial iniciado en 1999 (y que se extendió por más de 10 años); la provisionalidad de los jueces; la falta de garantías en procedimientos disciplinarios contra jueces; conductas amedrentadoras de altos funcionarios del Poder Ejecutivo hacia determinados jueces por adoptar decisiones en el ejercicio de sus funciones; la falta de un código de ética judicial que garantizara la imparcialidad e independencia del órgano disciplinario”</w:t>
      </w:r>
      <w:r w:rsidRPr="00522E82">
        <w:rPr>
          <w:rStyle w:val="FootnoteReference"/>
          <w:rFonts w:cs="BookAntiqua"/>
          <w:b w:val="0"/>
        </w:rPr>
        <w:footnoteReference w:id="396"/>
      </w:r>
      <w:r w:rsidRPr="00522E82">
        <w:rPr>
          <w:rFonts w:cs="Arial"/>
          <w:b w:val="0"/>
        </w:rPr>
        <w:t>.</w:t>
      </w:r>
    </w:p>
    <w:p w14:paraId="02068B65" w14:textId="77777777" w:rsidR="0027007E" w:rsidRPr="00954476" w:rsidRDefault="0027007E" w:rsidP="0027007E">
      <w:pPr>
        <w:pBdr>
          <w:top w:val="nil"/>
        </w:pBdr>
        <w:autoSpaceDE w:val="0"/>
        <w:autoSpaceDN w:val="0"/>
        <w:adjustRightInd w:val="0"/>
        <w:spacing w:after="0" w:line="240" w:lineRule="auto"/>
        <w:jc w:val="both"/>
        <w:rPr>
          <w:rFonts w:ascii="Verdana" w:hAnsi="Verdana" w:cs="Arial"/>
          <w:sz w:val="20"/>
          <w:szCs w:val="20"/>
        </w:rPr>
      </w:pPr>
    </w:p>
    <w:p w14:paraId="501E5A30" w14:textId="77777777" w:rsidR="0027007E" w:rsidRPr="00522E82" w:rsidRDefault="0027007E" w:rsidP="0027007E">
      <w:pPr>
        <w:pStyle w:val="Title"/>
        <w:numPr>
          <w:ilvl w:val="0"/>
          <w:numId w:val="39"/>
        </w:numPr>
        <w:ind w:left="0" w:right="-138" w:firstLine="0"/>
        <w:rPr>
          <w:b w:val="0"/>
          <w:spacing w:val="-3"/>
        </w:rPr>
      </w:pPr>
      <w:r w:rsidRPr="00522E82">
        <w:rPr>
          <w:rFonts w:cs="Arial"/>
          <w:b w:val="0"/>
        </w:rPr>
        <w:t xml:space="preserve">De todo lo </w:t>
      </w:r>
      <w:r w:rsidRPr="00522E82">
        <w:rPr>
          <w:b w:val="0"/>
        </w:rPr>
        <w:t>transcrito</w:t>
      </w:r>
      <w:r w:rsidRPr="00522E82">
        <w:rPr>
          <w:rFonts w:cs="Arial"/>
          <w:b w:val="0"/>
        </w:rPr>
        <w:t xml:space="preserve">, </w:t>
      </w:r>
      <w:r w:rsidRPr="00522E82">
        <w:rPr>
          <w:b w:val="0"/>
          <w:spacing w:val="-3"/>
        </w:rPr>
        <w:t>resulta evidente, en consecuencia, que el amedrentamiento realizado por las autoridades gubernamentales y señalado por la Sentencia, lo fue asimismo para que todos los órganos del Estado procedieran acorde a las políticas por aquellas impartidas o aplicadas, de suerte de garantizar su éxito. Y así se desprende lógicamente y con facilidad que el Poder Judicial, tan dependiente del Poder Ejecutivo, tal como la propia Sentencia lo reconoce, era, sin duda, objeto preferente de dicho amedrentamiento en consideración a que, en tanto encargado de hacer respetar los derechos de los ciudadanos, no procediera de tal manera que dejara sin efecto la pretensión gubernamental “</w:t>
      </w:r>
      <w:r w:rsidRPr="00522E82">
        <w:rPr>
          <w:b w:val="0"/>
          <w:i/>
          <w:spacing w:val="-3"/>
        </w:rPr>
        <w:t>de acallar y desincentivar la disidencia política”</w:t>
      </w:r>
      <w:r w:rsidRPr="00522E82">
        <w:rPr>
          <w:b w:val="0"/>
          <w:spacing w:val="-3"/>
        </w:rPr>
        <w:t>.</w:t>
      </w:r>
    </w:p>
    <w:p w14:paraId="3776BBA2" w14:textId="77777777" w:rsidR="0027007E" w:rsidRPr="00954476" w:rsidRDefault="0027007E" w:rsidP="0027007E">
      <w:pPr>
        <w:pBdr>
          <w:top w:val="nil"/>
        </w:pBdr>
        <w:spacing w:after="0" w:line="240" w:lineRule="auto"/>
        <w:jc w:val="both"/>
        <w:rPr>
          <w:rFonts w:ascii="Verdana" w:hAnsi="Verdana"/>
          <w:spacing w:val="-3"/>
          <w:sz w:val="20"/>
          <w:szCs w:val="20"/>
        </w:rPr>
      </w:pPr>
    </w:p>
    <w:p w14:paraId="6108F850" w14:textId="77777777" w:rsidR="0027007E" w:rsidRPr="00522E82" w:rsidRDefault="0027007E" w:rsidP="0027007E">
      <w:pPr>
        <w:pStyle w:val="Title"/>
        <w:numPr>
          <w:ilvl w:val="0"/>
          <w:numId w:val="39"/>
        </w:numPr>
        <w:ind w:left="0" w:right="-138" w:firstLine="0"/>
        <w:rPr>
          <w:b w:val="0"/>
          <w:spacing w:val="-3"/>
        </w:rPr>
      </w:pPr>
      <w:r w:rsidRPr="00522E82">
        <w:rPr>
          <w:b w:val="0"/>
          <w:spacing w:val="-3"/>
        </w:rPr>
        <w:t xml:space="preserve">En </w:t>
      </w:r>
      <w:r w:rsidRPr="00522E82">
        <w:rPr>
          <w:rFonts w:cs="Arial"/>
          <w:b w:val="0"/>
        </w:rPr>
        <w:t>síntesis</w:t>
      </w:r>
      <w:r w:rsidRPr="00522E82">
        <w:rPr>
          <w:b w:val="0"/>
          <w:spacing w:val="-3"/>
        </w:rPr>
        <w:t>, en el presente escrito se estima que, en cuanto a la presente causa, la independencia judicial en el Estado se encontraba gravemente afectada y ello consta no solo del contexto general, sino que nítidamente se desprende de lo acreditado en autos, en especial, el efecto intimidante de la acción gubernamental, la que no solo estaba dirigida a los probables impulsores del acto revocatorio en cuestión, sino asimismo a los entes estatales con competencia para actuar a su respecto y, entonces, en especial, a los tribunales de justicia.</w:t>
      </w:r>
    </w:p>
    <w:p w14:paraId="302AF353" w14:textId="77777777" w:rsidR="0027007E" w:rsidRPr="00954476" w:rsidRDefault="0027007E" w:rsidP="0027007E">
      <w:pPr>
        <w:pBdr>
          <w:top w:val="nil"/>
        </w:pBdr>
        <w:autoSpaceDE w:val="0"/>
        <w:autoSpaceDN w:val="0"/>
        <w:adjustRightInd w:val="0"/>
        <w:spacing w:after="0" w:line="240" w:lineRule="auto"/>
        <w:jc w:val="both"/>
        <w:rPr>
          <w:rFonts w:ascii="Verdana" w:hAnsi="Verdana"/>
          <w:spacing w:val="-3"/>
          <w:sz w:val="20"/>
          <w:szCs w:val="20"/>
        </w:rPr>
      </w:pPr>
    </w:p>
    <w:p w14:paraId="7AC57DF5" w14:textId="77777777" w:rsidR="0027007E" w:rsidRPr="00954476" w:rsidRDefault="0027007E" w:rsidP="0027007E">
      <w:pPr>
        <w:pStyle w:val="Title"/>
        <w:numPr>
          <w:ilvl w:val="0"/>
          <w:numId w:val="38"/>
        </w:numPr>
        <w:ind w:right="-138"/>
        <w:rPr>
          <w:b w:val="0"/>
          <w:spacing w:val="-3"/>
        </w:rPr>
      </w:pPr>
      <w:r w:rsidRPr="00A763A1">
        <w:rPr>
          <w:lang w:val="es-ES"/>
        </w:rPr>
        <w:t>Conclusión</w:t>
      </w:r>
      <w:r w:rsidRPr="00954476">
        <w:rPr>
          <w:spacing w:val="-3"/>
        </w:rPr>
        <w:t>.</w:t>
      </w:r>
    </w:p>
    <w:p w14:paraId="057E12CC" w14:textId="77777777" w:rsidR="0027007E" w:rsidRPr="00954476" w:rsidRDefault="0027007E" w:rsidP="0027007E">
      <w:pPr>
        <w:pBdr>
          <w:top w:val="nil"/>
        </w:pBdr>
        <w:autoSpaceDE w:val="0"/>
        <w:autoSpaceDN w:val="0"/>
        <w:adjustRightInd w:val="0"/>
        <w:spacing w:after="0" w:line="240" w:lineRule="auto"/>
        <w:jc w:val="both"/>
        <w:rPr>
          <w:rFonts w:ascii="Verdana" w:hAnsi="Verdana"/>
          <w:spacing w:val="-3"/>
          <w:sz w:val="20"/>
          <w:szCs w:val="20"/>
        </w:rPr>
      </w:pPr>
    </w:p>
    <w:p w14:paraId="50A3DA13" w14:textId="77777777" w:rsidR="0027007E" w:rsidRPr="00522E82" w:rsidRDefault="0027007E" w:rsidP="0027007E">
      <w:pPr>
        <w:pStyle w:val="Title"/>
        <w:numPr>
          <w:ilvl w:val="0"/>
          <w:numId w:val="39"/>
        </w:numPr>
        <w:ind w:left="0" w:right="-138" w:firstLine="0"/>
        <w:rPr>
          <w:b w:val="0"/>
          <w:spacing w:val="-3"/>
        </w:rPr>
      </w:pPr>
      <w:r w:rsidRPr="00522E82">
        <w:rPr>
          <w:b w:val="0"/>
          <w:spacing w:val="-3"/>
        </w:rPr>
        <w:t xml:space="preserve">Es, entonces, en mérito de las respectivas consideraciones formuladas precedentemente, que no se pueden compartir los Resolutivos </w:t>
      </w:r>
      <w:proofErr w:type="spellStart"/>
      <w:r w:rsidRPr="00522E82">
        <w:rPr>
          <w:b w:val="0"/>
          <w:spacing w:val="-3"/>
        </w:rPr>
        <w:t>N°s</w:t>
      </w:r>
      <w:proofErr w:type="spellEnd"/>
      <w:r w:rsidRPr="00522E82">
        <w:rPr>
          <w:b w:val="0"/>
          <w:spacing w:val="-3"/>
        </w:rPr>
        <w:t xml:space="preserve">. 4 y 7 de la Sentencia. </w:t>
      </w:r>
    </w:p>
    <w:p w14:paraId="38F1ED0F" w14:textId="77777777" w:rsidR="0027007E" w:rsidRDefault="0027007E" w:rsidP="0027007E">
      <w:pPr>
        <w:pBdr>
          <w:top w:val="nil"/>
        </w:pBdr>
        <w:autoSpaceDE w:val="0"/>
        <w:autoSpaceDN w:val="0"/>
        <w:adjustRightInd w:val="0"/>
        <w:spacing w:after="0" w:line="240" w:lineRule="auto"/>
        <w:jc w:val="both"/>
        <w:rPr>
          <w:rFonts w:ascii="Verdana" w:hAnsi="Verdana"/>
          <w:spacing w:val="-3"/>
          <w:sz w:val="20"/>
          <w:szCs w:val="20"/>
        </w:rPr>
      </w:pPr>
    </w:p>
    <w:p w14:paraId="34203057" w14:textId="77777777" w:rsidR="0027007E" w:rsidRDefault="0027007E" w:rsidP="0027007E">
      <w:pPr>
        <w:pBdr>
          <w:top w:val="nil"/>
        </w:pBdr>
        <w:autoSpaceDE w:val="0"/>
        <w:autoSpaceDN w:val="0"/>
        <w:adjustRightInd w:val="0"/>
        <w:spacing w:after="0" w:line="240" w:lineRule="auto"/>
        <w:jc w:val="both"/>
        <w:rPr>
          <w:rFonts w:ascii="Verdana" w:hAnsi="Verdana"/>
          <w:spacing w:val="-3"/>
          <w:sz w:val="20"/>
          <w:szCs w:val="20"/>
        </w:rPr>
      </w:pPr>
    </w:p>
    <w:p w14:paraId="51EB55EB" w14:textId="77777777" w:rsidR="0027007E" w:rsidRPr="00954476" w:rsidRDefault="0027007E" w:rsidP="0027007E">
      <w:pPr>
        <w:pBdr>
          <w:top w:val="nil"/>
        </w:pBdr>
        <w:autoSpaceDE w:val="0"/>
        <w:autoSpaceDN w:val="0"/>
        <w:adjustRightInd w:val="0"/>
        <w:spacing w:after="0" w:line="240" w:lineRule="auto"/>
        <w:jc w:val="both"/>
        <w:rPr>
          <w:rFonts w:ascii="Verdana" w:hAnsi="Verdana"/>
          <w:spacing w:val="-3"/>
          <w:sz w:val="20"/>
          <w:szCs w:val="20"/>
        </w:rPr>
      </w:pPr>
    </w:p>
    <w:p w14:paraId="4C4BE9D1" w14:textId="77777777" w:rsidR="0027007E" w:rsidRPr="00954476" w:rsidRDefault="0027007E" w:rsidP="0027007E">
      <w:pPr>
        <w:pBdr>
          <w:top w:val="nil"/>
        </w:pBdr>
        <w:autoSpaceDE w:val="0"/>
        <w:autoSpaceDN w:val="0"/>
        <w:adjustRightInd w:val="0"/>
        <w:spacing w:after="0" w:line="240" w:lineRule="auto"/>
        <w:jc w:val="right"/>
        <w:rPr>
          <w:rFonts w:ascii="Verdana" w:hAnsi="Verdana"/>
          <w:spacing w:val="-3"/>
          <w:sz w:val="20"/>
          <w:szCs w:val="20"/>
        </w:rPr>
      </w:pPr>
    </w:p>
    <w:p w14:paraId="1755E1C7" w14:textId="77777777" w:rsidR="0027007E" w:rsidRPr="00954476" w:rsidRDefault="0027007E" w:rsidP="0027007E">
      <w:pPr>
        <w:pBdr>
          <w:top w:val="nil"/>
        </w:pBdr>
        <w:autoSpaceDE w:val="0"/>
        <w:autoSpaceDN w:val="0"/>
        <w:adjustRightInd w:val="0"/>
        <w:spacing w:after="0" w:line="240" w:lineRule="auto"/>
        <w:ind w:left="4956" w:firstLine="708"/>
        <w:jc w:val="center"/>
        <w:rPr>
          <w:rFonts w:ascii="Verdana" w:hAnsi="Verdana"/>
          <w:spacing w:val="-3"/>
          <w:sz w:val="20"/>
          <w:szCs w:val="20"/>
        </w:rPr>
      </w:pPr>
      <w:r>
        <w:rPr>
          <w:rFonts w:ascii="Verdana" w:hAnsi="Verdana"/>
          <w:spacing w:val="-3"/>
          <w:sz w:val="20"/>
          <w:szCs w:val="20"/>
        </w:rPr>
        <w:t xml:space="preserve">      </w:t>
      </w:r>
      <w:r w:rsidRPr="00954476">
        <w:rPr>
          <w:rFonts w:ascii="Verdana" w:hAnsi="Verdana"/>
          <w:spacing w:val="-3"/>
          <w:sz w:val="20"/>
          <w:szCs w:val="20"/>
        </w:rPr>
        <w:t>Eduardo Vio Grossi</w:t>
      </w:r>
    </w:p>
    <w:p w14:paraId="54C34384" w14:textId="77777777" w:rsidR="0027007E" w:rsidRPr="00954476" w:rsidRDefault="0027007E" w:rsidP="0027007E">
      <w:pPr>
        <w:pBdr>
          <w:top w:val="nil"/>
        </w:pBdr>
        <w:autoSpaceDE w:val="0"/>
        <w:autoSpaceDN w:val="0"/>
        <w:adjustRightInd w:val="0"/>
        <w:spacing w:after="0" w:line="240" w:lineRule="auto"/>
        <w:ind w:left="6372" w:firstLine="708"/>
        <w:rPr>
          <w:rFonts w:ascii="Verdana" w:hAnsi="Verdana"/>
          <w:sz w:val="20"/>
          <w:szCs w:val="20"/>
        </w:rPr>
      </w:pPr>
      <w:r>
        <w:rPr>
          <w:rFonts w:ascii="Verdana" w:hAnsi="Verdana"/>
          <w:spacing w:val="-3"/>
          <w:sz w:val="20"/>
          <w:szCs w:val="20"/>
        </w:rPr>
        <w:t xml:space="preserve">   </w:t>
      </w:r>
      <w:r w:rsidRPr="00954476">
        <w:rPr>
          <w:rFonts w:ascii="Verdana" w:hAnsi="Verdana"/>
          <w:spacing w:val="-3"/>
          <w:sz w:val="20"/>
          <w:szCs w:val="20"/>
        </w:rPr>
        <w:t>Juez</w:t>
      </w:r>
    </w:p>
    <w:p w14:paraId="62020FF1" w14:textId="77777777" w:rsidR="0027007E" w:rsidRDefault="0027007E" w:rsidP="0027007E">
      <w:pPr>
        <w:spacing w:after="0" w:line="240" w:lineRule="auto"/>
        <w:jc w:val="both"/>
        <w:rPr>
          <w:rFonts w:ascii="Verdana" w:hAnsi="Verdana"/>
          <w:sz w:val="20"/>
          <w:szCs w:val="20"/>
          <w:lang w:val="es-ES"/>
        </w:rPr>
      </w:pPr>
    </w:p>
    <w:p w14:paraId="042A8D76" w14:textId="77777777" w:rsidR="0027007E" w:rsidRDefault="0027007E" w:rsidP="0027007E">
      <w:pPr>
        <w:spacing w:after="0" w:line="240" w:lineRule="auto"/>
        <w:jc w:val="both"/>
        <w:rPr>
          <w:rFonts w:ascii="Verdana" w:hAnsi="Verdana"/>
          <w:sz w:val="20"/>
          <w:szCs w:val="20"/>
          <w:lang w:val="es-ES"/>
        </w:rPr>
      </w:pPr>
    </w:p>
    <w:p w14:paraId="6F819379" w14:textId="77777777" w:rsidR="0027007E" w:rsidRDefault="0027007E" w:rsidP="0027007E">
      <w:pPr>
        <w:spacing w:after="0" w:line="240" w:lineRule="auto"/>
        <w:jc w:val="both"/>
        <w:rPr>
          <w:rFonts w:ascii="Verdana" w:hAnsi="Verdana"/>
          <w:sz w:val="20"/>
          <w:szCs w:val="20"/>
          <w:lang w:val="es-ES"/>
        </w:rPr>
      </w:pPr>
    </w:p>
    <w:p w14:paraId="59037E38" w14:textId="77777777" w:rsidR="0027007E" w:rsidRPr="008348E3" w:rsidRDefault="0027007E" w:rsidP="0027007E">
      <w:pPr>
        <w:spacing w:after="0" w:line="240" w:lineRule="auto"/>
        <w:jc w:val="both"/>
        <w:rPr>
          <w:rFonts w:ascii="Verdana" w:hAnsi="Verdana"/>
          <w:sz w:val="20"/>
          <w:szCs w:val="20"/>
          <w:lang w:val="es-ES"/>
        </w:rPr>
      </w:pPr>
    </w:p>
    <w:p w14:paraId="760E0E85" w14:textId="77777777" w:rsidR="0027007E" w:rsidRPr="008348E3" w:rsidRDefault="0027007E" w:rsidP="0027007E">
      <w:pPr>
        <w:pStyle w:val="Title"/>
        <w:ind w:right="-138"/>
        <w:rPr>
          <w:rFonts w:eastAsia="MS Mincho"/>
          <w:b w:val="0"/>
          <w:lang w:val="es-CR"/>
        </w:rPr>
      </w:pPr>
    </w:p>
    <w:p w14:paraId="144FFEE7" w14:textId="77777777" w:rsidR="0027007E" w:rsidRPr="00865A46" w:rsidRDefault="0027007E" w:rsidP="0027007E">
      <w:pPr>
        <w:tabs>
          <w:tab w:val="left" w:pos="1440"/>
        </w:tabs>
        <w:spacing w:after="0" w:line="240" w:lineRule="auto"/>
        <w:rPr>
          <w:rFonts w:ascii="Verdana" w:hAnsi="Verdana"/>
          <w:sz w:val="20"/>
          <w:szCs w:val="20"/>
        </w:rPr>
      </w:pPr>
      <w:r w:rsidRPr="00865A46">
        <w:rPr>
          <w:rFonts w:ascii="Verdana" w:hAnsi="Verdana"/>
          <w:sz w:val="20"/>
          <w:szCs w:val="20"/>
        </w:rPr>
        <w:t>Pablo Saavedra Alessandri</w:t>
      </w:r>
    </w:p>
    <w:p w14:paraId="5BF29DB0" w14:textId="77777777" w:rsidR="0027007E" w:rsidRPr="00C8489F" w:rsidRDefault="0027007E" w:rsidP="0027007E">
      <w:pPr>
        <w:spacing w:after="0" w:line="240" w:lineRule="auto"/>
        <w:rPr>
          <w:rFonts w:ascii="Verdana" w:hAnsi="Verdana"/>
          <w:sz w:val="20"/>
          <w:szCs w:val="20"/>
        </w:rPr>
      </w:pPr>
      <w:r w:rsidRPr="00865A46">
        <w:rPr>
          <w:rFonts w:ascii="Verdana" w:hAnsi="Verdana"/>
          <w:sz w:val="20"/>
          <w:szCs w:val="20"/>
        </w:rPr>
        <w:tab/>
        <w:t>Secretario</w:t>
      </w:r>
    </w:p>
    <w:p w14:paraId="5462F99B" w14:textId="77777777" w:rsidR="0027007E" w:rsidRDefault="0027007E" w:rsidP="00E86169">
      <w:pPr>
        <w:spacing w:after="0"/>
        <w:ind w:right="49"/>
        <w:jc w:val="both"/>
        <w:rPr>
          <w:rFonts w:ascii="Verdana" w:hAnsi="Verdana"/>
          <w:sz w:val="20"/>
          <w:szCs w:val="20"/>
        </w:rPr>
        <w:sectPr w:rsidR="0027007E" w:rsidSect="0027007E">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1417" w:right="1418" w:bottom="1417" w:left="1418" w:header="708" w:footer="708" w:gutter="0"/>
          <w:pgNumType w:start="1"/>
          <w:cols w:space="708"/>
          <w:titlePg/>
          <w:docGrid w:linePitch="360"/>
        </w:sectPr>
      </w:pPr>
    </w:p>
    <w:p w14:paraId="180DA010" w14:textId="77777777" w:rsidR="0027007E" w:rsidRPr="00066324" w:rsidRDefault="0027007E" w:rsidP="0027007E">
      <w:pPr>
        <w:rPr>
          <w:rFonts w:ascii="Verdana" w:hAnsi="Verdana"/>
          <w:b/>
        </w:rPr>
      </w:pPr>
    </w:p>
    <w:p w14:paraId="5DC2516A" w14:textId="77777777" w:rsidR="0027007E" w:rsidRPr="00066324" w:rsidRDefault="0027007E" w:rsidP="0027007E">
      <w:pPr>
        <w:jc w:val="center"/>
        <w:rPr>
          <w:rFonts w:ascii="Verdana" w:hAnsi="Verdana"/>
          <w:b/>
        </w:rPr>
      </w:pPr>
    </w:p>
    <w:p w14:paraId="02BA33EA" w14:textId="77777777" w:rsidR="0027007E" w:rsidRPr="00066324" w:rsidRDefault="0027007E" w:rsidP="0027007E">
      <w:pPr>
        <w:jc w:val="center"/>
        <w:rPr>
          <w:rFonts w:ascii="Verdana" w:hAnsi="Verdana"/>
          <w:b/>
        </w:rPr>
      </w:pPr>
    </w:p>
    <w:p w14:paraId="3C665AC5" w14:textId="77777777" w:rsidR="0027007E" w:rsidRDefault="0027007E" w:rsidP="00AA0487">
      <w:pPr>
        <w:spacing w:after="0"/>
        <w:jc w:val="center"/>
        <w:rPr>
          <w:rFonts w:ascii="Verdana" w:hAnsi="Verdana"/>
          <w:b/>
        </w:rPr>
      </w:pPr>
      <w:r w:rsidRPr="00066324">
        <w:rPr>
          <w:rFonts w:ascii="Verdana" w:hAnsi="Verdana"/>
          <w:b/>
        </w:rPr>
        <w:t>VOTO PARCIALMENTE DISIDENTE DEL</w:t>
      </w:r>
    </w:p>
    <w:p w14:paraId="3DB50B57" w14:textId="77777777" w:rsidR="0027007E" w:rsidRPr="00066324" w:rsidRDefault="0027007E" w:rsidP="00AA0487">
      <w:pPr>
        <w:spacing w:after="0"/>
        <w:jc w:val="center"/>
        <w:rPr>
          <w:rFonts w:ascii="Verdana" w:hAnsi="Verdana"/>
          <w:b/>
        </w:rPr>
      </w:pPr>
      <w:r w:rsidRPr="00066324">
        <w:rPr>
          <w:rFonts w:ascii="Verdana" w:hAnsi="Verdana"/>
          <w:b/>
        </w:rPr>
        <w:t xml:space="preserve">JUEZ HUMBERTO ANTONIO SIERRA PORTO </w:t>
      </w:r>
    </w:p>
    <w:p w14:paraId="6580D5EE" w14:textId="77777777" w:rsidR="0027007E" w:rsidRPr="00066324" w:rsidRDefault="0027007E" w:rsidP="00AA0487">
      <w:pPr>
        <w:spacing w:after="0"/>
        <w:jc w:val="center"/>
        <w:rPr>
          <w:rFonts w:ascii="Verdana" w:hAnsi="Verdana"/>
          <w:b/>
        </w:rPr>
      </w:pPr>
    </w:p>
    <w:p w14:paraId="1A9BF6B0" w14:textId="77777777" w:rsidR="0027007E" w:rsidRPr="00066324" w:rsidRDefault="0027007E" w:rsidP="00AA0487">
      <w:pPr>
        <w:spacing w:after="0" w:line="240" w:lineRule="auto"/>
        <w:jc w:val="center"/>
        <w:rPr>
          <w:rFonts w:ascii="Verdana" w:hAnsi="Verdana"/>
          <w:b/>
        </w:rPr>
      </w:pPr>
      <w:r w:rsidRPr="00066324">
        <w:rPr>
          <w:rFonts w:ascii="Verdana" w:hAnsi="Verdana"/>
          <w:b/>
        </w:rPr>
        <w:t>A LA SENTENCIA DE 8 DE FEBRERO DE 2018</w:t>
      </w:r>
    </w:p>
    <w:p w14:paraId="6C536EA3" w14:textId="77777777" w:rsidR="0027007E" w:rsidRPr="00066324" w:rsidRDefault="0027007E" w:rsidP="00AA0487">
      <w:pPr>
        <w:spacing w:after="0" w:line="240" w:lineRule="auto"/>
        <w:jc w:val="center"/>
        <w:outlineLvl w:val="0"/>
        <w:rPr>
          <w:rFonts w:ascii="Verdana" w:hAnsi="Verdana"/>
          <w:b/>
        </w:rPr>
      </w:pPr>
      <w:r w:rsidRPr="00066324">
        <w:rPr>
          <w:rFonts w:ascii="Verdana" w:hAnsi="Verdana"/>
          <w:b/>
        </w:rPr>
        <w:t>DE LA CORTE INTERAMERICANA DE DERECHOS HUMANOS</w:t>
      </w:r>
    </w:p>
    <w:p w14:paraId="57C865F7" w14:textId="77777777" w:rsidR="0027007E" w:rsidRPr="00066324" w:rsidRDefault="0027007E" w:rsidP="00AA0487">
      <w:pPr>
        <w:spacing w:after="0"/>
        <w:jc w:val="center"/>
        <w:rPr>
          <w:rFonts w:ascii="Verdana" w:hAnsi="Verdana"/>
          <w:b/>
        </w:rPr>
      </w:pPr>
    </w:p>
    <w:p w14:paraId="3DFC8D39" w14:textId="77777777" w:rsidR="0027007E" w:rsidRPr="00066324" w:rsidRDefault="0027007E" w:rsidP="00AA0487">
      <w:pPr>
        <w:spacing w:after="0"/>
        <w:jc w:val="center"/>
        <w:outlineLvl w:val="0"/>
        <w:rPr>
          <w:rFonts w:ascii="Verdana" w:hAnsi="Verdana"/>
          <w:b/>
        </w:rPr>
      </w:pPr>
      <w:r w:rsidRPr="00066324">
        <w:rPr>
          <w:rFonts w:ascii="Verdana" w:hAnsi="Verdana"/>
          <w:b/>
        </w:rPr>
        <w:t>EN EL CASO SAN MIGUEL SOSA Y OTRAS VS. VENEZUELA</w:t>
      </w:r>
    </w:p>
    <w:p w14:paraId="1CC28B0B" w14:textId="77777777" w:rsidR="0027007E" w:rsidRPr="00066324" w:rsidRDefault="0027007E" w:rsidP="0027007E">
      <w:pPr>
        <w:rPr>
          <w:rFonts w:ascii="Verdana" w:hAnsi="Verdana"/>
          <w:b/>
        </w:rPr>
      </w:pPr>
    </w:p>
    <w:p w14:paraId="7A7670CC" w14:textId="21DEF8B9" w:rsidR="0027007E" w:rsidRPr="00AC1A4B" w:rsidRDefault="00AC1A4B" w:rsidP="0027007E">
      <w:pPr>
        <w:rPr>
          <w:rFonts w:ascii="Verdana" w:hAnsi="Verdana"/>
          <w:b/>
          <w:i/>
        </w:rPr>
      </w:pPr>
      <w:r>
        <w:rPr>
          <w:rFonts w:ascii="Verdana" w:hAnsi="Verdana"/>
          <w:b/>
          <w:i/>
        </w:rPr>
        <w:t>I. Introducción</w:t>
      </w:r>
    </w:p>
    <w:p w14:paraId="2CD24D41" w14:textId="77777777" w:rsidR="0027007E" w:rsidRPr="00066324" w:rsidRDefault="0027007E" w:rsidP="0027007E">
      <w:pPr>
        <w:pStyle w:val="ListParagraph"/>
        <w:numPr>
          <w:ilvl w:val="0"/>
          <w:numId w:val="40"/>
        </w:numPr>
        <w:ind w:left="0" w:firstLine="0"/>
        <w:contextualSpacing w:val="0"/>
        <w:jc w:val="both"/>
        <w:rPr>
          <w:rFonts w:ascii="Verdana" w:hAnsi="Verdana"/>
          <w:sz w:val="20"/>
        </w:rPr>
      </w:pPr>
      <w:r w:rsidRPr="00066324">
        <w:rPr>
          <w:rFonts w:ascii="Verdana" w:hAnsi="Verdana"/>
          <w:sz w:val="20"/>
        </w:rPr>
        <w:t>Con el acostumbrado respeto por las decisiones de la Corte, y precisando que comparto la mayor parte de las consideraciones que sustentan la Sentencia, me permito formular el presente voto parcialmente disidente. El voto tiene dos partes: la primera se refiere a la conclusión de la mayoría del Tribunal en cuanto a la violación de la libertad de pensamiento y expresión, decisión que</w:t>
      </w:r>
      <w:r>
        <w:rPr>
          <w:rFonts w:ascii="Verdana" w:hAnsi="Verdana"/>
          <w:sz w:val="20"/>
        </w:rPr>
        <w:t>,</w:t>
      </w:r>
      <w:r w:rsidRPr="00066324">
        <w:rPr>
          <w:rFonts w:ascii="Verdana" w:hAnsi="Verdana"/>
          <w:sz w:val="20"/>
        </w:rPr>
        <w:t xml:space="preserve"> a mi parecer, era innecesaria</w:t>
      </w:r>
      <w:r>
        <w:rPr>
          <w:rFonts w:ascii="Verdana" w:hAnsi="Verdana"/>
          <w:sz w:val="20"/>
        </w:rPr>
        <w:t>.</w:t>
      </w:r>
      <w:r w:rsidRPr="00066324">
        <w:rPr>
          <w:rFonts w:ascii="Verdana" w:hAnsi="Verdana"/>
          <w:sz w:val="20"/>
        </w:rPr>
        <w:t xml:space="preserve"> </w:t>
      </w:r>
      <w:r>
        <w:rPr>
          <w:rFonts w:ascii="Verdana" w:hAnsi="Verdana"/>
          <w:sz w:val="20"/>
        </w:rPr>
        <w:t>L</w:t>
      </w:r>
      <w:r w:rsidRPr="00066324">
        <w:rPr>
          <w:rFonts w:ascii="Verdana" w:hAnsi="Verdana"/>
          <w:sz w:val="20"/>
        </w:rPr>
        <w:t xml:space="preserve">a segunda reflexiona respecto de la declaración de responsabilidad internacional del Estado por la violación del derecho al trabajo en relación con los derechos a la participación política, a la libertad de expresión y de acceso a la justicia, así como con el principio de no discriminación. Respecto de la segunda cuestión, advierto que mis reflexiones complementan lo ya expresado al respecto en mis votos disidentes en los casos </w:t>
      </w:r>
      <w:r w:rsidRPr="00066324">
        <w:rPr>
          <w:rFonts w:ascii="Verdana" w:hAnsi="Verdana"/>
          <w:bCs/>
          <w:i/>
          <w:sz w:val="20"/>
        </w:rPr>
        <w:t>Trabajadores Cesados de Petroperú y otros Vs. Perú</w:t>
      </w:r>
      <w:r w:rsidRPr="00066324">
        <w:rPr>
          <w:rStyle w:val="FootnoteReference"/>
          <w:rFonts w:ascii="Verdana" w:hAnsi="Verdana"/>
          <w:bCs/>
          <w:sz w:val="20"/>
        </w:rPr>
        <w:footnoteReference w:id="397"/>
      </w:r>
      <w:r w:rsidRPr="00066324">
        <w:rPr>
          <w:rFonts w:ascii="Verdana" w:hAnsi="Verdana"/>
          <w:bCs/>
          <w:sz w:val="20"/>
        </w:rPr>
        <w:t xml:space="preserve"> y</w:t>
      </w:r>
      <w:r w:rsidRPr="00066324">
        <w:rPr>
          <w:rFonts w:ascii="Verdana" w:hAnsi="Verdana"/>
          <w:sz w:val="20"/>
        </w:rPr>
        <w:t xml:space="preserve"> </w:t>
      </w:r>
      <w:r w:rsidRPr="00066324">
        <w:rPr>
          <w:rFonts w:ascii="Verdana" w:hAnsi="Verdana"/>
          <w:i/>
          <w:sz w:val="20"/>
        </w:rPr>
        <w:t>Lagos del Campo Vs. Perú</w:t>
      </w:r>
      <w:r w:rsidRPr="00066324">
        <w:rPr>
          <w:rStyle w:val="FootnoteReference"/>
          <w:rFonts w:ascii="Verdana" w:hAnsi="Verdana"/>
          <w:sz w:val="20"/>
        </w:rPr>
        <w:footnoteReference w:id="398"/>
      </w:r>
      <w:r w:rsidRPr="00066324">
        <w:rPr>
          <w:rFonts w:ascii="Verdana" w:hAnsi="Verdana"/>
          <w:sz w:val="20"/>
        </w:rPr>
        <w:t xml:space="preserve"> y en mi voto concurrente del caso </w:t>
      </w:r>
      <w:r w:rsidRPr="00066324">
        <w:rPr>
          <w:rFonts w:ascii="Verdana" w:hAnsi="Verdana"/>
          <w:i/>
          <w:sz w:val="20"/>
        </w:rPr>
        <w:t xml:space="preserve">Gonzales </w:t>
      </w:r>
      <w:proofErr w:type="spellStart"/>
      <w:r w:rsidRPr="00066324">
        <w:rPr>
          <w:rFonts w:ascii="Verdana" w:hAnsi="Verdana"/>
          <w:i/>
          <w:sz w:val="20"/>
        </w:rPr>
        <w:t>Lluy</w:t>
      </w:r>
      <w:proofErr w:type="spellEnd"/>
      <w:r w:rsidRPr="00066324">
        <w:rPr>
          <w:rFonts w:ascii="Verdana" w:hAnsi="Verdana"/>
          <w:i/>
          <w:sz w:val="20"/>
        </w:rPr>
        <w:t xml:space="preserve"> y otros Vs. Ecuador</w:t>
      </w:r>
      <w:r w:rsidRPr="00066324">
        <w:rPr>
          <w:rStyle w:val="FootnoteReference"/>
          <w:rFonts w:ascii="Verdana" w:hAnsi="Verdana"/>
          <w:sz w:val="20"/>
        </w:rPr>
        <w:footnoteReference w:id="399"/>
      </w:r>
      <w:r w:rsidRPr="00066324">
        <w:rPr>
          <w:rFonts w:ascii="Verdana" w:hAnsi="Verdana"/>
          <w:sz w:val="20"/>
        </w:rPr>
        <w:t xml:space="preserve">. </w:t>
      </w:r>
    </w:p>
    <w:p w14:paraId="1AEA75EE" w14:textId="77777777" w:rsidR="0027007E" w:rsidRPr="00066324" w:rsidRDefault="0027007E" w:rsidP="0027007E">
      <w:pPr>
        <w:pStyle w:val="ListParagraph"/>
        <w:ind w:left="0"/>
        <w:jc w:val="both"/>
        <w:rPr>
          <w:rFonts w:ascii="Verdana" w:hAnsi="Verdana"/>
          <w:sz w:val="20"/>
        </w:rPr>
      </w:pPr>
    </w:p>
    <w:p w14:paraId="2FBAF198" w14:textId="77777777" w:rsidR="0027007E" w:rsidRPr="00066324" w:rsidRDefault="0027007E" w:rsidP="0027007E">
      <w:pPr>
        <w:jc w:val="both"/>
        <w:rPr>
          <w:rFonts w:ascii="Verdana" w:hAnsi="Verdana"/>
          <w:b/>
          <w:i/>
          <w:sz w:val="18"/>
        </w:rPr>
      </w:pPr>
      <w:r w:rsidRPr="00066324">
        <w:rPr>
          <w:rFonts w:ascii="Verdana" w:hAnsi="Verdana"/>
          <w:b/>
          <w:i/>
        </w:rPr>
        <w:t>II. Respecto de la conclusión de la Corte sobre violación de la libertad de pensamiento y expresión en este caso</w:t>
      </w:r>
    </w:p>
    <w:p w14:paraId="31D32EA9" w14:textId="77777777" w:rsidR="0027007E" w:rsidRPr="00066324" w:rsidRDefault="0027007E" w:rsidP="0027007E">
      <w:pPr>
        <w:pStyle w:val="ListParagraph"/>
        <w:ind w:left="0"/>
        <w:jc w:val="both"/>
        <w:rPr>
          <w:rFonts w:ascii="Verdana" w:hAnsi="Verdana"/>
          <w:sz w:val="20"/>
        </w:rPr>
      </w:pPr>
    </w:p>
    <w:p w14:paraId="0DB1C617" w14:textId="77777777" w:rsidR="0027007E" w:rsidRPr="00D925A7" w:rsidRDefault="0027007E" w:rsidP="0027007E">
      <w:pPr>
        <w:pStyle w:val="ListParagraph"/>
        <w:numPr>
          <w:ilvl w:val="0"/>
          <w:numId w:val="40"/>
        </w:numPr>
        <w:ind w:left="0" w:firstLine="0"/>
        <w:contextualSpacing w:val="0"/>
        <w:jc w:val="both"/>
        <w:rPr>
          <w:rFonts w:ascii="Verdana" w:hAnsi="Verdana"/>
          <w:sz w:val="20"/>
        </w:rPr>
      </w:pPr>
      <w:r w:rsidRPr="00D925A7">
        <w:rPr>
          <w:rFonts w:ascii="Verdana" w:hAnsi="Verdana"/>
          <w:sz w:val="20"/>
        </w:rPr>
        <w:t>La sentencia sostiene que el acto de firma de una solicitud de referendo</w:t>
      </w:r>
      <w:r>
        <w:rPr>
          <w:rFonts w:ascii="Verdana" w:hAnsi="Verdana"/>
          <w:sz w:val="20"/>
        </w:rPr>
        <w:t xml:space="preserve"> por parte de </w:t>
      </w:r>
      <w:r w:rsidRPr="00066324">
        <w:rPr>
          <w:rFonts w:ascii="Verdana" w:hAnsi="Verdana"/>
          <w:sz w:val="20"/>
        </w:rPr>
        <w:t xml:space="preserve">las señoras Rocío San Miguel Sosa, </w:t>
      </w:r>
      <w:proofErr w:type="spellStart"/>
      <w:r w:rsidRPr="00066324">
        <w:rPr>
          <w:rFonts w:ascii="Verdana" w:hAnsi="Verdana"/>
          <w:sz w:val="20"/>
        </w:rPr>
        <w:t>Magally</w:t>
      </w:r>
      <w:proofErr w:type="spellEnd"/>
      <w:r w:rsidRPr="00066324">
        <w:rPr>
          <w:rFonts w:ascii="Verdana" w:hAnsi="Verdana"/>
          <w:sz w:val="20"/>
        </w:rPr>
        <w:t xml:space="preserve"> Chang Girón y Thais Coromoto Peña</w:t>
      </w:r>
      <w:r w:rsidRPr="00D925A7">
        <w:rPr>
          <w:rFonts w:ascii="Verdana" w:hAnsi="Verdana"/>
          <w:sz w:val="20"/>
        </w:rPr>
        <w:t xml:space="preserve"> fue una forma de opinión </w:t>
      </w:r>
      <w:r w:rsidRPr="00D925A7">
        <w:rPr>
          <w:rFonts w:ascii="Verdana" w:hAnsi="Verdana"/>
          <w:spacing w:val="-3"/>
          <w:sz w:val="20"/>
        </w:rPr>
        <w:t>política, lo que implicó un ejercicio de</w:t>
      </w:r>
      <w:r>
        <w:rPr>
          <w:rFonts w:ascii="Verdana" w:hAnsi="Verdana"/>
          <w:spacing w:val="-3"/>
          <w:sz w:val="20"/>
        </w:rPr>
        <w:t xml:space="preserve"> sus derechos políticos y de</w:t>
      </w:r>
      <w:r w:rsidRPr="00D925A7">
        <w:rPr>
          <w:rFonts w:ascii="Verdana" w:hAnsi="Verdana"/>
          <w:spacing w:val="-3"/>
          <w:sz w:val="20"/>
        </w:rPr>
        <w:t xml:space="preserve"> </w:t>
      </w:r>
      <w:r>
        <w:rPr>
          <w:rFonts w:ascii="Verdana" w:hAnsi="Verdana"/>
          <w:spacing w:val="-3"/>
          <w:sz w:val="20"/>
        </w:rPr>
        <w:t>su</w:t>
      </w:r>
      <w:r w:rsidRPr="00D925A7">
        <w:rPr>
          <w:rFonts w:ascii="Verdana" w:hAnsi="Verdana"/>
          <w:spacing w:val="-3"/>
          <w:sz w:val="20"/>
        </w:rPr>
        <w:t xml:space="preserve"> libertad de expresión (</w:t>
      </w:r>
      <w:r w:rsidRPr="00D925A7">
        <w:rPr>
          <w:rFonts w:ascii="Verdana" w:hAnsi="Verdana"/>
          <w:i/>
          <w:spacing w:val="-3"/>
          <w:sz w:val="20"/>
        </w:rPr>
        <w:t xml:space="preserve">supra </w:t>
      </w:r>
      <w:proofErr w:type="spellStart"/>
      <w:r w:rsidRPr="00D925A7">
        <w:rPr>
          <w:rFonts w:ascii="Verdana" w:hAnsi="Verdana"/>
          <w:spacing w:val="-3"/>
          <w:sz w:val="20"/>
        </w:rPr>
        <w:t>párr</w:t>
      </w:r>
      <w:r>
        <w:rPr>
          <w:rFonts w:ascii="Verdana" w:hAnsi="Verdana"/>
          <w:spacing w:val="-3"/>
          <w:sz w:val="20"/>
        </w:rPr>
        <w:t>s</w:t>
      </w:r>
      <w:proofErr w:type="spellEnd"/>
      <w:r w:rsidRPr="00D925A7">
        <w:rPr>
          <w:rFonts w:ascii="Verdana" w:hAnsi="Verdana"/>
          <w:spacing w:val="-3"/>
          <w:sz w:val="20"/>
        </w:rPr>
        <w:t xml:space="preserve">. </w:t>
      </w:r>
      <w:r>
        <w:rPr>
          <w:rFonts w:ascii="Verdana" w:hAnsi="Verdana"/>
          <w:spacing w:val="-3"/>
          <w:sz w:val="20"/>
        </w:rPr>
        <w:t xml:space="preserve">156 a </w:t>
      </w:r>
      <w:r w:rsidRPr="00D925A7">
        <w:rPr>
          <w:rFonts w:ascii="Verdana" w:hAnsi="Verdana"/>
          <w:spacing w:val="-3"/>
          <w:sz w:val="20"/>
        </w:rPr>
        <w:t xml:space="preserve">158). De esta forma, para la </w:t>
      </w:r>
      <w:r>
        <w:rPr>
          <w:rFonts w:ascii="Verdana" w:hAnsi="Verdana"/>
          <w:spacing w:val="-3"/>
          <w:sz w:val="20"/>
        </w:rPr>
        <w:t>mayoría</w:t>
      </w:r>
      <w:r w:rsidRPr="00D925A7">
        <w:rPr>
          <w:rFonts w:ascii="Verdana" w:hAnsi="Verdana"/>
          <w:spacing w:val="-3"/>
          <w:sz w:val="20"/>
        </w:rPr>
        <w:t xml:space="preserve">, el hecho de que las víctimas hubieran sufrido una represalia por haber firmado el referendo </w:t>
      </w:r>
      <w:r>
        <w:rPr>
          <w:rFonts w:ascii="Verdana" w:hAnsi="Verdana"/>
          <w:spacing w:val="-3"/>
          <w:sz w:val="20"/>
        </w:rPr>
        <w:t>constituyó</w:t>
      </w:r>
      <w:r w:rsidRPr="00D925A7">
        <w:rPr>
          <w:rFonts w:ascii="Verdana" w:hAnsi="Verdana"/>
          <w:spacing w:val="-3"/>
          <w:sz w:val="20"/>
        </w:rPr>
        <w:t xml:space="preserve"> no sólo un acto de discriminación y una afectación a sus derechos políticos, sino también una violación a su derecho a la libertad de expresión. </w:t>
      </w:r>
      <w:r>
        <w:rPr>
          <w:rFonts w:ascii="Verdana" w:hAnsi="Verdana"/>
          <w:sz w:val="20"/>
        </w:rPr>
        <w:t>En consecuencia,</w:t>
      </w:r>
      <w:r w:rsidRPr="00066324">
        <w:rPr>
          <w:rFonts w:ascii="Verdana" w:hAnsi="Verdana"/>
          <w:sz w:val="20"/>
        </w:rPr>
        <w:t xml:space="preserve"> la </w:t>
      </w:r>
      <w:r>
        <w:rPr>
          <w:rFonts w:ascii="Verdana" w:hAnsi="Verdana"/>
          <w:sz w:val="20"/>
        </w:rPr>
        <w:t>mayoría</w:t>
      </w:r>
      <w:r w:rsidRPr="00066324">
        <w:rPr>
          <w:rFonts w:ascii="Verdana" w:hAnsi="Verdana"/>
          <w:sz w:val="20"/>
        </w:rPr>
        <w:t xml:space="preserve"> concluyó que el </w:t>
      </w:r>
      <w:r w:rsidRPr="00066324">
        <w:rPr>
          <w:rFonts w:ascii="Verdana" w:hAnsi="Verdana"/>
          <w:spacing w:val="-2"/>
          <w:sz w:val="20"/>
        </w:rPr>
        <w:t xml:space="preserve">Estado es responsable por la violación </w:t>
      </w:r>
      <w:r>
        <w:rPr>
          <w:rFonts w:ascii="Verdana" w:hAnsi="Verdana"/>
          <w:spacing w:val="-2"/>
          <w:sz w:val="20"/>
        </w:rPr>
        <w:t>de los artículos 23.1.b) y 13.1 en relación con el artículo 1.1 del mismo instrumento.</w:t>
      </w:r>
    </w:p>
    <w:p w14:paraId="780918C6" w14:textId="77777777" w:rsidR="0027007E" w:rsidRPr="00D925A7" w:rsidRDefault="0027007E" w:rsidP="0027007E">
      <w:pPr>
        <w:pStyle w:val="ListParagraph"/>
        <w:rPr>
          <w:rFonts w:ascii="Verdana" w:hAnsi="Verdana"/>
          <w:spacing w:val="-3"/>
          <w:sz w:val="20"/>
        </w:rPr>
      </w:pPr>
    </w:p>
    <w:p w14:paraId="10085B85" w14:textId="77777777" w:rsidR="0027007E"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N</w:t>
      </w:r>
      <w:r w:rsidRPr="00066324">
        <w:rPr>
          <w:rFonts w:ascii="Verdana" w:hAnsi="Verdana"/>
          <w:sz w:val="20"/>
        </w:rPr>
        <w:t xml:space="preserve">o cabe duda que </w:t>
      </w:r>
      <w:r w:rsidRPr="00066324">
        <w:rPr>
          <w:rFonts w:ascii="Verdana" w:hAnsi="Verdana"/>
          <w:sz w:val="20"/>
          <w:shd w:val="clear" w:color="auto" w:fill="FFFFFF"/>
        </w:rPr>
        <w:t xml:space="preserve">la libertad de expresión y de </w:t>
      </w:r>
      <w:r>
        <w:rPr>
          <w:rFonts w:ascii="Verdana" w:hAnsi="Verdana"/>
          <w:sz w:val="20"/>
          <w:shd w:val="clear" w:color="auto" w:fill="FFFFFF"/>
        </w:rPr>
        <w:t>pensamiento</w:t>
      </w:r>
      <w:r w:rsidRPr="00066324">
        <w:rPr>
          <w:rFonts w:ascii="Verdana" w:hAnsi="Verdana"/>
          <w:sz w:val="20"/>
        </w:rPr>
        <w:t xml:space="preserve"> es</w:t>
      </w:r>
      <w:r>
        <w:rPr>
          <w:rFonts w:ascii="Verdana" w:hAnsi="Verdana"/>
          <w:sz w:val="20"/>
        </w:rPr>
        <w:t xml:space="preserve"> un</w:t>
      </w:r>
      <w:r w:rsidRPr="00066324">
        <w:rPr>
          <w:rFonts w:ascii="Verdana" w:hAnsi="Verdana"/>
          <w:sz w:val="20"/>
        </w:rPr>
        <w:t xml:space="preserve"> componente fundamental del ejercicio de la democracia; que </w:t>
      </w:r>
      <w:r w:rsidRPr="00066324">
        <w:rPr>
          <w:rStyle w:val="apple-converted-space"/>
          <w:sz w:val="20"/>
        </w:rPr>
        <w:t>sin una efectiva garantía de tal libertad se debilitan el sistema democrático, el pluralismo y la tolerancia</w:t>
      </w:r>
      <w:r>
        <w:rPr>
          <w:rStyle w:val="apple-converted-space"/>
          <w:sz w:val="20"/>
        </w:rPr>
        <w:t>,</w:t>
      </w:r>
      <w:r w:rsidRPr="00066324">
        <w:rPr>
          <w:rStyle w:val="apple-converted-space"/>
          <w:sz w:val="20"/>
        </w:rPr>
        <w:t xml:space="preserve"> y </w:t>
      </w:r>
      <w:r>
        <w:rPr>
          <w:rStyle w:val="apple-converted-space"/>
          <w:sz w:val="20"/>
        </w:rPr>
        <w:t xml:space="preserve">que </w:t>
      </w:r>
      <w:r w:rsidRPr="00066324">
        <w:rPr>
          <w:rStyle w:val="apple-converted-space"/>
          <w:sz w:val="20"/>
        </w:rPr>
        <w:t xml:space="preserve">pueden volverse inoperantes los mecanismos de control y denuncia ciudadana, </w:t>
      </w:r>
      <w:r w:rsidRPr="00066324">
        <w:rPr>
          <w:rFonts w:ascii="Verdana" w:hAnsi="Verdana"/>
          <w:sz w:val="20"/>
        </w:rPr>
        <w:t xml:space="preserve">creando un campo fértil para el arraigo de sistemas autoritarios; y, asimismo, que </w:t>
      </w:r>
      <w:r w:rsidRPr="00066324">
        <w:rPr>
          <w:rFonts w:ascii="Verdana" w:hAnsi="Verdana" w:cs="Arial"/>
          <w:sz w:val="20"/>
        </w:rPr>
        <w:t xml:space="preserve">en el debate sobre temas de alto interés público, </w:t>
      </w:r>
      <w:r>
        <w:rPr>
          <w:rFonts w:ascii="Verdana" w:hAnsi="Verdana" w:cs="Arial"/>
          <w:sz w:val="20"/>
        </w:rPr>
        <w:t>la Convención protege tanto</w:t>
      </w:r>
      <w:r w:rsidRPr="00066324">
        <w:rPr>
          <w:rFonts w:ascii="Verdana" w:hAnsi="Verdana" w:cs="Arial"/>
          <w:sz w:val="20"/>
        </w:rPr>
        <w:t xml:space="preserve"> la emisión tanto de expresiones inofensivas o bien recibidas por la opinión pública, como de aquellas que chocan, irritan o inquietan a funcionarios públicos o a un sector de la población (</w:t>
      </w:r>
      <w:r w:rsidRPr="00066324">
        <w:rPr>
          <w:rFonts w:ascii="Verdana" w:hAnsi="Verdana" w:cs="Arial"/>
          <w:i/>
          <w:sz w:val="20"/>
        </w:rPr>
        <w:t xml:space="preserve">supra </w:t>
      </w:r>
      <w:proofErr w:type="spellStart"/>
      <w:r w:rsidRPr="00066324">
        <w:rPr>
          <w:rFonts w:ascii="Verdana" w:hAnsi="Verdana" w:cs="Arial"/>
          <w:sz w:val="20"/>
        </w:rPr>
        <w:t>párrs</w:t>
      </w:r>
      <w:proofErr w:type="spellEnd"/>
      <w:r w:rsidRPr="00066324">
        <w:rPr>
          <w:rFonts w:ascii="Verdana" w:hAnsi="Verdana" w:cs="Arial"/>
          <w:sz w:val="20"/>
        </w:rPr>
        <w:t xml:space="preserve">. 152 a 155). </w:t>
      </w:r>
      <w:r>
        <w:rPr>
          <w:rFonts w:ascii="Verdana" w:hAnsi="Verdana" w:cs="Arial"/>
          <w:sz w:val="20"/>
        </w:rPr>
        <w:t xml:space="preserve">En ese sentido, </w:t>
      </w:r>
      <w:r>
        <w:rPr>
          <w:rFonts w:ascii="Verdana" w:hAnsi="Verdana"/>
          <w:sz w:val="20"/>
        </w:rPr>
        <w:t>c</w:t>
      </w:r>
      <w:r w:rsidRPr="00066324">
        <w:rPr>
          <w:rFonts w:ascii="Verdana" w:hAnsi="Verdana"/>
          <w:sz w:val="20"/>
        </w:rPr>
        <w:t xml:space="preserve">omparto plenamente los criterios </w:t>
      </w:r>
      <w:r>
        <w:rPr>
          <w:rFonts w:ascii="Verdana" w:hAnsi="Verdana"/>
          <w:sz w:val="20"/>
        </w:rPr>
        <w:t>sustantivos</w:t>
      </w:r>
      <w:r w:rsidRPr="00066324">
        <w:rPr>
          <w:rFonts w:ascii="Verdana" w:hAnsi="Verdana"/>
          <w:sz w:val="20"/>
        </w:rPr>
        <w:t xml:space="preserve"> señalados por la Corte</w:t>
      </w:r>
      <w:r>
        <w:rPr>
          <w:rFonts w:ascii="Verdana" w:hAnsi="Verdana"/>
          <w:sz w:val="20"/>
        </w:rPr>
        <w:t xml:space="preserve"> en materia de libertad a lo largo de la sentencia</w:t>
      </w:r>
      <w:r w:rsidRPr="00066324">
        <w:rPr>
          <w:rFonts w:ascii="Verdana" w:hAnsi="Verdana"/>
          <w:sz w:val="20"/>
        </w:rPr>
        <w:t>.</w:t>
      </w:r>
    </w:p>
    <w:p w14:paraId="2BABACE6" w14:textId="77777777" w:rsidR="0027007E" w:rsidRPr="000D0A2D" w:rsidRDefault="0027007E" w:rsidP="0027007E">
      <w:pPr>
        <w:pStyle w:val="ListParagraph"/>
        <w:rPr>
          <w:rFonts w:ascii="Verdana" w:hAnsi="Verdana"/>
          <w:sz w:val="20"/>
        </w:rPr>
      </w:pPr>
    </w:p>
    <w:p w14:paraId="7414B424" w14:textId="77777777" w:rsidR="0027007E" w:rsidRPr="00A7642F" w:rsidRDefault="0027007E" w:rsidP="0027007E">
      <w:pPr>
        <w:pStyle w:val="ListParagraph"/>
        <w:numPr>
          <w:ilvl w:val="0"/>
          <w:numId w:val="40"/>
        </w:numPr>
        <w:ind w:left="0" w:firstLine="0"/>
        <w:contextualSpacing w:val="0"/>
        <w:jc w:val="both"/>
        <w:rPr>
          <w:rFonts w:ascii="Verdana" w:hAnsi="Verdana"/>
          <w:sz w:val="20"/>
        </w:rPr>
      </w:pPr>
      <w:r w:rsidRPr="00A7642F">
        <w:rPr>
          <w:rFonts w:ascii="Verdana" w:hAnsi="Verdana"/>
          <w:sz w:val="20"/>
        </w:rPr>
        <w:t xml:space="preserve">Sin embargo, disiento de la conclusión de la mayoría respecto a la responsabilidad internacional del Estado por la violación a la libertad de expresión en el presente caso. La razón es que, en mi concepto, la mayoría cae en una contradicción al declarar la responsabilidad internacional del Estado por la violación a los derechos políticos de las víctimas, derivadas de las represalias por haber firmado a favor de la convocatoria al referendo revocatorio, y al mismo tiempo considerar que la firma de la solicitud de referendo constituyó un ejercicio de la libertad de expresión por parte de las víctimas. Sucede que, si se admite que las víctimas estaban ejerciendo una forma de opinión política al firmar la solicitud de referendo, y por lo tanto se encontraban ejerciendo sus derechos políticos, esto no implica que dicha manifestación de voluntad se encontrara dirigida a que su opinión se hiciera pública. </w:t>
      </w:r>
    </w:p>
    <w:p w14:paraId="594FB8F2" w14:textId="77777777" w:rsidR="0027007E" w:rsidRPr="009B3E0E" w:rsidRDefault="0027007E" w:rsidP="0027007E">
      <w:pPr>
        <w:pStyle w:val="ListParagraph"/>
        <w:ind w:left="0"/>
        <w:jc w:val="both"/>
        <w:rPr>
          <w:rFonts w:ascii="Verdana" w:hAnsi="Verdana"/>
          <w:sz w:val="20"/>
        </w:rPr>
      </w:pPr>
    </w:p>
    <w:p w14:paraId="6276FD18" w14:textId="77777777" w:rsidR="0027007E" w:rsidRPr="00E0712D" w:rsidRDefault="0027007E" w:rsidP="0027007E">
      <w:pPr>
        <w:pStyle w:val="ListParagraph"/>
        <w:numPr>
          <w:ilvl w:val="0"/>
          <w:numId w:val="40"/>
        </w:numPr>
        <w:ind w:left="0" w:firstLine="0"/>
        <w:contextualSpacing w:val="0"/>
        <w:jc w:val="both"/>
        <w:rPr>
          <w:rFonts w:ascii="Verdana" w:hAnsi="Verdana"/>
          <w:sz w:val="20"/>
        </w:rPr>
      </w:pPr>
      <w:r w:rsidRPr="00E0712D">
        <w:rPr>
          <w:rFonts w:ascii="Verdana" w:hAnsi="Verdana"/>
          <w:sz w:val="20"/>
        </w:rPr>
        <w:t xml:space="preserve">Es importante recordar que la libertad de expresión está orientada a la protección de las personas para manifestar sus ideas. La Corte ha establecido que </w:t>
      </w:r>
      <w:r w:rsidRPr="00E0712D">
        <w:rPr>
          <w:rFonts w:ascii="Verdana" w:hAnsi="Verdana" w:cs="Arial"/>
          <w:sz w:val="20"/>
          <w:lang w:val="es-CR"/>
        </w:rPr>
        <w:t>la libertad de expresión incluye no sólo el derecho y la libertad de las personas de expresar su propio pensamiento, sino también el derecho y la libertad de buscar, recibir y difundir informaciones e ideas de toda índole. Es por ello que la libertad de expresión tiene una dimensión individual y una dimensión social, a saber: “ésta requiere, por un lado, que nadie sea arbitrariamente menoscabado o impedido de manifestar su propio pensamiento y representa, por tanto, un derecho de cada individuo; pero implica también, por otro lado, un derecho colectivo a recibir cualquier información y a conocer la expresión del pensamiento ajeno</w:t>
      </w:r>
      <w:r>
        <w:rPr>
          <w:rFonts w:ascii="Verdana" w:hAnsi="Verdana" w:cs="Arial"/>
          <w:sz w:val="20"/>
          <w:lang w:val="es-CR"/>
        </w:rPr>
        <w:t>.</w:t>
      </w:r>
      <w:r w:rsidRPr="00E0712D">
        <w:rPr>
          <w:rFonts w:ascii="Verdana" w:hAnsi="Verdana"/>
          <w:sz w:val="20"/>
          <w:vertAlign w:val="superscript"/>
        </w:rPr>
        <w:footnoteReference w:id="400"/>
      </w:r>
      <w:r w:rsidRPr="00E0712D">
        <w:rPr>
          <w:rFonts w:ascii="Verdana" w:hAnsi="Verdana" w:cs="Arial"/>
          <w:sz w:val="20"/>
          <w:lang w:val="es-CR"/>
        </w:rPr>
        <w:t>”</w:t>
      </w:r>
    </w:p>
    <w:p w14:paraId="09D8721D" w14:textId="77777777" w:rsidR="0027007E" w:rsidRPr="003869E5" w:rsidRDefault="0027007E" w:rsidP="0027007E">
      <w:pPr>
        <w:pStyle w:val="ListParagraph"/>
        <w:rPr>
          <w:rFonts w:ascii="Verdana" w:hAnsi="Verdana" w:cs="Arial"/>
          <w:sz w:val="20"/>
          <w:highlight w:val="yellow"/>
        </w:rPr>
      </w:pPr>
    </w:p>
    <w:p w14:paraId="4F9E87B1" w14:textId="77777777" w:rsidR="0027007E" w:rsidRPr="00BE7637" w:rsidRDefault="0027007E" w:rsidP="0027007E">
      <w:pPr>
        <w:pStyle w:val="ListParagraph"/>
        <w:numPr>
          <w:ilvl w:val="0"/>
          <w:numId w:val="40"/>
        </w:numPr>
        <w:ind w:left="0" w:firstLine="0"/>
        <w:contextualSpacing w:val="0"/>
        <w:jc w:val="both"/>
        <w:rPr>
          <w:rFonts w:ascii="Verdana" w:hAnsi="Verdana"/>
          <w:sz w:val="20"/>
        </w:rPr>
      </w:pPr>
      <w:r w:rsidRPr="00BE7637">
        <w:rPr>
          <w:rFonts w:ascii="Verdana" w:hAnsi="Verdana" w:cs="Arial"/>
          <w:sz w:val="20"/>
          <w:lang w:val="es-CR"/>
        </w:rPr>
        <w:t>Al respecto, la Corte ha indicado que la primera dimensión de la libertad de expresión “no se agota en el reconocimiento teórico del derecho a hablar o escribir, sino que comprende además, inseparablemente, el derecho a utilizar cualquier medio apropiado para difundir el pensamiento y hacerlo llegar al mayor número de destinatarios”</w:t>
      </w:r>
      <w:r w:rsidRPr="00BE7637">
        <w:rPr>
          <w:vertAlign w:val="superscript"/>
        </w:rPr>
        <w:footnoteReference w:id="401"/>
      </w:r>
      <w:r w:rsidRPr="00BE7637">
        <w:rPr>
          <w:rFonts w:ascii="Verdana" w:hAnsi="Verdana" w:cs="Arial"/>
          <w:sz w:val="20"/>
          <w:lang w:val="es-CR"/>
        </w:rPr>
        <w:t>. En este sentido, la expresión y la difusión de pensamientos e ideas son indivisibles, de modo que una restricción de las posibilidades de divulgación representa directamente, y en la misma medida, un límite al derecho de expresarse libremente</w:t>
      </w:r>
      <w:r w:rsidRPr="00BE7637">
        <w:rPr>
          <w:vertAlign w:val="superscript"/>
        </w:rPr>
        <w:footnoteReference w:id="402"/>
      </w:r>
      <w:r w:rsidRPr="00BE7637">
        <w:rPr>
          <w:rFonts w:ascii="Verdana" w:hAnsi="Verdana" w:cs="Arial"/>
          <w:sz w:val="20"/>
          <w:lang w:val="es-CR"/>
        </w:rPr>
        <w:t>.</w:t>
      </w:r>
    </w:p>
    <w:p w14:paraId="0FC8843E" w14:textId="77777777" w:rsidR="0027007E" w:rsidRPr="00BE7637" w:rsidRDefault="0027007E" w:rsidP="0027007E">
      <w:pPr>
        <w:pStyle w:val="ListParagraph"/>
        <w:ind w:left="0"/>
        <w:jc w:val="both"/>
        <w:rPr>
          <w:rFonts w:ascii="Verdana" w:hAnsi="Verdana"/>
          <w:sz w:val="20"/>
        </w:rPr>
      </w:pPr>
    </w:p>
    <w:p w14:paraId="1A860A6E" w14:textId="77777777" w:rsidR="0027007E" w:rsidRPr="00BE7637" w:rsidRDefault="0027007E" w:rsidP="0027007E">
      <w:pPr>
        <w:pStyle w:val="ListParagraph"/>
        <w:numPr>
          <w:ilvl w:val="0"/>
          <w:numId w:val="40"/>
        </w:numPr>
        <w:ind w:left="0" w:firstLine="0"/>
        <w:contextualSpacing w:val="0"/>
        <w:jc w:val="both"/>
        <w:rPr>
          <w:rFonts w:ascii="Verdana" w:hAnsi="Verdana"/>
          <w:sz w:val="20"/>
        </w:rPr>
      </w:pPr>
      <w:r w:rsidRPr="00BE7637">
        <w:rPr>
          <w:rFonts w:ascii="Verdana" w:hAnsi="Verdana" w:cs="Arial"/>
          <w:sz w:val="20"/>
          <w:lang w:val="es-CR"/>
        </w:rPr>
        <w:t>Con respecto a la segunda dimensión del derecho a la libertad de expresión, esto es, la social, es fundamental tener en cuenta que la protección de este derecho es un medio para permitir el intercambio de ideas e informaciones entre las personas. Esto comprende su derecho comunicar a otros sus puntos de vista, y de manera correlativa implica también el derecho de todos a conocer opiniones, relatos y noticias vertidas por terceros. Para el ciudadano común tiene tanta importancia el conocimiento de la opinión ajena o de la información de que disponen otros, como el derecho a difundir la propia</w:t>
      </w:r>
      <w:r w:rsidRPr="00BE7637">
        <w:rPr>
          <w:vertAlign w:val="superscript"/>
        </w:rPr>
        <w:footnoteReference w:id="403"/>
      </w:r>
      <w:r w:rsidRPr="00BE7637">
        <w:rPr>
          <w:rFonts w:ascii="Verdana" w:hAnsi="Verdana" w:cs="Arial"/>
          <w:sz w:val="20"/>
          <w:lang w:val="es-CR"/>
        </w:rPr>
        <w:t>.</w:t>
      </w:r>
    </w:p>
    <w:p w14:paraId="234AD184" w14:textId="77777777" w:rsidR="0027007E" w:rsidRPr="00BE7637" w:rsidRDefault="0027007E" w:rsidP="0027007E">
      <w:pPr>
        <w:pStyle w:val="ListParagraph"/>
        <w:rPr>
          <w:rFonts w:ascii="Verdana" w:hAnsi="Verdana" w:cs="Arial"/>
          <w:sz w:val="20"/>
          <w:lang w:val="es-CR"/>
        </w:rPr>
      </w:pPr>
    </w:p>
    <w:p w14:paraId="0854673C" w14:textId="77777777" w:rsidR="0027007E" w:rsidRPr="00BE7637" w:rsidRDefault="0027007E" w:rsidP="0027007E">
      <w:pPr>
        <w:pStyle w:val="ListParagraph"/>
        <w:numPr>
          <w:ilvl w:val="0"/>
          <w:numId w:val="40"/>
        </w:numPr>
        <w:ind w:left="0" w:firstLine="0"/>
        <w:contextualSpacing w:val="0"/>
        <w:jc w:val="both"/>
        <w:rPr>
          <w:rFonts w:ascii="Verdana" w:hAnsi="Verdana"/>
          <w:sz w:val="20"/>
        </w:rPr>
      </w:pPr>
      <w:r w:rsidRPr="00BE7637">
        <w:rPr>
          <w:rFonts w:ascii="Verdana" w:hAnsi="Verdana" w:cs="Arial"/>
          <w:sz w:val="20"/>
          <w:lang w:val="es-CR"/>
        </w:rPr>
        <w:t>Este Tribunal ha afirmado que ambas dimensiones poseen igual importancia y deben ser garantizadas plenamente, en forma simultánea, para dar efectividad total al derecho a la libertad de expresión en los términos previstos por el artículo 13 de la Convención</w:t>
      </w:r>
      <w:r w:rsidRPr="00BE7637">
        <w:rPr>
          <w:vertAlign w:val="superscript"/>
        </w:rPr>
        <w:footnoteReference w:id="404"/>
      </w:r>
      <w:r w:rsidRPr="00BE7637">
        <w:rPr>
          <w:rFonts w:ascii="Verdana" w:hAnsi="Verdana" w:cs="Arial"/>
          <w:sz w:val="20"/>
          <w:lang w:val="es-CR"/>
        </w:rPr>
        <w:t>.</w:t>
      </w:r>
    </w:p>
    <w:p w14:paraId="290917B4" w14:textId="77777777" w:rsidR="0027007E" w:rsidRPr="003869E5" w:rsidRDefault="0027007E" w:rsidP="0027007E">
      <w:pPr>
        <w:pStyle w:val="ListParagraph"/>
        <w:rPr>
          <w:rFonts w:ascii="Verdana" w:hAnsi="Verdana"/>
          <w:sz w:val="20"/>
          <w:highlight w:val="yellow"/>
        </w:rPr>
      </w:pPr>
    </w:p>
    <w:p w14:paraId="5CDF22FD" w14:textId="77777777" w:rsidR="0027007E" w:rsidRPr="00A7642F" w:rsidRDefault="0027007E" w:rsidP="0027007E">
      <w:pPr>
        <w:pStyle w:val="ListParagraph"/>
        <w:numPr>
          <w:ilvl w:val="0"/>
          <w:numId w:val="40"/>
        </w:numPr>
        <w:ind w:left="0" w:firstLine="0"/>
        <w:contextualSpacing w:val="0"/>
        <w:jc w:val="both"/>
        <w:rPr>
          <w:rFonts w:ascii="Verdana" w:hAnsi="Verdana"/>
          <w:sz w:val="20"/>
        </w:rPr>
      </w:pPr>
      <w:r w:rsidRPr="00A7642F">
        <w:rPr>
          <w:rFonts w:ascii="Verdana" w:hAnsi="Verdana"/>
          <w:sz w:val="20"/>
        </w:rPr>
        <w:t xml:space="preserve">Esta doble dimensión de la protección a la libertad de expresión debió ser tomada seriamente en consideración en el presente caso. Si la mayoría lo hubiera hecho así, habría sido posible señalar que el hecho de que las señoras Rocío San Miguel Sosa, </w:t>
      </w:r>
      <w:proofErr w:type="spellStart"/>
      <w:r w:rsidRPr="00A7642F">
        <w:rPr>
          <w:rFonts w:ascii="Verdana" w:hAnsi="Verdana"/>
          <w:sz w:val="20"/>
        </w:rPr>
        <w:t>Magally</w:t>
      </w:r>
      <w:proofErr w:type="spellEnd"/>
      <w:r w:rsidRPr="00A7642F">
        <w:rPr>
          <w:rFonts w:ascii="Verdana" w:hAnsi="Verdana"/>
          <w:sz w:val="20"/>
        </w:rPr>
        <w:t xml:space="preserve"> Chang Girón y Thais Coromoto Peña hayan manifestado una opinión política tras la firma a favor de la convocatoria del referendo revocatorio, esto no significó que estaban ejerciendo su derecho a la libertad de expresión. La manifestación de la opinión de las víctimas en el presente caso no estaba dirigida a “</w:t>
      </w:r>
      <w:r w:rsidRPr="00A7642F">
        <w:rPr>
          <w:rFonts w:ascii="Verdana" w:hAnsi="Verdana" w:cs="Tahoma"/>
          <w:sz w:val="20"/>
          <w:lang w:val="es-CR"/>
        </w:rPr>
        <w:t xml:space="preserve">buscar, recibir y difundir informaciones e ideas de toda índole, sin consideración de fronteras, ya sea oralmente, por escrito o en forma impresa o artística, o por cualquier otro procedimiento de su elección” como lo marca el artículo 13 de la Convención, sino a participar en una solicitud de convocatoria de referéndum, lo cual es </w:t>
      </w:r>
      <w:r w:rsidRPr="00A7642F">
        <w:rPr>
          <w:rFonts w:ascii="Verdana" w:hAnsi="Verdana" w:cs="Tahoma"/>
          <w:sz w:val="20"/>
          <w:lang w:val="es-CR"/>
        </w:rPr>
        <w:lastRenderedPageBreak/>
        <w:t>una clara manifestación de su derecho a participar y ejercer su voluntad política en un proceso democrático. En estas circunstancias, era menester que dicha participación no fuera pública, pues ésta no era la intención de las víctimas, quienes se encontraban en un contexto de alta inestabilidad, polarización política e intolerancia a la disidencia.</w:t>
      </w:r>
    </w:p>
    <w:p w14:paraId="774E3280" w14:textId="77777777" w:rsidR="0027007E" w:rsidRPr="004201E7" w:rsidRDefault="0027007E" w:rsidP="0027007E">
      <w:pPr>
        <w:pStyle w:val="ListParagraph"/>
        <w:ind w:left="0"/>
        <w:jc w:val="both"/>
        <w:rPr>
          <w:rFonts w:ascii="Verdana" w:hAnsi="Verdana"/>
          <w:sz w:val="20"/>
        </w:rPr>
      </w:pPr>
    </w:p>
    <w:p w14:paraId="0DF45C9A" w14:textId="77777777" w:rsidR="0027007E" w:rsidRDefault="0027007E" w:rsidP="0027007E">
      <w:pPr>
        <w:pStyle w:val="ListParagraph"/>
        <w:numPr>
          <w:ilvl w:val="0"/>
          <w:numId w:val="40"/>
        </w:numPr>
        <w:ind w:left="0" w:firstLine="0"/>
        <w:contextualSpacing w:val="0"/>
        <w:jc w:val="both"/>
        <w:rPr>
          <w:rFonts w:ascii="Verdana" w:hAnsi="Verdana"/>
          <w:sz w:val="20"/>
        </w:rPr>
      </w:pPr>
      <w:r w:rsidRPr="00CD43BF">
        <w:rPr>
          <w:rFonts w:ascii="Verdana" w:hAnsi="Verdana"/>
          <w:sz w:val="20"/>
        </w:rPr>
        <w:t xml:space="preserve">Al respecto, cabe recordar que la Corte ha dicho que </w:t>
      </w:r>
      <w:r>
        <w:rPr>
          <w:rFonts w:ascii="Verdana" w:hAnsi="Verdana"/>
          <w:sz w:val="20"/>
        </w:rPr>
        <w:t>“</w:t>
      </w:r>
      <w:r w:rsidRPr="005A7125">
        <w:rPr>
          <w:rFonts w:ascii="Verdana" w:hAnsi="Verdana"/>
          <w:sz w:val="20"/>
          <w:lang w:val="es-CR"/>
        </w:rPr>
        <w:t>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w:t>
      </w:r>
      <w:r>
        <w:rPr>
          <w:rFonts w:ascii="Verdana" w:hAnsi="Verdana"/>
          <w:sz w:val="20"/>
          <w:lang w:val="es-CR"/>
        </w:rPr>
        <w:t>ras autoridades y de su gestión</w:t>
      </w:r>
      <w:r w:rsidRPr="005A7125">
        <w:rPr>
          <w:rStyle w:val="FootnoteReference"/>
          <w:rFonts w:ascii="Verdana" w:hAnsi="Verdana"/>
          <w:sz w:val="20"/>
        </w:rPr>
        <w:footnoteReference w:id="405"/>
      </w:r>
      <w:r>
        <w:rPr>
          <w:rFonts w:ascii="Verdana" w:hAnsi="Verdana"/>
          <w:sz w:val="20"/>
          <w:lang w:val="es-CR"/>
        </w:rPr>
        <w:t>.”</w:t>
      </w:r>
      <w:r>
        <w:rPr>
          <w:rFonts w:ascii="Verdana" w:hAnsi="Verdana"/>
          <w:sz w:val="20"/>
        </w:rPr>
        <w:t xml:space="preserve"> En este sentido, las discusiones relacionadas con la protección del derecho a la libertad de expresión, en un contexto electoral, suelen estar dirigidas a las condiciones en que un determinado discurso puede ser sujeto a alguna limitación o censura, no a si éste debe ser público o no.</w:t>
      </w:r>
    </w:p>
    <w:p w14:paraId="72913C69" w14:textId="77777777" w:rsidR="0027007E" w:rsidRPr="009C0B33" w:rsidRDefault="0027007E" w:rsidP="0027007E">
      <w:pPr>
        <w:pStyle w:val="ListParagraph"/>
        <w:rPr>
          <w:rFonts w:ascii="Verdana" w:hAnsi="Verdana"/>
          <w:sz w:val="20"/>
        </w:rPr>
      </w:pPr>
    </w:p>
    <w:p w14:paraId="48C77863" w14:textId="77777777" w:rsidR="0027007E"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Lo contrario sucede con algunas facetas de los derechos políticos, específicamente al derecho al “voto secreto que garantice la libre expresión de la voluntad de los ciudadanos”, como lo establece el artículo 23.1.b de la Convención. El sentido de esta protección es precisamente permitir que el votante sea libre de expresar su voluntad en una elección, ajeno a interferencias o presiones. La libertad del votante de “expresar su voluntad” se garantiza precisamente con que ésta no sea conocida más que por la persona que la emite, y por lo tanto su protección tiene un sentido distinto que aquella dirigida a participar en la opinión pública, y que está protegida por el derecho a la libertad de expresión.</w:t>
      </w:r>
    </w:p>
    <w:p w14:paraId="27624B8D" w14:textId="77777777" w:rsidR="0027007E" w:rsidRPr="00684357" w:rsidRDefault="0027007E" w:rsidP="0027007E">
      <w:pPr>
        <w:pStyle w:val="ListParagraph"/>
        <w:rPr>
          <w:rFonts w:ascii="Verdana" w:hAnsi="Verdana"/>
          <w:sz w:val="20"/>
        </w:rPr>
      </w:pPr>
    </w:p>
    <w:p w14:paraId="00F9350C" w14:textId="77777777" w:rsidR="0027007E" w:rsidRPr="00A7642F" w:rsidRDefault="0027007E" w:rsidP="0027007E">
      <w:pPr>
        <w:pStyle w:val="ListParagraph"/>
        <w:numPr>
          <w:ilvl w:val="0"/>
          <w:numId w:val="40"/>
        </w:numPr>
        <w:ind w:left="0" w:firstLine="0"/>
        <w:contextualSpacing w:val="0"/>
        <w:jc w:val="both"/>
        <w:rPr>
          <w:rFonts w:ascii="Verdana" w:hAnsi="Verdana" w:cs="Tahoma"/>
          <w:sz w:val="20"/>
        </w:rPr>
      </w:pPr>
      <w:r w:rsidRPr="00A7642F">
        <w:rPr>
          <w:rFonts w:ascii="Verdana" w:hAnsi="Verdana"/>
          <w:sz w:val="20"/>
        </w:rPr>
        <w:t>Si bien doctrinalmente se ha establecido que el derecho a la libertad de expresión no implica necesariamente la difusión de la opinión expresada, en contextos de referendos revocatorios que implican, por una parte, el ejercicio de derechos políticos y, por otra parte, la garantía del debido proceso del funcionario cuya revocatoria está en juego, si se califica la firma de dicha solicitud de convocatoria como una manifestación de la libertad de expresión, se corre el riesgo de entender que las autoridades electorales pueden suministrar información sobre la voluntad de los ciudadanos favorables a convocar el referendo sin ninguna restricción, lo que en contextos de extrema polarización y represión política, como ocurre en el presente caso, siempre implica un riesgo cierto de represalias.</w:t>
      </w:r>
    </w:p>
    <w:p w14:paraId="7374B225" w14:textId="77777777" w:rsidR="0027007E" w:rsidRPr="00CD43BF" w:rsidRDefault="0027007E" w:rsidP="0027007E">
      <w:pPr>
        <w:pStyle w:val="ListParagraph"/>
        <w:ind w:left="0"/>
        <w:jc w:val="both"/>
        <w:rPr>
          <w:rFonts w:ascii="Verdana" w:hAnsi="Verdana"/>
          <w:sz w:val="20"/>
        </w:rPr>
      </w:pPr>
    </w:p>
    <w:p w14:paraId="5EE33CC3" w14:textId="77777777" w:rsidR="0027007E" w:rsidRPr="00066324"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Confundir el sentido de la protección que ofrece el derecho a la libertad de expresión y el derecho a la participación política es, a mi parecer, conceptualmente equivocado y seriamente cuestionable. Puede llevar a la conclusión de que no existe una violación a un derecho político cuando se haga pública una manifestación política que, como la del presente caso, para que fuera libre, tenía que ser –y mantenerse– en secreto. Lo anterior cobra aún más relevancia si se toma en consideración el contexto de falta de garantías para las víctimas ante posibles y eventuales actos de represalias ante quienes firmaran en el mecanismo de referéndum. En mi entendimiento</w:t>
      </w:r>
      <w:r w:rsidRPr="00066324">
        <w:rPr>
          <w:rFonts w:ascii="Verdana" w:hAnsi="Verdana"/>
          <w:sz w:val="20"/>
        </w:rPr>
        <w:t>, bastaba que la Corte analizara los hechos del</w:t>
      </w:r>
      <w:r>
        <w:rPr>
          <w:rFonts w:ascii="Verdana" w:hAnsi="Verdana"/>
          <w:sz w:val="20"/>
        </w:rPr>
        <w:t xml:space="preserve"> presente</w:t>
      </w:r>
      <w:r w:rsidRPr="00066324">
        <w:rPr>
          <w:rFonts w:ascii="Verdana" w:hAnsi="Verdana"/>
          <w:sz w:val="20"/>
        </w:rPr>
        <w:t xml:space="preserve"> caso únicamente bajo el artículo 23 de la Convención, por lo cual correspondía que el Tribunal no se pronunciara sobre la alegada violación del artículo 13 de la Convención.</w:t>
      </w:r>
    </w:p>
    <w:p w14:paraId="4E9EEBDE" w14:textId="77777777" w:rsidR="0027007E" w:rsidRPr="00066324" w:rsidRDefault="0027007E" w:rsidP="0027007E">
      <w:pPr>
        <w:jc w:val="both"/>
        <w:rPr>
          <w:rFonts w:ascii="Verdana" w:hAnsi="Verdana"/>
        </w:rPr>
      </w:pPr>
    </w:p>
    <w:p w14:paraId="41CB741F" w14:textId="77777777" w:rsidR="0027007E" w:rsidRPr="00066324" w:rsidRDefault="0027007E" w:rsidP="0027007E">
      <w:pPr>
        <w:jc w:val="both"/>
        <w:rPr>
          <w:rFonts w:ascii="Verdana" w:hAnsi="Verdana"/>
          <w:b/>
          <w:i/>
        </w:rPr>
      </w:pPr>
      <w:r w:rsidRPr="00066324">
        <w:rPr>
          <w:rFonts w:ascii="Verdana" w:hAnsi="Verdana"/>
          <w:b/>
          <w:i/>
        </w:rPr>
        <w:lastRenderedPageBreak/>
        <w:t xml:space="preserve">II. </w:t>
      </w:r>
      <w:r w:rsidRPr="00066324">
        <w:rPr>
          <w:rFonts w:ascii="Verdana" w:hAnsi="Verdana"/>
          <w:b/>
          <w:i/>
        </w:rPr>
        <w:tab/>
        <w:t>Respecto de la violación del derecho al trabajo en relación con los derechos a la participación política, a la libertad de expresión y de acceso a la justicia, así como con el principio de no discriminación</w:t>
      </w:r>
    </w:p>
    <w:p w14:paraId="3532A640" w14:textId="77777777" w:rsidR="0027007E" w:rsidRPr="00066324" w:rsidRDefault="0027007E" w:rsidP="0027007E">
      <w:pPr>
        <w:jc w:val="both"/>
        <w:rPr>
          <w:rFonts w:ascii="Verdana" w:hAnsi="Verdana"/>
        </w:rPr>
      </w:pPr>
    </w:p>
    <w:p w14:paraId="7320A8AF" w14:textId="77777777" w:rsidR="0027007E" w:rsidRPr="00066324"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La S</w:t>
      </w:r>
      <w:r w:rsidRPr="00066324">
        <w:rPr>
          <w:rFonts w:ascii="Verdana" w:hAnsi="Verdana"/>
          <w:sz w:val="20"/>
        </w:rPr>
        <w:t>entencia también señaló que la terminación</w:t>
      </w:r>
      <w:r>
        <w:rPr>
          <w:rFonts w:ascii="Verdana" w:hAnsi="Verdana"/>
          <w:sz w:val="20"/>
        </w:rPr>
        <w:t xml:space="preserve"> de la relación laboral de las víctimas</w:t>
      </w:r>
      <w:r w:rsidRPr="00066324">
        <w:rPr>
          <w:rFonts w:ascii="Verdana" w:hAnsi="Verdana"/>
          <w:sz w:val="20"/>
        </w:rPr>
        <w:t xml:space="preserve"> </w:t>
      </w:r>
      <w:r>
        <w:rPr>
          <w:rFonts w:ascii="Verdana" w:hAnsi="Verdana"/>
          <w:sz w:val="20"/>
        </w:rPr>
        <w:t>fue arbitraria, pues</w:t>
      </w:r>
      <w:r w:rsidRPr="00066324">
        <w:rPr>
          <w:rFonts w:ascii="Verdana" w:hAnsi="Verdana"/>
          <w:sz w:val="20"/>
        </w:rPr>
        <w:t xml:space="preserve"> el Estado no les garantizó los derechos de acceso a la justicia y a la tutela judicial efectiva ante su despido (</w:t>
      </w:r>
      <w:r w:rsidRPr="00066324">
        <w:rPr>
          <w:rFonts w:ascii="Verdana" w:hAnsi="Verdana"/>
          <w:i/>
          <w:sz w:val="20"/>
        </w:rPr>
        <w:t xml:space="preserve">supra </w:t>
      </w:r>
      <w:r w:rsidRPr="00066324">
        <w:rPr>
          <w:rFonts w:ascii="Verdana" w:hAnsi="Verdana"/>
          <w:sz w:val="20"/>
        </w:rPr>
        <w:t>párr. 221). En v</w:t>
      </w:r>
      <w:bookmarkStart w:id="62" w:name="_GoBack"/>
      <w:bookmarkEnd w:id="62"/>
      <w:r w:rsidRPr="00066324">
        <w:rPr>
          <w:rFonts w:ascii="Verdana" w:hAnsi="Verdana"/>
          <w:sz w:val="20"/>
        </w:rPr>
        <w:t>irtud de ello, la mayoría votó que el Estado es responsable por la violación del derecho al trabajo, reconocido en el artículo 26 de la Convención, en relación con los derechos a la participación política, a la libertad de expresión y de acceso a la justicia, así como con el principio de no discriminación, reconocidos en los artículos 23.1, 13.1, 8.1, 25.1 y 1.1 del mismo instrumento (</w:t>
      </w:r>
      <w:r w:rsidRPr="00066324">
        <w:rPr>
          <w:rFonts w:ascii="Verdana" w:hAnsi="Verdana"/>
          <w:i/>
          <w:sz w:val="20"/>
        </w:rPr>
        <w:t xml:space="preserve">supra </w:t>
      </w:r>
      <w:r w:rsidRPr="00066324">
        <w:rPr>
          <w:rFonts w:ascii="Verdana" w:hAnsi="Verdana"/>
          <w:sz w:val="20"/>
        </w:rPr>
        <w:t xml:space="preserve">párr. 222). </w:t>
      </w:r>
    </w:p>
    <w:p w14:paraId="46F42DB2" w14:textId="77777777" w:rsidR="0027007E" w:rsidRPr="00066324" w:rsidRDefault="0027007E" w:rsidP="0027007E">
      <w:pPr>
        <w:pStyle w:val="ListParagraph"/>
        <w:ind w:left="0"/>
        <w:jc w:val="both"/>
        <w:rPr>
          <w:rFonts w:ascii="Verdana" w:hAnsi="Verdana"/>
          <w:sz w:val="20"/>
        </w:rPr>
      </w:pPr>
    </w:p>
    <w:p w14:paraId="2089E3B4" w14:textId="77777777" w:rsidR="0027007E" w:rsidRDefault="0027007E" w:rsidP="0027007E">
      <w:pPr>
        <w:pStyle w:val="ListParagraph"/>
        <w:numPr>
          <w:ilvl w:val="0"/>
          <w:numId w:val="40"/>
        </w:numPr>
        <w:ind w:left="0" w:firstLine="0"/>
        <w:contextualSpacing w:val="0"/>
        <w:jc w:val="both"/>
        <w:rPr>
          <w:rFonts w:ascii="Verdana" w:hAnsi="Verdana"/>
          <w:sz w:val="20"/>
        </w:rPr>
      </w:pPr>
      <w:r w:rsidRPr="00066324">
        <w:rPr>
          <w:rFonts w:ascii="Verdana" w:hAnsi="Verdana"/>
          <w:sz w:val="20"/>
        </w:rPr>
        <w:t xml:space="preserve">Esta conclusión se basó en los precedentes de los casos </w:t>
      </w:r>
      <w:r w:rsidRPr="00066324">
        <w:rPr>
          <w:rFonts w:ascii="Verdana" w:hAnsi="Verdana"/>
          <w:i/>
          <w:sz w:val="20"/>
        </w:rPr>
        <w:t xml:space="preserve">Lagos del Campo Vs. Perú </w:t>
      </w:r>
      <w:r w:rsidRPr="00066324">
        <w:rPr>
          <w:rFonts w:ascii="Verdana" w:hAnsi="Verdana"/>
          <w:sz w:val="20"/>
        </w:rPr>
        <w:t xml:space="preserve">y </w:t>
      </w:r>
      <w:r w:rsidRPr="00066324">
        <w:rPr>
          <w:rFonts w:ascii="Verdana" w:hAnsi="Verdana"/>
          <w:bCs/>
          <w:i/>
          <w:sz w:val="20"/>
        </w:rPr>
        <w:t>Trabajadores Cesados de Petroperú y otros Vs. Perú</w:t>
      </w:r>
      <w:r w:rsidRPr="00066324">
        <w:rPr>
          <w:rFonts w:ascii="Verdana" w:hAnsi="Verdana"/>
          <w:sz w:val="20"/>
        </w:rPr>
        <w:t>, en los que la Corte reafirmó su “competencia para conocer y resolver controversias relativas al artículo 26 de la Convención Americana, como parte integrante de los derechos enumerados en la misma, respecto de los cuales el artículo 1.1 confiere obligaciones generales de respeto y garantía a los Estados”</w:t>
      </w:r>
      <w:r w:rsidRPr="00066324">
        <w:rPr>
          <w:rStyle w:val="FootnoteReference"/>
          <w:rFonts w:ascii="Verdana" w:hAnsi="Verdana"/>
          <w:sz w:val="20"/>
        </w:rPr>
        <w:footnoteReference w:id="406"/>
      </w:r>
      <w:r w:rsidRPr="00066324">
        <w:rPr>
          <w:rFonts w:ascii="Verdana" w:hAnsi="Verdana"/>
          <w:sz w:val="20"/>
        </w:rPr>
        <w:t>. En efecto, en esos casos</w:t>
      </w:r>
      <w:r>
        <w:rPr>
          <w:rFonts w:ascii="Verdana" w:hAnsi="Verdana"/>
          <w:sz w:val="20"/>
        </w:rPr>
        <w:t>,</w:t>
      </w:r>
      <w:r w:rsidRPr="00066324">
        <w:rPr>
          <w:rFonts w:ascii="Verdana" w:hAnsi="Verdana"/>
          <w:sz w:val="20"/>
        </w:rPr>
        <w:t xml:space="preserve"> la Corte concluyó que los derechos laborales específicos</w:t>
      </w:r>
      <w:r>
        <w:rPr>
          <w:rFonts w:ascii="Verdana" w:hAnsi="Verdana"/>
          <w:sz w:val="20"/>
        </w:rPr>
        <w:t>,</w:t>
      </w:r>
      <w:r w:rsidRPr="00066324">
        <w:rPr>
          <w:rFonts w:ascii="Verdana" w:hAnsi="Verdana"/>
          <w:sz w:val="20"/>
        </w:rPr>
        <w:t xml:space="preserve"> protegidos por el artículo 26 son aquellos que se “derivan” de las normas económicas, sociales y sobre educación, ciencia y cultura contenidas en la Carta de la OEA, interpretada a la luz de la Declaración Americana y el artículo 29 de la propia Convención Americana</w:t>
      </w:r>
      <w:r>
        <w:rPr>
          <w:rFonts w:ascii="Verdana" w:hAnsi="Verdana"/>
          <w:sz w:val="20"/>
        </w:rPr>
        <w:t>.</w:t>
      </w:r>
    </w:p>
    <w:p w14:paraId="64F1224A" w14:textId="77777777" w:rsidR="0027007E" w:rsidRPr="004B4171" w:rsidRDefault="0027007E" w:rsidP="0027007E">
      <w:pPr>
        <w:pStyle w:val="ListParagraph"/>
        <w:rPr>
          <w:rFonts w:ascii="Verdana" w:hAnsi="Verdana"/>
          <w:sz w:val="20"/>
        </w:rPr>
      </w:pPr>
    </w:p>
    <w:p w14:paraId="11BD700A" w14:textId="77777777" w:rsidR="0027007E"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Al respecto, reitero</w:t>
      </w:r>
      <w:r w:rsidRPr="00F904F1">
        <w:rPr>
          <w:rFonts w:ascii="Verdana" w:hAnsi="Verdana"/>
          <w:sz w:val="20"/>
        </w:rPr>
        <w:t xml:space="preserve"> mis reflexiones expuestas en mis votos disidentes en los referidos casos respecto del Perú</w:t>
      </w:r>
      <w:r w:rsidRPr="00F904F1">
        <w:rPr>
          <w:rFonts w:ascii="Verdana" w:hAnsi="Verdana" w:cs="Arial"/>
          <w:sz w:val="20"/>
        </w:rPr>
        <w:t xml:space="preserve">, que contienen mi posición en cuanto a que la </w:t>
      </w:r>
      <w:proofErr w:type="spellStart"/>
      <w:r w:rsidRPr="00F904F1">
        <w:rPr>
          <w:rFonts w:ascii="Verdana" w:hAnsi="Verdana" w:cs="Arial"/>
          <w:sz w:val="20"/>
        </w:rPr>
        <w:t>justiciabilidad</w:t>
      </w:r>
      <w:proofErr w:type="spellEnd"/>
      <w:r w:rsidRPr="00F904F1">
        <w:rPr>
          <w:rFonts w:ascii="Verdana" w:hAnsi="Verdana" w:cs="Arial"/>
          <w:sz w:val="20"/>
        </w:rPr>
        <w:t xml:space="preserve"> de los derechos económicos, sociales y culturales (DESC) no debe realizarse por medio de la aplicación directa del artículo 26 de la Convención</w:t>
      </w:r>
      <w:r w:rsidRPr="00F904F1">
        <w:rPr>
          <w:rFonts w:ascii="Verdana" w:hAnsi="Verdana"/>
          <w:sz w:val="20"/>
        </w:rPr>
        <w:t xml:space="preserve">. </w:t>
      </w:r>
      <w:r>
        <w:rPr>
          <w:rFonts w:ascii="Verdana" w:hAnsi="Verdana"/>
          <w:sz w:val="20"/>
        </w:rPr>
        <w:t>Tal y como lo he mencionado anteriormente, la legitimidad y efectividad de las sentencias de la Corte puede verse seriamente afectada en la medida en que no sean respetados los aspectos normativos relevantes que definen las competencias del Tribunal, y los límites a la interpretación de las normas de derechos humanos que el propio derecho internacional prevé.</w:t>
      </w:r>
    </w:p>
    <w:p w14:paraId="2B7FEC7A" w14:textId="77777777" w:rsidR="0027007E" w:rsidRPr="005D2FA4" w:rsidRDefault="0027007E" w:rsidP="0027007E">
      <w:pPr>
        <w:pStyle w:val="ListParagraph"/>
        <w:rPr>
          <w:rFonts w:ascii="Verdana" w:hAnsi="Verdana"/>
          <w:sz w:val="20"/>
        </w:rPr>
      </w:pPr>
    </w:p>
    <w:p w14:paraId="659FCAAD" w14:textId="77777777" w:rsidR="0027007E"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Este caso, sin embargo, permite reflexionar en torno a algunas</w:t>
      </w:r>
      <w:r w:rsidRPr="00F904F1">
        <w:rPr>
          <w:rFonts w:ascii="Verdana" w:hAnsi="Verdana"/>
          <w:sz w:val="20"/>
        </w:rPr>
        <w:t xml:space="preserve"> razones particulares por las cuales considero que no </w:t>
      </w:r>
      <w:r>
        <w:rPr>
          <w:rFonts w:ascii="Verdana" w:hAnsi="Verdana"/>
          <w:sz w:val="20"/>
        </w:rPr>
        <w:t>es sostenible</w:t>
      </w:r>
      <w:r w:rsidRPr="00F904F1">
        <w:rPr>
          <w:rFonts w:ascii="Verdana" w:hAnsi="Verdana"/>
          <w:sz w:val="20"/>
        </w:rPr>
        <w:t xml:space="preserve"> entrar al debate sobre </w:t>
      </w:r>
      <w:r w:rsidRPr="00F904F1">
        <w:rPr>
          <w:rFonts w:ascii="Verdana" w:hAnsi="Verdana" w:cs="Arial"/>
          <w:sz w:val="20"/>
        </w:rPr>
        <w:t>la vulneración del artículo 26 de la CADH</w:t>
      </w:r>
      <w:r>
        <w:rPr>
          <w:rFonts w:ascii="Verdana" w:hAnsi="Verdana" w:cs="Arial"/>
          <w:sz w:val="20"/>
        </w:rPr>
        <w:t>,</w:t>
      </w:r>
      <w:r w:rsidRPr="00F904F1">
        <w:rPr>
          <w:rFonts w:ascii="Verdana" w:hAnsi="Verdana" w:cs="Arial"/>
          <w:sz w:val="20"/>
        </w:rPr>
        <w:t xml:space="preserve"> </w:t>
      </w:r>
      <w:r w:rsidRPr="00F904F1">
        <w:rPr>
          <w:rFonts w:ascii="Verdana" w:hAnsi="Verdana"/>
          <w:sz w:val="20"/>
        </w:rPr>
        <w:t xml:space="preserve">y mucho menos para arribar a la conclusión </w:t>
      </w:r>
      <w:r>
        <w:rPr>
          <w:rFonts w:ascii="Verdana" w:hAnsi="Verdana"/>
          <w:sz w:val="20"/>
        </w:rPr>
        <w:t>que llegó la mayoría</w:t>
      </w:r>
      <w:r w:rsidRPr="00F904F1">
        <w:rPr>
          <w:rFonts w:ascii="Verdana" w:hAnsi="Verdana"/>
          <w:sz w:val="20"/>
        </w:rPr>
        <w:t xml:space="preserve">. </w:t>
      </w:r>
    </w:p>
    <w:p w14:paraId="3E2F3E31" w14:textId="77777777" w:rsidR="0027007E" w:rsidRPr="004B4171" w:rsidRDefault="0027007E" w:rsidP="0027007E">
      <w:pPr>
        <w:pStyle w:val="ListParagraph"/>
        <w:rPr>
          <w:rFonts w:ascii="Verdana" w:hAnsi="Verdana"/>
          <w:sz w:val="20"/>
        </w:rPr>
      </w:pPr>
    </w:p>
    <w:p w14:paraId="3571B47E" w14:textId="77777777" w:rsidR="0027007E" w:rsidRDefault="0027007E" w:rsidP="0027007E">
      <w:pPr>
        <w:pStyle w:val="ListParagraph"/>
        <w:numPr>
          <w:ilvl w:val="0"/>
          <w:numId w:val="40"/>
        </w:numPr>
        <w:ind w:left="0" w:firstLine="0"/>
        <w:contextualSpacing w:val="0"/>
        <w:jc w:val="both"/>
        <w:rPr>
          <w:rFonts w:ascii="Verdana" w:hAnsi="Verdana"/>
          <w:sz w:val="20"/>
        </w:rPr>
      </w:pPr>
      <w:r>
        <w:rPr>
          <w:rFonts w:ascii="Verdana" w:hAnsi="Verdana"/>
          <w:sz w:val="20"/>
        </w:rPr>
        <w:t>Primero, e</w:t>
      </w:r>
      <w:r w:rsidRPr="004B4171">
        <w:rPr>
          <w:rFonts w:ascii="Verdana" w:hAnsi="Verdana"/>
          <w:sz w:val="20"/>
        </w:rPr>
        <w:t xml:space="preserve">n el presente caso, al igual que en el caso </w:t>
      </w:r>
      <w:r w:rsidRPr="004B4171">
        <w:rPr>
          <w:rFonts w:ascii="Verdana" w:hAnsi="Verdana"/>
          <w:i/>
          <w:sz w:val="20"/>
        </w:rPr>
        <w:t xml:space="preserve">Lagos del Campo, </w:t>
      </w:r>
      <w:r w:rsidRPr="004B4171">
        <w:rPr>
          <w:rFonts w:ascii="Verdana" w:hAnsi="Verdana"/>
          <w:sz w:val="20"/>
        </w:rPr>
        <w:t xml:space="preserve">la violación del artículo 26 de la Convención no fue alegada por la Comisión o el representante ante la Corte. </w:t>
      </w:r>
      <w:r>
        <w:rPr>
          <w:rFonts w:ascii="Verdana" w:hAnsi="Verdana"/>
          <w:sz w:val="20"/>
        </w:rPr>
        <w:t>La alegación</w:t>
      </w:r>
      <w:r w:rsidRPr="004B4171">
        <w:rPr>
          <w:rFonts w:ascii="Verdana" w:hAnsi="Verdana"/>
          <w:sz w:val="20"/>
        </w:rPr>
        <w:t xml:space="preserve"> sí fue planteada por los peticionarios durante el trámite del caso ante la Comisión, y ésta </w:t>
      </w:r>
      <w:r>
        <w:rPr>
          <w:rFonts w:ascii="Verdana" w:hAnsi="Verdana"/>
          <w:sz w:val="20"/>
        </w:rPr>
        <w:t xml:space="preserve">última </w:t>
      </w:r>
      <w:r w:rsidRPr="004B4171">
        <w:rPr>
          <w:rFonts w:ascii="Verdana" w:hAnsi="Verdana"/>
          <w:sz w:val="20"/>
        </w:rPr>
        <w:t xml:space="preserve">expresamente concluyó que, si bien tenía competencia </w:t>
      </w:r>
      <w:proofErr w:type="spellStart"/>
      <w:r w:rsidRPr="004B4171">
        <w:rPr>
          <w:rFonts w:ascii="Verdana" w:hAnsi="Verdana"/>
          <w:i/>
          <w:sz w:val="20"/>
        </w:rPr>
        <w:t>ratione</w:t>
      </w:r>
      <w:proofErr w:type="spellEnd"/>
      <w:r w:rsidRPr="004B4171">
        <w:rPr>
          <w:rFonts w:ascii="Verdana" w:hAnsi="Verdana"/>
          <w:i/>
          <w:sz w:val="20"/>
        </w:rPr>
        <w:t xml:space="preserve"> </w:t>
      </w:r>
      <w:proofErr w:type="spellStart"/>
      <w:r w:rsidRPr="004B4171">
        <w:rPr>
          <w:rFonts w:ascii="Verdana" w:hAnsi="Verdana"/>
          <w:i/>
          <w:sz w:val="20"/>
        </w:rPr>
        <w:t>materiae</w:t>
      </w:r>
      <w:proofErr w:type="spellEnd"/>
      <w:r w:rsidRPr="004B4171">
        <w:rPr>
          <w:rFonts w:ascii="Verdana" w:hAnsi="Verdana"/>
          <w:sz w:val="20"/>
        </w:rPr>
        <w:t xml:space="preserve"> al respecto, “de los hechos alegados no se desprenden elementos suficientes que indiquen que de ser probados se verifique una violación del artículo 26 de la Convención”, con lo cual la Comisión declaró, en su Informe de admisibilidad, que la petición era inadmisible en cuanto a la presunta violación de esa disposición. </w:t>
      </w:r>
      <w:r>
        <w:rPr>
          <w:rFonts w:ascii="Verdana" w:hAnsi="Verdana"/>
          <w:sz w:val="20"/>
        </w:rPr>
        <w:t xml:space="preserve">De esta forma, condenar al Estado por hechos que ya había sido calificados por la Comisión como insuficientes para </w:t>
      </w:r>
      <w:r>
        <w:rPr>
          <w:rFonts w:ascii="Verdana" w:hAnsi="Verdana"/>
          <w:sz w:val="20"/>
        </w:rPr>
        <w:lastRenderedPageBreak/>
        <w:t>declarar una violación, y que además no fueron alegados ante la Corte, implica una vulneración al derecho a la defensa del Estado y al principio de seguridad jurídica.</w:t>
      </w:r>
    </w:p>
    <w:p w14:paraId="662625AE" w14:textId="77777777" w:rsidR="0027007E" w:rsidRPr="004B4171" w:rsidRDefault="0027007E" w:rsidP="0027007E">
      <w:pPr>
        <w:pStyle w:val="ListParagraph"/>
        <w:rPr>
          <w:rFonts w:ascii="Verdana" w:hAnsi="Verdana" w:cs="Arial"/>
          <w:sz w:val="20"/>
        </w:rPr>
      </w:pPr>
    </w:p>
    <w:p w14:paraId="6080713B" w14:textId="77777777" w:rsidR="0027007E" w:rsidRPr="004B4171" w:rsidRDefault="0027007E" w:rsidP="0027007E">
      <w:pPr>
        <w:pStyle w:val="ListParagraph"/>
        <w:numPr>
          <w:ilvl w:val="0"/>
          <w:numId w:val="40"/>
        </w:numPr>
        <w:ind w:left="0" w:firstLine="0"/>
        <w:contextualSpacing w:val="0"/>
        <w:jc w:val="both"/>
        <w:rPr>
          <w:rFonts w:ascii="Verdana" w:hAnsi="Verdana"/>
          <w:sz w:val="20"/>
        </w:rPr>
      </w:pPr>
      <w:r>
        <w:rPr>
          <w:rFonts w:ascii="Verdana" w:hAnsi="Verdana" w:cs="Arial"/>
          <w:sz w:val="20"/>
        </w:rPr>
        <w:t>Segundo, e</w:t>
      </w:r>
      <w:r w:rsidRPr="004B4171">
        <w:rPr>
          <w:rFonts w:ascii="Verdana" w:hAnsi="Verdana" w:cs="Arial"/>
          <w:sz w:val="20"/>
        </w:rPr>
        <w:t>l hecho de que la represalia</w:t>
      </w:r>
      <w:r>
        <w:rPr>
          <w:rFonts w:ascii="Verdana" w:hAnsi="Verdana" w:cs="Arial"/>
          <w:sz w:val="20"/>
        </w:rPr>
        <w:t xml:space="preserve"> en contra de</w:t>
      </w:r>
      <w:r w:rsidRPr="004B4171">
        <w:rPr>
          <w:rFonts w:ascii="Verdana" w:hAnsi="Verdana" w:cs="Arial"/>
          <w:sz w:val="20"/>
        </w:rPr>
        <w:t xml:space="preserve"> </w:t>
      </w:r>
      <w:r w:rsidRPr="00066324">
        <w:rPr>
          <w:rFonts w:ascii="Verdana" w:hAnsi="Verdana"/>
          <w:sz w:val="20"/>
        </w:rPr>
        <w:t xml:space="preserve">Rocío San Miguel Sosa, </w:t>
      </w:r>
      <w:proofErr w:type="spellStart"/>
      <w:r w:rsidRPr="00066324">
        <w:rPr>
          <w:rFonts w:ascii="Verdana" w:hAnsi="Verdana"/>
          <w:sz w:val="20"/>
        </w:rPr>
        <w:t>Magally</w:t>
      </w:r>
      <w:proofErr w:type="spellEnd"/>
      <w:r w:rsidRPr="00066324">
        <w:rPr>
          <w:rFonts w:ascii="Verdana" w:hAnsi="Verdana"/>
          <w:sz w:val="20"/>
        </w:rPr>
        <w:t xml:space="preserve"> Chang Girón y Thais Coromoto Peña</w:t>
      </w:r>
      <w:r w:rsidRPr="004B4171">
        <w:rPr>
          <w:rFonts w:ascii="Verdana" w:hAnsi="Verdana" w:cs="Arial"/>
          <w:sz w:val="20"/>
        </w:rPr>
        <w:t xml:space="preserve"> </w:t>
      </w:r>
      <w:r>
        <w:rPr>
          <w:rFonts w:ascii="Verdana" w:hAnsi="Verdana" w:cs="Arial"/>
          <w:sz w:val="20"/>
        </w:rPr>
        <w:t>se materializara en la terminación de sus</w:t>
      </w:r>
      <w:r w:rsidRPr="004B4171">
        <w:rPr>
          <w:rFonts w:ascii="Verdana" w:hAnsi="Verdana" w:cs="Arial"/>
          <w:sz w:val="20"/>
        </w:rPr>
        <w:t xml:space="preserve"> contratos temporales de prestación de servicios no significa que el caso </w:t>
      </w:r>
      <w:r>
        <w:rPr>
          <w:rFonts w:ascii="Verdana" w:hAnsi="Verdana" w:cs="Arial"/>
          <w:sz w:val="20"/>
        </w:rPr>
        <w:t>sea automáticamente una violación al derecho al trabajo</w:t>
      </w:r>
      <w:r w:rsidRPr="004B4171">
        <w:rPr>
          <w:rFonts w:ascii="Verdana" w:hAnsi="Verdana" w:cs="Arial"/>
          <w:sz w:val="20"/>
        </w:rPr>
        <w:t xml:space="preserve">. </w:t>
      </w:r>
      <w:r>
        <w:rPr>
          <w:rFonts w:ascii="Verdana" w:hAnsi="Verdana" w:cs="Arial"/>
          <w:sz w:val="20"/>
        </w:rPr>
        <w:t xml:space="preserve">El hecho ilícito internacional consistió en las acciones de represión emprendidas por el Estado ante el ejercicio de un derecho político de las víctimas, lo que derivó en la violación al artículo 23 de la Convención, y la consecuente responsabilidad internacional del Estado. Sin embargo, para arribar a una decisión sobre la violación al derecho al trabajo sería necesario realizar un análisis específico sobre el alcance de este derecho, y las razones por las que se violó en el presente caso. De esta forma, al no entrar a analizar específicamente cómo se habría vulnerado el derecho al trabajo de manera específica, la sentencia asume una posición </w:t>
      </w:r>
      <w:proofErr w:type="spellStart"/>
      <w:r>
        <w:rPr>
          <w:rFonts w:ascii="Verdana" w:hAnsi="Verdana" w:cs="Arial"/>
          <w:sz w:val="20"/>
        </w:rPr>
        <w:t>consecuencialista</w:t>
      </w:r>
      <w:proofErr w:type="spellEnd"/>
      <w:r>
        <w:rPr>
          <w:rFonts w:ascii="Verdana" w:hAnsi="Verdana" w:cs="Arial"/>
          <w:sz w:val="20"/>
        </w:rPr>
        <w:t xml:space="preserve"> que funde –o confunde- la violación al artículo 23 de la Convención con la violación al artículo 26</w:t>
      </w:r>
      <w:r w:rsidRPr="004B4171">
        <w:rPr>
          <w:rFonts w:ascii="Verdana" w:hAnsi="Verdana" w:cs="Arial"/>
          <w:sz w:val="20"/>
        </w:rPr>
        <w:t>.</w:t>
      </w:r>
      <w:r>
        <w:rPr>
          <w:rFonts w:ascii="Verdana" w:hAnsi="Verdana" w:cs="Arial"/>
          <w:sz w:val="20"/>
        </w:rPr>
        <w:t xml:space="preserve"> </w:t>
      </w:r>
    </w:p>
    <w:p w14:paraId="3A84C94A" w14:textId="77777777" w:rsidR="0027007E" w:rsidRPr="001E1C66" w:rsidRDefault="0027007E" w:rsidP="0027007E">
      <w:pPr>
        <w:rPr>
          <w:rFonts w:ascii="Verdana" w:hAnsi="Verdana" w:cs="Arial"/>
        </w:rPr>
      </w:pPr>
    </w:p>
    <w:p w14:paraId="132AE218" w14:textId="77777777" w:rsidR="0027007E" w:rsidRPr="00A472EA" w:rsidRDefault="0027007E" w:rsidP="0027007E">
      <w:pPr>
        <w:pStyle w:val="ListParagraph"/>
        <w:numPr>
          <w:ilvl w:val="0"/>
          <w:numId w:val="40"/>
        </w:numPr>
        <w:ind w:left="0" w:firstLine="0"/>
        <w:contextualSpacing w:val="0"/>
        <w:jc w:val="both"/>
        <w:rPr>
          <w:rFonts w:ascii="Verdana" w:hAnsi="Verdana"/>
          <w:sz w:val="20"/>
        </w:rPr>
      </w:pPr>
      <w:r>
        <w:rPr>
          <w:rFonts w:ascii="Verdana" w:hAnsi="Verdana" w:cs="Arial"/>
          <w:sz w:val="20"/>
        </w:rPr>
        <w:t>Finalmente, r</w:t>
      </w:r>
      <w:r w:rsidRPr="00A472EA">
        <w:rPr>
          <w:rFonts w:ascii="Verdana" w:hAnsi="Verdana" w:cs="Arial"/>
          <w:sz w:val="20"/>
        </w:rPr>
        <w:t>eitero</w:t>
      </w:r>
      <w:r>
        <w:rPr>
          <w:rFonts w:ascii="Verdana" w:hAnsi="Verdana" w:cs="Arial"/>
          <w:sz w:val="20"/>
        </w:rPr>
        <w:t>, como lo he hecho en otras ocasiones,</w:t>
      </w:r>
      <w:r w:rsidRPr="00A472EA">
        <w:rPr>
          <w:rFonts w:ascii="Verdana" w:hAnsi="Verdana" w:cs="Arial"/>
          <w:sz w:val="20"/>
        </w:rPr>
        <w:t xml:space="preserve"> que la legitimidad de la Corte Interamericana se deriva de la solidez de sus argumentos y de sus construcciones jurídicas, así como de la justicia que se alcance a través de sus decisiones. Por ello, decisiones como ésta plantean, en ú</w:t>
      </w:r>
      <w:r>
        <w:rPr>
          <w:rFonts w:ascii="Verdana" w:hAnsi="Verdana" w:cs="Arial"/>
          <w:sz w:val="20"/>
        </w:rPr>
        <w:t>ltima instancia</w:t>
      </w:r>
      <w:r w:rsidRPr="00A472EA">
        <w:rPr>
          <w:rFonts w:ascii="Verdana" w:hAnsi="Verdana" w:cs="Arial"/>
          <w:sz w:val="20"/>
        </w:rPr>
        <w:t>, una visión, un proyecto de integración y transformaciones orientadas autónomamente desde los órganos del SIDH, alejándose de la función principal de la Corte IDH, la cual es la de administrar justicia, garantizando la protección de los derechos humanos bajo la estricta observancia de su competencia. De hecho, no puede hacerse derecho transformador en contra vía del derecho vigente.</w:t>
      </w:r>
    </w:p>
    <w:p w14:paraId="6F306DC2" w14:textId="77777777" w:rsidR="0027007E" w:rsidRDefault="0027007E" w:rsidP="0027007E">
      <w:pPr>
        <w:jc w:val="both"/>
        <w:rPr>
          <w:rFonts w:ascii="Verdana" w:hAnsi="Verdana"/>
        </w:rPr>
      </w:pPr>
    </w:p>
    <w:p w14:paraId="2FEFB0C6" w14:textId="77777777" w:rsidR="0027007E" w:rsidRDefault="0027007E" w:rsidP="0027007E">
      <w:pPr>
        <w:spacing w:after="120"/>
        <w:rPr>
          <w:rFonts w:ascii="Verdana" w:hAnsi="Verdana"/>
        </w:rPr>
      </w:pPr>
    </w:p>
    <w:p w14:paraId="195D7B2B" w14:textId="77777777" w:rsidR="0027007E" w:rsidRDefault="0027007E" w:rsidP="0027007E">
      <w:pPr>
        <w:spacing w:after="120"/>
        <w:rPr>
          <w:rFonts w:ascii="Verdana" w:hAnsi="Verdana"/>
        </w:rPr>
      </w:pPr>
    </w:p>
    <w:p w14:paraId="324ACEEE" w14:textId="77777777" w:rsidR="0027007E" w:rsidRDefault="0027007E" w:rsidP="0027007E">
      <w:pPr>
        <w:spacing w:after="120"/>
        <w:rPr>
          <w:rFonts w:ascii="Verdana" w:hAnsi="Verdana"/>
        </w:rPr>
      </w:pPr>
    </w:p>
    <w:p w14:paraId="7AF13DAD" w14:textId="77777777" w:rsidR="0027007E" w:rsidRDefault="0027007E" w:rsidP="0027007E">
      <w:pPr>
        <w:spacing w:after="120"/>
        <w:rPr>
          <w:rFonts w:ascii="Verdana" w:hAnsi="Verdana"/>
        </w:rPr>
      </w:pPr>
    </w:p>
    <w:p w14:paraId="13D7FF0D" w14:textId="77777777" w:rsidR="0027007E" w:rsidRPr="00066324" w:rsidRDefault="0027007E" w:rsidP="0027007E">
      <w:pPr>
        <w:spacing w:after="120"/>
        <w:jc w:val="right"/>
        <w:rPr>
          <w:rFonts w:ascii="Verdana" w:hAnsi="Verdana"/>
        </w:rPr>
      </w:pPr>
    </w:p>
    <w:p w14:paraId="60604A19" w14:textId="77777777" w:rsidR="0027007E" w:rsidRPr="00066324" w:rsidRDefault="0027007E" w:rsidP="0027007E">
      <w:pPr>
        <w:ind w:left="5664"/>
        <w:jc w:val="center"/>
        <w:rPr>
          <w:rFonts w:ascii="Verdana" w:hAnsi="Verdana"/>
        </w:rPr>
      </w:pPr>
      <w:r>
        <w:rPr>
          <w:rFonts w:ascii="Verdana" w:hAnsi="Verdana"/>
        </w:rPr>
        <w:t>Humberto A.</w:t>
      </w:r>
      <w:r w:rsidRPr="00066324">
        <w:rPr>
          <w:rFonts w:ascii="Verdana" w:hAnsi="Verdana"/>
        </w:rPr>
        <w:t xml:space="preserve"> Sierra Porto</w:t>
      </w:r>
    </w:p>
    <w:p w14:paraId="690779A5" w14:textId="77777777" w:rsidR="0027007E" w:rsidRPr="00066324" w:rsidRDefault="0027007E" w:rsidP="0027007E">
      <w:pPr>
        <w:ind w:left="4248"/>
        <w:jc w:val="center"/>
        <w:rPr>
          <w:rFonts w:ascii="Verdana" w:hAnsi="Verdana"/>
        </w:rPr>
      </w:pPr>
      <w:r>
        <w:rPr>
          <w:rFonts w:ascii="Verdana" w:hAnsi="Verdana"/>
        </w:rPr>
        <w:t xml:space="preserve">                  </w:t>
      </w:r>
      <w:r w:rsidRPr="00066324">
        <w:rPr>
          <w:rFonts w:ascii="Verdana" w:hAnsi="Verdana"/>
        </w:rPr>
        <w:t>Juez</w:t>
      </w:r>
    </w:p>
    <w:p w14:paraId="5ED2A39A" w14:textId="77777777" w:rsidR="0027007E" w:rsidRDefault="0027007E" w:rsidP="0027007E">
      <w:pPr>
        <w:tabs>
          <w:tab w:val="left" w:pos="1440"/>
        </w:tabs>
        <w:jc w:val="center"/>
        <w:rPr>
          <w:rFonts w:ascii="Verdana" w:hAnsi="Verdana"/>
        </w:rPr>
      </w:pPr>
    </w:p>
    <w:p w14:paraId="41A906AB" w14:textId="77777777" w:rsidR="0027007E" w:rsidRDefault="0027007E" w:rsidP="0027007E">
      <w:pPr>
        <w:tabs>
          <w:tab w:val="left" w:pos="1440"/>
        </w:tabs>
        <w:rPr>
          <w:rFonts w:ascii="Verdana" w:hAnsi="Verdana"/>
        </w:rPr>
      </w:pPr>
    </w:p>
    <w:p w14:paraId="0C719B13" w14:textId="77777777" w:rsidR="0027007E" w:rsidRPr="00066324" w:rsidRDefault="0027007E" w:rsidP="0027007E">
      <w:pPr>
        <w:tabs>
          <w:tab w:val="left" w:pos="1440"/>
        </w:tabs>
        <w:rPr>
          <w:rFonts w:ascii="Verdana" w:hAnsi="Verdana"/>
        </w:rPr>
      </w:pPr>
    </w:p>
    <w:p w14:paraId="7D56F048" w14:textId="77777777" w:rsidR="0027007E" w:rsidRPr="00066324" w:rsidRDefault="0027007E" w:rsidP="0027007E">
      <w:pPr>
        <w:tabs>
          <w:tab w:val="left" w:pos="1440"/>
        </w:tabs>
        <w:rPr>
          <w:rFonts w:ascii="Verdana" w:hAnsi="Verdana"/>
        </w:rPr>
      </w:pPr>
    </w:p>
    <w:p w14:paraId="0B4CE5D5" w14:textId="77777777" w:rsidR="0027007E" w:rsidRPr="00066324" w:rsidRDefault="0027007E" w:rsidP="0027007E">
      <w:pPr>
        <w:tabs>
          <w:tab w:val="left" w:pos="1440"/>
        </w:tabs>
        <w:rPr>
          <w:rFonts w:ascii="Verdana" w:hAnsi="Verdana"/>
        </w:rPr>
      </w:pPr>
      <w:r w:rsidRPr="00066324">
        <w:rPr>
          <w:rFonts w:ascii="Verdana" w:hAnsi="Verdana"/>
        </w:rPr>
        <w:t>Pablo Saavedra Alessandri</w:t>
      </w:r>
    </w:p>
    <w:p w14:paraId="07D122AE" w14:textId="2F099CA9" w:rsidR="00F94B9B" w:rsidRPr="0027007E" w:rsidRDefault="0027007E" w:rsidP="0027007E">
      <w:pPr>
        <w:tabs>
          <w:tab w:val="left" w:pos="1440"/>
        </w:tabs>
        <w:rPr>
          <w:rFonts w:ascii="Verdana" w:hAnsi="Verdana"/>
        </w:rPr>
      </w:pPr>
      <w:r w:rsidRPr="00066324">
        <w:rPr>
          <w:rFonts w:ascii="Verdana" w:hAnsi="Verdana"/>
        </w:rPr>
        <w:t xml:space="preserve">          Secretario</w:t>
      </w:r>
    </w:p>
    <w:sectPr w:rsidR="00F94B9B" w:rsidRPr="0027007E" w:rsidSect="0027007E">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2240" w:h="15840"/>
      <w:pgMar w:top="1417" w:right="1418" w:bottom="1417"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4E00B" w14:textId="77777777" w:rsidR="00837BB9" w:rsidRDefault="00837BB9" w:rsidP="0041191E">
      <w:pPr>
        <w:spacing w:after="0" w:line="240" w:lineRule="auto"/>
      </w:pPr>
      <w:r>
        <w:separator/>
      </w:r>
    </w:p>
  </w:endnote>
  <w:endnote w:type="continuationSeparator" w:id="0">
    <w:p w14:paraId="5FBA1B2D" w14:textId="77777777" w:rsidR="00837BB9" w:rsidRDefault="00837BB9" w:rsidP="00411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Palatino-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HiddenHorzOCR">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charset w:val="80"/>
    <w:family w:val="auto"/>
    <w:pitch w:val="variable"/>
    <w:sig w:usb0="00000000" w:usb1="7AC7FFFF" w:usb2="00000012" w:usb3="00000000" w:csb0="0002000D"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2D3E" w14:textId="47B4B88E" w:rsidR="00837BB9" w:rsidRDefault="00837BB9" w:rsidP="006B1B9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0AC46" w14:textId="77777777" w:rsidR="00837BB9" w:rsidRDefault="00837BB9" w:rsidP="0027007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DDCABB" w14:textId="77777777" w:rsidR="00837BB9" w:rsidRDefault="00837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38CD5" w14:textId="77777777" w:rsidR="00837BB9" w:rsidRDefault="00837B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5719B" w14:textId="77777777" w:rsidR="00837BB9" w:rsidRDefault="00837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id w:val="363106385"/>
      <w:docPartObj>
        <w:docPartGallery w:val="Page Numbers (Bottom of Page)"/>
        <w:docPartUnique/>
      </w:docPartObj>
    </w:sdtPr>
    <w:sdtEndPr>
      <w:rPr>
        <w:noProof/>
        <w:sz w:val="20"/>
        <w:szCs w:val="20"/>
      </w:rPr>
    </w:sdtEndPr>
    <w:sdtContent>
      <w:p w14:paraId="0DED221B" w14:textId="77777777" w:rsidR="00837BB9" w:rsidRPr="0011077B" w:rsidRDefault="00837BB9">
        <w:pPr>
          <w:pStyle w:val="Footer"/>
          <w:jc w:val="center"/>
          <w:rPr>
            <w:rFonts w:ascii="Verdana" w:hAnsi="Verdana"/>
            <w:sz w:val="20"/>
            <w:szCs w:val="20"/>
          </w:rPr>
        </w:pPr>
        <w:r w:rsidRPr="0011077B">
          <w:rPr>
            <w:rFonts w:ascii="Verdana" w:hAnsi="Verdana"/>
            <w:sz w:val="20"/>
            <w:szCs w:val="20"/>
          </w:rPr>
          <w:fldChar w:fldCharType="begin"/>
        </w:r>
        <w:r w:rsidRPr="0011077B">
          <w:rPr>
            <w:rFonts w:ascii="Verdana" w:hAnsi="Verdana"/>
            <w:sz w:val="20"/>
            <w:szCs w:val="20"/>
          </w:rPr>
          <w:instrText xml:space="preserve"> PAGE   \* MERGEFORMAT </w:instrText>
        </w:r>
        <w:r w:rsidRPr="0011077B">
          <w:rPr>
            <w:rFonts w:ascii="Verdana" w:hAnsi="Verdana"/>
            <w:sz w:val="20"/>
            <w:szCs w:val="20"/>
          </w:rPr>
          <w:fldChar w:fldCharType="separate"/>
        </w:r>
        <w:r w:rsidR="00AA0487">
          <w:rPr>
            <w:rFonts w:ascii="Verdana" w:hAnsi="Verdana"/>
            <w:noProof/>
            <w:sz w:val="20"/>
            <w:szCs w:val="20"/>
          </w:rPr>
          <w:t>4</w:t>
        </w:r>
        <w:r w:rsidRPr="0011077B">
          <w:rPr>
            <w:rFonts w:ascii="Verdana" w:hAnsi="Verdana"/>
            <w:noProof/>
            <w:sz w:val="20"/>
            <w:szCs w:val="20"/>
          </w:rPr>
          <w:fldChar w:fldCharType="end"/>
        </w:r>
      </w:p>
    </w:sdtContent>
  </w:sdt>
  <w:p w14:paraId="5D421623" w14:textId="77777777" w:rsidR="00837BB9" w:rsidRDefault="00837BB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3FCCC" w14:textId="77777777" w:rsidR="00837BB9" w:rsidRDefault="00837BB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C8C95" w14:textId="77777777" w:rsidR="00837BB9" w:rsidRDefault="00837BB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882324"/>
      <w:docPartObj>
        <w:docPartGallery w:val="Page Numbers (Bottom of Page)"/>
        <w:docPartUnique/>
      </w:docPartObj>
    </w:sdtPr>
    <w:sdtEndPr>
      <w:rPr>
        <w:rFonts w:ascii="Verdana" w:hAnsi="Verdana"/>
        <w:noProof/>
      </w:rPr>
    </w:sdtEndPr>
    <w:sdtContent>
      <w:p w14:paraId="4ACA928E" w14:textId="77777777" w:rsidR="00837BB9" w:rsidRPr="0051213E" w:rsidRDefault="00837BB9">
        <w:pPr>
          <w:pStyle w:val="Footer"/>
          <w:jc w:val="center"/>
          <w:rPr>
            <w:rFonts w:ascii="Verdana" w:hAnsi="Verdana"/>
          </w:rPr>
        </w:pPr>
        <w:r w:rsidRPr="0051213E">
          <w:rPr>
            <w:rFonts w:ascii="Verdana" w:hAnsi="Verdana"/>
          </w:rPr>
          <w:fldChar w:fldCharType="begin"/>
        </w:r>
        <w:r w:rsidRPr="0051213E">
          <w:rPr>
            <w:rFonts w:ascii="Verdana" w:hAnsi="Verdana"/>
          </w:rPr>
          <w:instrText xml:space="preserve"> PAGE   \* MERGEFORMAT </w:instrText>
        </w:r>
        <w:r w:rsidRPr="0051213E">
          <w:rPr>
            <w:rFonts w:ascii="Verdana" w:hAnsi="Verdana"/>
          </w:rPr>
          <w:fldChar w:fldCharType="separate"/>
        </w:r>
        <w:r w:rsidR="00AA0487">
          <w:rPr>
            <w:rFonts w:ascii="Verdana" w:hAnsi="Verdana"/>
            <w:noProof/>
          </w:rPr>
          <w:t>5</w:t>
        </w:r>
        <w:r w:rsidRPr="0051213E">
          <w:rPr>
            <w:rFonts w:ascii="Verdana" w:hAnsi="Verdana"/>
            <w:noProof/>
          </w:rPr>
          <w:fldChar w:fldCharType="end"/>
        </w:r>
      </w:p>
    </w:sdtContent>
  </w:sdt>
  <w:p w14:paraId="586538C3" w14:textId="77777777" w:rsidR="00837BB9" w:rsidRDefault="00837BB9">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B5D5D" w14:textId="77777777" w:rsidR="00837BB9" w:rsidRDefault="00837BB9">
    <w:pPr>
      <w:pStyle w:val="Footer"/>
      <w:jc w:val="center"/>
    </w:pPr>
  </w:p>
  <w:p w14:paraId="0719BA44" w14:textId="77777777" w:rsidR="00837BB9" w:rsidRDefault="00837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EB4AA" w14:textId="77777777" w:rsidR="00837BB9" w:rsidRDefault="00837BB9" w:rsidP="0041191E">
      <w:pPr>
        <w:spacing w:after="0" w:line="240" w:lineRule="auto"/>
      </w:pPr>
      <w:r>
        <w:separator/>
      </w:r>
    </w:p>
  </w:footnote>
  <w:footnote w:type="continuationSeparator" w:id="0">
    <w:p w14:paraId="19870A8D" w14:textId="77777777" w:rsidR="00837BB9" w:rsidRDefault="00837BB9" w:rsidP="0041191E">
      <w:pPr>
        <w:spacing w:after="0" w:line="240" w:lineRule="auto"/>
      </w:pPr>
      <w:r>
        <w:continuationSeparator/>
      </w:r>
    </w:p>
  </w:footnote>
  <w:footnote w:id="1">
    <w:p w14:paraId="15AABEB6" w14:textId="67F568E7" w:rsidR="00837BB9" w:rsidRPr="006203B0" w:rsidRDefault="00837BB9" w:rsidP="008349B1">
      <w:pPr>
        <w:tabs>
          <w:tab w:val="left" w:pos="567"/>
        </w:tabs>
        <w:spacing w:before="120" w:after="120" w:line="240" w:lineRule="auto"/>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iCs/>
          <w:spacing w:val="-12"/>
          <w:sz w:val="16"/>
          <w:szCs w:val="16"/>
        </w:rPr>
        <w:t xml:space="preserve">Cfr. </w:t>
      </w:r>
      <w:r w:rsidRPr="00CF3AED">
        <w:rPr>
          <w:rFonts w:ascii="Verdana" w:hAnsi="Verdana" w:cs="Cambria"/>
          <w:spacing w:val="-12"/>
          <w:sz w:val="16"/>
          <w:szCs w:val="16"/>
          <w:lang w:val="es-CO"/>
        </w:rPr>
        <w:t xml:space="preserve">CIDH, Informe No. 59/13, Petición 212-06, Admisibilidad, Rocío San Miguel Sosa y otras, Venezuela, 16 de julio de 2013. </w:t>
      </w:r>
      <w:r w:rsidRPr="00CF3AED">
        <w:rPr>
          <w:rFonts w:ascii="Verdana" w:hAnsi="Verdana"/>
          <w:spacing w:val="-12"/>
          <w:sz w:val="16"/>
          <w:szCs w:val="16"/>
          <w:lang w:val="es-MX"/>
        </w:rPr>
        <w:t xml:space="preserve">Disponible en: </w:t>
      </w:r>
      <w:hyperlink r:id="rId1" w:history="1">
        <w:r w:rsidRPr="00CF3AED">
          <w:rPr>
            <w:rStyle w:val="Hyperlink"/>
            <w:rFonts w:ascii="Verdana" w:hAnsi="Verdana"/>
            <w:spacing w:val="-12"/>
            <w:sz w:val="16"/>
            <w:szCs w:val="16"/>
            <w:lang w:val="es-MX"/>
          </w:rPr>
          <w:t>http://www.oas.org/es/cidh/docs/anual/2013/docs-es/44.VEAD212-06ES.pdf</w:t>
        </w:r>
      </w:hyperlink>
      <w:r w:rsidRPr="00CF3AED">
        <w:rPr>
          <w:rFonts w:ascii="Verdana" w:hAnsi="Verdana"/>
          <w:spacing w:val="-12"/>
          <w:sz w:val="16"/>
          <w:szCs w:val="16"/>
          <w:lang w:val="es-MX"/>
        </w:rPr>
        <w:t xml:space="preserve">. </w:t>
      </w:r>
      <w:r>
        <w:rPr>
          <w:rFonts w:ascii="Verdana" w:eastAsia="Times New Roman" w:hAnsi="Verdana" w:cs="Times New Roman"/>
          <w:spacing w:val="-12"/>
          <w:sz w:val="16"/>
          <w:szCs w:val="16"/>
          <w:lang w:val="es-MX"/>
        </w:rPr>
        <w:t>En este informe, la Comisión</w:t>
      </w:r>
      <w:r w:rsidRPr="00CF3AED">
        <w:rPr>
          <w:rFonts w:ascii="Verdana" w:eastAsia="Times New Roman" w:hAnsi="Verdana" w:cs="Times New Roman"/>
          <w:spacing w:val="-12"/>
          <w:sz w:val="16"/>
          <w:szCs w:val="16"/>
          <w:lang w:val="es-MX"/>
        </w:rPr>
        <w:t xml:space="preserve"> declaró el caso admisible en cuanto a las alegadas violaciones de los derechos reconocidos en los artículos 5, 8, 13, 23, 24 y 25, en relación con los artículos 1.1 y 2, de la Convención Americana.</w:t>
      </w:r>
    </w:p>
  </w:footnote>
  <w:footnote w:id="2">
    <w:p w14:paraId="37263323" w14:textId="6F3D600F" w:rsidR="00837BB9" w:rsidRPr="000536CF" w:rsidRDefault="00837BB9" w:rsidP="008349B1">
      <w:pPr>
        <w:pStyle w:val="FootnoteText"/>
        <w:spacing w:before="120" w:after="120"/>
        <w:jc w:val="both"/>
        <w:rPr>
          <w:rFonts w:ascii="Verdana" w:hAnsi="Verdana"/>
          <w:spacing w:val="-12"/>
          <w:sz w:val="16"/>
          <w:szCs w:val="16"/>
          <w:lang w:val="es-MX"/>
        </w:rPr>
      </w:pPr>
      <w:r w:rsidRPr="006203B0">
        <w:rPr>
          <w:rStyle w:val="FootnoteReference"/>
          <w:rFonts w:ascii="Verdana" w:hAnsi="Verdana"/>
          <w:spacing w:val="-12"/>
          <w:sz w:val="16"/>
          <w:szCs w:val="16"/>
          <w:lang w:val="es-MX"/>
        </w:rPr>
        <w:footnoteRef/>
      </w:r>
      <w:r w:rsidRPr="00FC1D38">
        <w:rPr>
          <w:rFonts w:ascii="Verdana" w:hAnsi="Verdana"/>
          <w:spacing w:val="-12"/>
          <w:sz w:val="16"/>
          <w:szCs w:val="16"/>
          <w:lang w:val="es-MX"/>
        </w:rPr>
        <w:t xml:space="preserve"> </w:t>
      </w:r>
      <w:r w:rsidRPr="00FC1D38">
        <w:rPr>
          <w:rFonts w:ascii="Verdana" w:hAnsi="Verdana"/>
          <w:spacing w:val="-12"/>
          <w:sz w:val="16"/>
          <w:szCs w:val="16"/>
          <w:lang w:val="es-MX"/>
        </w:rPr>
        <w:tab/>
        <w:t>La Comisión designó al Comis</w:t>
      </w:r>
      <w:r w:rsidRPr="000536CF">
        <w:rPr>
          <w:rFonts w:ascii="Verdana" w:hAnsi="Verdana"/>
          <w:spacing w:val="-12"/>
          <w:sz w:val="16"/>
          <w:szCs w:val="16"/>
          <w:lang w:val="es-MX"/>
        </w:rPr>
        <w:t xml:space="preserve">ionado Francisco </w:t>
      </w:r>
      <w:proofErr w:type="spellStart"/>
      <w:r w:rsidRPr="000536CF">
        <w:rPr>
          <w:rFonts w:ascii="Verdana" w:hAnsi="Verdana"/>
          <w:spacing w:val="-12"/>
          <w:sz w:val="16"/>
          <w:szCs w:val="16"/>
          <w:lang w:val="es-MX"/>
        </w:rPr>
        <w:t>Eguiguren</w:t>
      </w:r>
      <w:proofErr w:type="spellEnd"/>
      <w:r w:rsidRPr="000536CF">
        <w:rPr>
          <w:rFonts w:ascii="Verdana" w:hAnsi="Verdana"/>
          <w:spacing w:val="-12"/>
          <w:sz w:val="16"/>
          <w:szCs w:val="16"/>
          <w:lang w:val="es-MX"/>
        </w:rPr>
        <w:t xml:space="preserve">, al entonces Secretario Ejecutivo Emilio Álvarez </w:t>
      </w:r>
      <w:proofErr w:type="spellStart"/>
      <w:r w:rsidRPr="000536CF">
        <w:rPr>
          <w:rFonts w:ascii="Verdana" w:hAnsi="Verdana"/>
          <w:spacing w:val="-12"/>
          <w:sz w:val="16"/>
          <w:szCs w:val="16"/>
          <w:lang w:val="es-MX"/>
        </w:rPr>
        <w:t>lcaza</w:t>
      </w:r>
      <w:proofErr w:type="spellEnd"/>
      <w:r w:rsidRPr="000536CF">
        <w:rPr>
          <w:rFonts w:ascii="Verdana" w:hAnsi="Verdana"/>
          <w:spacing w:val="-12"/>
          <w:sz w:val="16"/>
          <w:szCs w:val="16"/>
          <w:lang w:val="es-MX"/>
        </w:rPr>
        <w:t xml:space="preserve"> L. y al Relator Especial para la Libertad de Expresión Edison Lanza, como sus delegados, así como a las señoras Elizabeth </w:t>
      </w:r>
      <w:proofErr w:type="spellStart"/>
      <w:r w:rsidRPr="000536CF">
        <w:rPr>
          <w:rFonts w:ascii="Verdana" w:hAnsi="Verdana"/>
          <w:spacing w:val="-12"/>
          <w:sz w:val="16"/>
          <w:szCs w:val="16"/>
          <w:lang w:val="es-MX"/>
        </w:rPr>
        <w:t>Abi-Mershed</w:t>
      </w:r>
      <w:proofErr w:type="spellEnd"/>
      <w:r w:rsidRPr="000536CF">
        <w:rPr>
          <w:rFonts w:ascii="Verdana" w:hAnsi="Verdana"/>
          <w:spacing w:val="-12"/>
          <w:sz w:val="16"/>
          <w:szCs w:val="16"/>
          <w:lang w:val="es-MX"/>
        </w:rPr>
        <w:t xml:space="preserve">, Secretaria Ejecutiva Adjunta, y Silvia Serrano </w:t>
      </w:r>
      <w:proofErr w:type="spellStart"/>
      <w:r w:rsidRPr="000536CF">
        <w:rPr>
          <w:rFonts w:ascii="Verdana" w:hAnsi="Verdana"/>
          <w:spacing w:val="-12"/>
          <w:sz w:val="16"/>
          <w:szCs w:val="16"/>
          <w:lang w:val="es-MX"/>
        </w:rPr>
        <w:t>Guzman</w:t>
      </w:r>
      <w:proofErr w:type="spellEnd"/>
      <w:r w:rsidRPr="000536CF">
        <w:rPr>
          <w:rFonts w:ascii="Verdana" w:hAnsi="Verdana"/>
          <w:spacing w:val="-12"/>
          <w:sz w:val="16"/>
          <w:szCs w:val="16"/>
          <w:lang w:val="es-MX"/>
        </w:rPr>
        <w:t xml:space="preserve"> y al señor Christian González Chacón, abogados de la Secretaría Ejecutiva</w:t>
      </w:r>
      <w:r>
        <w:rPr>
          <w:rFonts w:ascii="Verdana" w:hAnsi="Verdana"/>
          <w:spacing w:val="-12"/>
          <w:sz w:val="16"/>
          <w:szCs w:val="16"/>
          <w:lang w:val="es-MX"/>
        </w:rPr>
        <w:t>,</w:t>
      </w:r>
      <w:r w:rsidRPr="000536CF">
        <w:rPr>
          <w:rFonts w:ascii="Verdana" w:hAnsi="Verdana"/>
          <w:spacing w:val="-12"/>
          <w:sz w:val="16"/>
          <w:szCs w:val="16"/>
          <w:lang w:val="es-MX"/>
        </w:rPr>
        <w:t xml:space="preserve"> como asesores legales.</w:t>
      </w:r>
    </w:p>
  </w:footnote>
  <w:footnote w:id="3">
    <w:p w14:paraId="4462FB05" w14:textId="43C352F1" w:rsidR="00837BB9" w:rsidRPr="00CF3AED" w:rsidRDefault="00837BB9" w:rsidP="008349B1">
      <w:pPr>
        <w:autoSpaceDE w:val="0"/>
        <w:autoSpaceDN w:val="0"/>
        <w:adjustRightInd w:val="0"/>
        <w:spacing w:before="120" w:after="120" w:line="240" w:lineRule="auto"/>
        <w:jc w:val="both"/>
        <w:rPr>
          <w:rFonts w:ascii="Verdana" w:eastAsia="Times New Roman" w:hAnsi="Verdana" w:cs="Times New Roman"/>
          <w:spacing w:val="-12"/>
          <w:sz w:val="16"/>
          <w:szCs w:val="16"/>
          <w:lang w:val="es-MX"/>
        </w:rPr>
      </w:pPr>
      <w:r w:rsidRPr="00CF3AED">
        <w:rPr>
          <w:rFonts w:ascii="Verdana" w:eastAsia="Times New Roman" w:hAnsi="Verdana" w:cs="Times New Roman"/>
          <w:spacing w:val="-12"/>
          <w:sz w:val="16"/>
          <w:szCs w:val="16"/>
          <w:vertAlign w:val="superscript"/>
          <w:lang w:val="es-MX"/>
        </w:rPr>
        <w:footnoteRef/>
      </w:r>
      <w:r w:rsidRPr="00CF3AED">
        <w:rPr>
          <w:rFonts w:ascii="Verdana" w:eastAsia="Times New Roman" w:hAnsi="Verdana" w:cs="Times New Roman"/>
          <w:spacing w:val="-12"/>
          <w:sz w:val="16"/>
          <w:szCs w:val="16"/>
          <w:vertAlign w:val="superscript"/>
          <w:lang w:val="es-MX"/>
        </w:rPr>
        <w:t xml:space="preserve"> </w:t>
      </w:r>
      <w:r>
        <w:rPr>
          <w:rFonts w:ascii="Verdana" w:eastAsia="Times New Roman" w:hAnsi="Verdana" w:cs="Times New Roman"/>
          <w:spacing w:val="-12"/>
          <w:sz w:val="16"/>
          <w:szCs w:val="16"/>
          <w:lang w:val="es-MX"/>
        </w:rPr>
        <w:tab/>
        <w:t>El 10</w:t>
      </w:r>
      <w:r w:rsidRPr="00CF3AED">
        <w:rPr>
          <w:rFonts w:ascii="Verdana" w:eastAsia="Times New Roman" w:hAnsi="Verdana" w:cs="Times New Roman"/>
          <w:spacing w:val="-12"/>
          <w:sz w:val="16"/>
          <w:szCs w:val="16"/>
          <w:lang w:val="es-MX"/>
        </w:rPr>
        <w:t xml:space="preserve"> de abril de 2016 las señoras Rocío San Miguel Sosa, </w:t>
      </w:r>
      <w:proofErr w:type="spellStart"/>
      <w:r w:rsidRPr="00CF3AED">
        <w:rPr>
          <w:rFonts w:ascii="Verdana" w:eastAsia="Times New Roman" w:hAnsi="Verdana" w:cs="Times New Roman"/>
          <w:spacing w:val="-12"/>
          <w:sz w:val="16"/>
          <w:szCs w:val="16"/>
          <w:lang w:val="es-MX"/>
        </w:rPr>
        <w:t>Magally</w:t>
      </w:r>
      <w:proofErr w:type="spellEnd"/>
      <w:r w:rsidRPr="00CF3AED">
        <w:rPr>
          <w:rFonts w:ascii="Verdana" w:eastAsia="Times New Roman" w:hAnsi="Verdana" w:cs="Times New Roman"/>
          <w:spacing w:val="-12"/>
          <w:sz w:val="16"/>
          <w:szCs w:val="16"/>
          <w:lang w:val="es-MX"/>
        </w:rPr>
        <w:t xml:space="preserve"> Chang Girón y Thais Coromoto Peña remitieron una nota a la Secretaria de la Corte en la cual ratificaron el mandato conferido al señor Héctor </w:t>
      </w:r>
      <w:proofErr w:type="spellStart"/>
      <w:r w:rsidRPr="00CF3AED">
        <w:rPr>
          <w:rFonts w:ascii="Verdana" w:eastAsia="Times New Roman" w:hAnsi="Verdana" w:cs="Times New Roman"/>
          <w:spacing w:val="-12"/>
          <w:sz w:val="16"/>
          <w:szCs w:val="16"/>
          <w:lang w:val="es-MX"/>
        </w:rPr>
        <w:t>Faúndez</w:t>
      </w:r>
      <w:proofErr w:type="spellEnd"/>
      <w:r w:rsidRPr="00CF3AED">
        <w:rPr>
          <w:rFonts w:ascii="Verdana" w:eastAsia="Times New Roman" w:hAnsi="Verdana" w:cs="Times New Roman"/>
          <w:spacing w:val="-12"/>
          <w:sz w:val="16"/>
          <w:szCs w:val="16"/>
          <w:lang w:val="es-MX"/>
        </w:rPr>
        <w:t xml:space="preserve"> Ledesma para que las representara en este caso.</w:t>
      </w:r>
    </w:p>
  </w:footnote>
  <w:footnote w:id="4">
    <w:p w14:paraId="028BF727" w14:textId="5782BC60" w:rsidR="00837BB9" w:rsidRPr="006001C8"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6203B0">
        <w:rPr>
          <w:rFonts w:ascii="Verdana" w:hAnsi="Verdana"/>
          <w:spacing w:val="-12"/>
          <w:sz w:val="16"/>
          <w:szCs w:val="16"/>
        </w:rPr>
        <w:t xml:space="preserve"> </w:t>
      </w:r>
      <w:r w:rsidRPr="00FC1D38">
        <w:rPr>
          <w:rFonts w:ascii="Verdana" w:hAnsi="Verdana"/>
          <w:spacing w:val="-12"/>
          <w:sz w:val="16"/>
          <w:szCs w:val="16"/>
          <w:lang w:val="es-MX"/>
        </w:rPr>
        <w:tab/>
        <w:t xml:space="preserve">El plazo venció el </w:t>
      </w:r>
      <w:r w:rsidRPr="000536CF">
        <w:rPr>
          <w:rFonts w:ascii="Verdana" w:hAnsi="Verdana"/>
          <w:spacing w:val="-12"/>
          <w:sz w:val="16"/>
          <w:szCs w:val="16"/>
          <w:lang w:val="es-MX"/>
        </w:rPr>
        <w:t xml:space="preserve">3 </w:t>
      </w:r>
      <w:r w:rsidRPr="001C16AC">
        <w:rPr>
          <w:rFonts w:ascii="Verdana" w:hAnsi="Verdana"/>
          <w:spacing w:val="-12"/>
          <w:sz w:val="16"/>
          <w:szCs w:val="16"/>
          <w:lang w:val="es-MX"/>
        </w:rPr>
        <w:t>de octubre de 2016.</w:t>
      </w:r>
    </w:p>
  </w:footnote>
  <w:footnote w:id="5">
    <w:p w14:paraId="7B7F383D" w14:textId="2DA65438" w:rsidR="00837BB9" w:rsidRPr="00C7142E" w:rsidRDefault="00837BB9" w:rsidP="008349B1">
      <w:pPr>
        <w:pStyle w:val="FootnoteText"/>
        <w:spacing w:before="120" w:after="120"/>
        <w:jc w:val="both"/>
        <w:rPr>
          <w:rFonts w:ascii="Verdana" w:hAnsi="Verdana"/>
          <w:spacing w:val="-12"/>
          <w:sz w:val="16"/>
          <w:szCs w:val="16"/>
          <w:lang w:val="es-CR"/>
        </w:rPr>
      </w:pPr>
      <w:r w:rsidRPr="00D55480">
        <w:rPr>
          <w:rStyle w:val="FootnoteReference"/>
          <w:rFonts w:ascii="Verdana" w:hAnsi="Verdana"/>
          <w:spacing w:val="-12"/>
          <w:sz w:val="16"/>
          <w:szCs w:val="16"/>
        </w:rPr>
        <w:footnoteRef/>
      </w:r>
      <w:r w:rsidRPr="00D55480">
        <w:rPr>
          <w:rFonts w:ascii="Verdana" w:hAnsi="Verdana"/>
          <w:spacing w:val="-12"/>
          <w:sz w:val="16"/>
          <w:szCs w:val="16"/>
        </w:rPr>
        <w:t xml:space="preserve"> </w:t>
      </w:r>
      <w:r w:rsidRPr="009E7E48">
        <w:rPr>
          <w:rFonts w:ascii="Verdana" w:hAnsi="Verdana"/>
          <w:spacing w:val="-12"/>
          <w:sz w:val="16"/>
          <w:szCs w:val="16"/>
          <w:lang w:val="es-MX"/>
        </w:rPr>
        <w:tab/>
        <w:t>Al notificar el sometimiento del caso, se solicitó al Estado que, según lo dispuesto e</w:t>
      </w:r>
      <w:r w:rsidRPr="008B6122">
        <w:rPr>
          <w:rFonts w:ascii="Verdana" w:hAnsi="Verdana"/>
          <w:spacing w:val="-12"/>
          <w:sz w:val="16"/>
          <w:szCs w:val="16"/>
          <w:lang w:val="es-MX"/>
        </w:rPr>
        <w:t xml:space="preserve">n los artículos 23 y 39.3 del Reglamento de la Corte, designara al o los Agentes que actuarían en su representación en el presente caso dentro del plazo de 30 días. Dado que el Estado no designó Agentes, al transmitirse el escrito de solicitudes y argumentos se le reiteró que informara sobre tal acreditación a la mayor brevedad, lo cual no hizo. A partir del escrito de 9 de noviembre de 2016, se entendió que, en adelante, el señor </w:t>
      </w:r>
      <w:proofErr w:type="spellStart"/>
      <w:r w:rsidRPr="008B6122">
        <w:rPr>
          <w:rFonts w:ascii="Verdana" w:hAnsi="Verdana"/>
          <w:spacing w:val="-12"/>
          <w:sz w:val="16"/>
          <w:szCs w:val="16"/>
          <w:lang w:val="es-MX"/>
        </w:rPr>
        <w:t>Saltrón</w:t>
      </w:r>
      <w:proofErr w:type="spellEnd"/>
      <w:r w:rsidRPr="008B6122">
        <w:rPr>
          <w:rFonts w:ascii="Verdana" w:hAnsi="Verdana"/>
          <w:spacing w:val="-12"/>
          <w:sz w:val="16"/>
          <w:szCs w:val="16"/>
          <w:lang w:val="es-MX"/>
        </w:rPr>
        <w:t xml:space="preserve"> Negretti continuaría representando al Estado como Agente para este ca</w:t>
      </w:r>
      <w:r w:rsidRPr="0012407E">
        <w:rPr>
          <w:rFonts w:ascii="Verdana" w:hAnsi="Verdana"/>
          <w:spacing w:val="-12"/>
          <w:sz w:val="16"/>
          <w:szCs w:val="16"/>
          <w:lang w:val="es-MX"/>
        </w:rPr>
        <w:t xml:space="preserve">so. Posteriormente, el 19 de diciembre de 2016 el Estado designó al señor Larry </w:t>
      </w:r>
      <w:proofErr w:type="spellStart"/>
      <w:r w:rsidRPr="0012407E">
        <w:rPr>
          <w:rFonts w:ascii="Verdana" w:hAnsi="Verdana"/>
          <w:spacing w:val="-12"/>
          <w:sz w:val="16"/>
          <w:szCs w:val="16"/>
          <w:lang w:val="es-MX"/>
        </w:rPr>
        <w:t>Devoe</w:t>
      </w:r>
      <w:proofErr w:type="spellEnd"/>
      <w:r w:rsidRPr="0012407E">
        <w:rPr>
          <w:rFonts w:ascii="Verdana" w:hAnsi="Verdana"/>
          <w:spacing w:val="-12"/>
          <w:sz w:val="16"/>
          <w:szCs w:val="16"/>
          <w:lang w:val="es-MX"/>
        </w:rPr>
        <w:t xml:space="preserve"> Márquez como nuevo Agente y, el 9 de enero de 2017, al señor </w:t>
      </w:r>
      <w:proofErr w:type="spellStart"/>
      <w:r w:rsidRPr="0012407E">
        <w:rPr>
          <w:rFonts w:ascii="Verdana" w:hAnsi="Verdana"/>
          <w:spacing w:val="-12"/>
          <w:sz w:val="16"/>
          <w:szCs w:val="16"/>
          <w:lang w:val="es-MX"/>
        </w:rPr>
        <w:t>Romer</w:t>
      </w:r>
      <w:proofErr w:type="spellEnd"/>
      <w:r w:rsidRPr="0012407E">
        <w:rPr>
          <w:rFonts w:ascii="Verdana" w:hAnsi="Verdana"/>
          <w:spacing w:val="-12"/>
          <w:sz w:val="16"/>
          <w:szCs w:val="16"/>
          <w:lang w:val="es-MX"/>
        </w:rPr>
        <w:t xml:space="preserve"> Pacheco Morales como Agente Alterno.</w:t>
      </w:r>
    </w:p>
  </w:footnote>
  <w:footnote w:id="6">
    <w:p w14:paraId="59DDF2AA" w14:textId="0732D973" w:rsidR="00837BB9" w:rsidRPr="00CF3AED" w:rsidRDefault="00837BB9" w:rsidP="008349B1">
      <w:pPr>
        <w:pStyle w:val="ListParagraph"/>
        <w:spacing w:before="120" w:after="120"/>
        <w:ind w:left="0"/>
        <w:jc w:val="both"/>
        <w:rPr>
          <w:rFonts w:ascii="Verdana" w:hAnsi="Verdana"/>
          <w:spacing w:val="-12"/>
          <w:sz w:val="16"/>
          <w:szCs w:val="16"/>
          <w:lang w:val="es-MX"/>
        </w:rPr>
      </w:pPr>
      <w:r w:rsidRPr="00C7142E">
        <w:rPr>
          <w:rStyle w:val="FootnoteReference"/>
          <w:rFonts w:ascii="Verdana" w:hAnsi="Verdana"/>
          <w:spacing w:val="-12"/>
          <w:sz w:val="16"/>
          <w:szCs w:val="16"/>
          <w:lang w:val="es-MX"/>
        </w:rPr>
        <w:footnoteRef/>
      </w:r>
      <w:r w:rsidRPr="0069409D">
        <w:rPr>
          <w:rFonts w:ascii="Verdana" w:hAnsi="Verdana"/>
          <w:i/>
          <w:spacing w:val="-12"/>
          <w:sz w:val="16"/>
          <w:szCs w:val="16"/>
          <w:lang w:val="es-MX"/>
        </w:rPr>
        <w:t xml:space="preserve"> </w:t>
      </w:r>
      <w:r w:rsidRPr="0069409D">
        <w:rPr>
          <w:rFonts w:ascii="Verdana" w:hAnsi="Verdana"/>
          <w:i/>
          <w:spacing w:val="-12"/>
          <w:sz w:val="16"/>
          <w:szCs w:val="16"/>
          <w:lang w:val="es-MX"/>
        </w:rPr>
        <w:tab/>
        <w:t>Cfr. Caso San Miguel Sosa y otras Vs. Venezuela</w:t>
      </w:r>
      <w:r w:rsidRPr="0069409D">
        <w:rPr>
          <w:rFonts w:ascii="Verdana" w:hAnsi="Verdana"/>
          <w:spacing w:val="-12"/>
          <w:sz w:val="16"/>
          <w:szCs w:val="16"/>
          <w:lang w:val="es-MX"/>
        </w:rPr>
        <w:t>.</w:t>
      </w:r>
      <w:r w:rsidRPr="006C24C0">
        <w:rPr>
          <w:rFonts w:ascii="Verdana" w:hAnsi="Verdana"/>
          <w:spacing w:val="-12"/>
          <w:sz w:val="16"/>
          <w:szCs w:val="16"/>
        </w:rPr>
        <w:t xml:space="preserve"> </w:t>
      </w:r>
      <w:r w:rsidRPr="003100FE">
        <w:rPr>
          <w:rFonts w:ascii="Verdana" w:hAnsi="Verdana"/>
          <w:spacing w:val="-12"/>
          <w:sz w:val="16"/>
          <w:szCs w:val="16"/>
          <w:lang w:val="es-MX"/>
        </w:rPr>
        <w:t>Resolución del</w:t>
      </w:r>
      <w:r w:rsidRPr="0003211A">
        <w:rPr>
          <w:rFonts w:ascii="Verdana" w:hAnsi="Verdana"/>
          <w:spacing w:val="-12"/>
          <w:sz w:val="16"/>
          <w:szCs w:val="16"/>
          <w:lang w:val="es-MX"/>
        </w:rPr>
        <w:t xml:space="preserve"> Presidente de la Corte de 20 de diciembre de 2016. Disponible en </w:t>
      </w:r>
      <w:hyperlink r:id="rId2" w:history="1">
        <w:r w:rsidRPr="00CF3AED">
          <w:rPr>
            <w:rStyle w:val="Hyperlink"/>
            <w:rFonts w:ascii="Verdana" w:hAnsi="Verdana"/>
            <w:spacing w:val="-12"/>
            <w:sz w:val="16"/>
            <w:szCs w:val="16"/>
            <w:lang w:val="es-MX"/>
          </w:rPr>
          <w:t>http://www.corteidh.or.cr/docs/asuntos/sanmiguel_sosa_20_12_16.pdf</w:t>
        </w:r>
      </w:hyperlink>
    </w:p>
  </w:footnote>
  <w:footnote w:id="7">
    <w:p w14:paraId="6D209017" w14:textId="4E40506F" w:rsidR="00837BB9" w:rsidRPr="0069409D"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spacing w:val="-12"/>
          <w:sz w:val="16"/>
          <w:szCs w:val="16"/>
          <w:lang w:val="es-MX"/>
        </w:rPr>
        <w:t xml:space="preserve">El 31 de enero de 2017 la Secretaría informó que el Presidente había tomado nota y aceptado el desistimiento, por parte del representante, de un peritaje de la señora Ligia Bolívar. </w:t>
      </w:r>
    </w:p>
  </w:footnote>
  <w:footnote w:id="8">
    <w:p w14:paraId="398C42EC" w14:textId="67382456" w:rsidR="00837BB9" w:rsidRPr="00C7142E"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MX"/>
        </w:rPr>
        <w:t xml:space="preserve">Cfr. Caso San Miguel Sosa y otras Vs. Venezuela. </w:t>
      </w:r>
      <w:r w:rsidRPr="0069409D">
        <w:rPr>
          <w:rFonts w:ascii="Verdana" w:hAnsi="Verdana"/>
          <w:spacing w:val="-12"/>
          <w:sz w:val="16"/>
          <w:szCs w:val="16"/>
          <w:lang w:val="es-MX"/>
        </w:rPr>
        <w:t>Resolución de la Corte de 6 de febrero de 2017. Disponible</w:t>
      </w:r>
      <w:r w:rsidRPr="006C24C0">
        <w:rPr>
          <w:rFonts w:ascii="Verdana" w:hAnsi="Verdana"/>
          <w:spacing w:val="-12"/>
          <w:sz w:val="16"/>
          <w:szCs w:val="16"/>
          <w:lang w:val="es-MX"/>
        </w:rPr>
        <w:t xml:space="preserve"> en: </w:t>
      </w:r>
      <w:hyperlink r:id="rId3" w:history="1">
        <w:r w:rsidRPr="00CF3AED">
          <w:rPr>
            <w:rStyle w:val="Hyperlink"/>
            <w:rFonts w:ascii="Verdana" w:hAnsi="Verdana"/>
            <w:spacing w:val="-12"/>
            <w:sz w:val="16"/>
            <w:szCs w:val="16"/>
            <w:lang w:val="es-MX"/>
          </w:rPr>
          <w:t>http://www.corteidh.or.cr/docs/asuntos/sanmiguelsosa_06_02_17.pdf</w:t>
        </w:r>
      </w:hyperlink>
      <w:r w:rsidRPr="00C7142E">
        <w:rPr>
          <w:rFonts w:ascii="Verdana" w:hAnsi="Verdana"/>
          <w:spacing w:val="-12"/>
          <w:sz w:val="16"/>
          <w:szCs w:val="16"/>
          <w:lang w:val="es-MX"/>
        </w:rPr>
        <w:t xml:space="preserve"> </w:t>
      </w:r>
    </w:p>
  </w:footnote>
  <w:footnote w:id="9">
    <w:p w14:paraId="78F80C9C" w14:textId="4D9163FF" w:rsidR="00837BB9" w:rsidRPr="00CE7020"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spacing w:val="-12"/>
          <w:sz w:val="16"/>
          <w:szCs w:val="16"/>
          <w:lang w:val="es-MX"/>
        </w:rPr>
        <w:t>El 4 de enero de 2017 la Comisión solicitó una prórroga, la cual fue otorgada por el Presidente a todas las partes hasta el 3 de febrero de 2017. Mediante escritos de 27 y 30 de enero de 2017, el representante de las presuntas víctimas se refirió a obstáculos que habrían puesto funcionarios estatales, en particular notarías públicas, para certificar las</w:t>
      </w:r>
      <w:r w:rsidRPr="006C24C0">
        <w:rPr>
          <w:rFonts w:ascii="Verdana" w:hAnsi="Verdana"/>
          <w:spacing w:val="-12"/>
          <w:sz w:val="16"/>
          <w:szCs w:val="16"/>
          <w:lang w:val="es-MX"/>
        </w:rPr>
        <w:t xml:space="preserve"> firmas de los declarantes. El 31 de enero siguiente, siguiendo instrucciones del Presidente de la Corte, se informó que, si no era posible que las declaraciones requeridas fuesen debidamente autenticadas por las autoridades respectivas, las mismas podrían</w:t>
      </w:r>
      <w:r w:rsidRPr="003100FE">
        <w:rPr>
          <w:rFonts w:ascii="Verdana" w:hAnsi="Verdana"/>
          <w:spacing w:val="-12"/>
          <w:sz w:val="16"/>
          <w:szCs w:val="16"/>
          <w:lang w:val="es-MX"/>
        </w:rPr>
        <w:t xml:space="preserve"> ser autenticadas ante el Consulado de la República de Costa Rica en Venezuela y, por último, de no ser esto viable, podrán ser presentadas en el estado en que se encontraren. Se indicó que, en cualquier caso, correspondería a la Corte valorar oportunament</w:t>
      </w:r>
      <w:r w:rsidRPr="0003211A">
        <w:rPr>
          <w:rFonts w:ascii="Verdana" w:hAnsi="Verdana"/>
          <w:spacing w:val="-12"/>
          <w:sz w:val="16"/>
          <w:szCs w:val="16"/>
          <w:lang w:val="es-MX"/>
        </w:rPr>
        <w:t>e la situación referida y la admisibilidad de las declaraciones y, en razón de lo anterior, se otorgó al representante un plazo adicional hasta el 9 de febrero de 2017 para remitir las declaraciones. El 1 de febrero siguiente, el Estado señaló que se ponía</w:t>
      </w:r>
      <w:r w:rsidRPr="00CE7020">
        <w:rPr>
          <w:rFonts w:ascii="Verdana" w:hAnsi="Verdana"/>
          <w:spacing w:val="-12"/>
          <w:sz w:val="16"/>
          <w:szCs w:val="16"/>
          <w:lang w:val="es-MX"/>
        </w:rPr>
        <w:t xml:space="preserve"> la Notaría Pública Octava del Municipio del Chacao a disposición de los representantes para certificar las firmas. Mediante comunicaciones de 3 y 8 de febrero, el representante remitió 21 declaraciones y desistió de tres testimonios.</w:t>
      </w:r>
    </w:p>
  </w:footnote>
  <w:footnote w:id="10">
    <w:p w14:paraId="63B9621C" w14:textId="075A9F04" w:rsidR="00837BB9" w:rsidRPr="00CF3AED" w:rsidRDefault="00837BB9" w:rsidP="008349B1">
      <w:pPr>
        <w:spacing w:before="120" w:after="120" w:line="240" w:lineRule="auto"/>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eastAsia="Times New Roman" w:hAnsi="Verdana" w:cs="Times New Roman"/>
          <w:spacing w:val="-12"/>
          <w:sz w:val="16"/>
          <w:szCs w:val="16"/>
          <w:lang w:val="es-MX"/>
        </w:rPr>
        <w:t xml:space="preserve">A esta audiencia comparecieron: a) por la Comisión, el Comisionado Francisco </w:t>
      </w:r>
      <w:proofErr w:type="spellStart"/>
      <w:r w:rsidRPr="00CF3AED">
        <w:rPr>
          <w:rFonts w:ascii="Verdana" w:eastAsia="Times New Roman" w:hAnsi="Verdana" w:cs="Times New Roman"/>
          <w:spacing w:val="-12"/>
          <w:sz w:val="16"/>
          <w:szCs w:val="16"/>
          <w:lang w:val="es-MX"/>
        </w:rPr>
        <w:t>Eguiguren</w:t>
      </w:r>
      <w:proofErr w:type="spellEnd"/>
      <w:r w:rsidRPr="00CF3AED">
        <w:rPr>
          <w:rFonts w:ascii="Verdana" w:eastAsia="Times New Roman" w:hAnsi="Verdana" w:cs="Times New Roman"/>
          <w:spacing w:val="-12"/>
          <w:sz w:val="16"/>
          <w:szCs w:val="16"/>
          <w:lang w:val="es-MX"/>
        </w:rPr>
        <w:t xml:space="preserve">, el Relator Especial para la Libertad de Expresión Edison Lanza y la asesora Silvia Serrano </w:t>
      </w:r>
      <w:proofErr w:type="spellStart"/>
      <w:r w:rsidRPr="00CF3AED">
        <w:rPr>
          <w:rFonts w:ascii="Verdana" w:eastAsia="Times New Roman" w:hAnsi="Verdana" w:cs="Times New Roman"/>
          <w:spacing w:val="-12"/>
          <w:sz w:val="16"/>
          <w:szCs w:val="16"/>
          <w:lang w:val="es-MX"/>
        </w:rPr>
        <w:t>Guzman</w:t>
      </w:r>
      <w:proofErr w:type="spellEnd"/>
      <w:r w:rsidRPr="00CF3AED">
        <w:rPr>
          <w:rFonts w:ascii="Verdana" w:eastAsia="Times New Roman" w:hAnsi="Verdana" w:cs="Times New Roman"/>
          <w:spacing w:val="-12"/>
          <w:sz w:val="16"/>
          <w:szCs w:val="16"/>
          <w:lang w:val="es-MX"/>
        </w:rPr>
        <w:t xml:space="preserve">; b) por el Estado, los señores Larry </w:t>
      </w:r>
      <w:proofErr w:type="spellStart"/>
      <w:r w:rsidRPr="00CF3AED">
        <w:rPr>
          <w:rFonts w:ascii="Verdana" w:eastAsia="Times New Roman" w:hAnsi="Verdana" w:cs="Times New Roman"/>
          <w:spacing w:val="-12"/>
          <w:sz w:val="16"/>
          <w:szCs w:val="16"/>
          <w:lang w:val="es-MX"/>
        </w:rPr>
        <w:t>Devoe</w:t>
      </w:r>
      <w:proofErr w:type="spellEnd"/>
      <w:r w:rsidRPr="00CF3AED">
        <w:rPr>
          <w:rFonts w:ascii="Verdana" w:eastAsia="Times New Roman" w:hAnsi="Verdana" w:cs="Times New Roman"/>
          <w:spacing w:val="-12"/>
          <w:sz w:val="16"/>
          <w:szCs w:val="16"/>
          <w:lang w:val="es-MX"/>
        </w:rPr>
        <w:t xml:space="preserve"> Márquez, Agente; </w:t>
      </w:r>
      <w:proofErr w:type="spellStart"/>
      <w:r w:rsidRPr="00CF3AED">
        <w:rPr>
          <w:rFonts w:ascii="Verdana" w:eastAsia="Times New Roman" w:hAnsi="Verdana" w:cs="Times New Roman"/>
          <w:spacing w:val="-12"/>
          <w:sz w:val="16"/>
          <w:szCs w:val="16"/>
          <w:lang w:val="es-MX"/>
        </w:rPr>
        <w:t>Romer</w:t>
      </w:r>
      <w:proofErr w:type="spellEnd"/>
      <w:r w:rsidRPr="00CF3AED">
        <w:rPr>
          <w:rFonts w:ascii="Verdana" w:eastAsia="Times New Roman" w:hAnsi="Verdana" w:cs="Times New Roman"/>
          <w:spacing w:val="-12"/>
          <w:sz w:val="16"/>
          <w:szCs w:val="16"/>
          <w:lang w:val="es-MX"/>
        </w:rPr>
        <w:t xml:space="preserve"> P</w:t>
      </w:r>
      <w:r w:rsidRPr="006203B0">
        <w:rPr>
          <w:rFonts w:ascii="Verdana" w:eastAsia="Times New Roman" w:hAnsi="Verdana" w:cs="Times New Roman"/>
          <w:spacing w:val="-12"/>
          <w:sz w:val="16"/>
          <w:szCs w:val="16"/>
          <w:lang w:val="es-MX"/>
        </w:rPr>
        <w:t>acheco Morales, Agent</w:t>
      </w:r>
      <w:r w:rsidRPr="00FC1D38">
        <w:rPr>
          <w:rFonts w:ascii="Verdana" w:eastAsia="Times New Roman" w:hAnsi="Verdana" w:cs="Times New Roman"/>
          <w:spacing w:val="-12"/>
          <w:sz w:val="16"/>
          <w:szCs w:val="16"/>
          <w:lang w:val="es-MX"/>
        </w:rPr>
        <w:t>e Alterno,</w:t>
      </w:r>
      <w:r w:rsidRPr="000536CF">
        <w:rPr>
          <w:rFonts w:ascii="Verdana" w:eastAsia="Times New Roman" w:hAnsi="Verdana" w:cs="Times New Roman"/>
          <w:spacing w:val="-12"/>
          <w:sz w:val="16"/>
          <w:szCs w:val="16"/>
          <w:lang w:val="es-MX"/>
        </w:rPr>
        <w:t xml:space="preserve"> y Alexis Crespo Daza, asesor; y c) por las presuntas víctimas: el señor Héctor </w:t>
      </w:r>
      <w:proofErr w:type="spellStart"/>
      <w:r w:rsidRPr="000536CF">
        <w:rPr>
          <w:rFonts w:ascii="Verdana" w:eastAsia="Times New Roman" w:hAnsi="Verdana" w:cs="Times New Roman"/>
          <w:spacing w:val="-12"/>
          <w:sz w:val="16"/>
          <w:szCs w:val="16"/>
          <w:lang w:val="es-MX"/>
        </w:rPr>
        <w:t>Faúndez</w:t>
      </w:r>
      <w:proofErr w:type="spellEnd"/>
      <w:r w:rsidRPr="000536CF">
        <w:rPr>
          <w:rFonts w:ascii="Verdana" w:eastAsia="Times New Roman" w:hAnsi="Verdana" w:cs="Times New Roman"/>
          <w:spacing w:val="-12"/>
          <w:sz w:val="16"/>
          <w:szCs w:val="16"/>
          <w:lang w:val="es-MX"/>
        </w:rPr>
        <w:t xml:space="preserve"> Ledesma, representante; </w:t>
      </w:r>
      <w:r w:rsidRPr="001C16AC">
        <w:rPr>
          <w:rFonts w:ascii="Verdana" w:eastAsia="Times New Roman" w:hAnsi="Verdana" w:cs="Times New Roman"/>
          <w:spacing w:val="-12"/>
          <w:sz w:val="16"/>
          <w:szCs w:val="16"/>
          <w:lang w:val="es-MX"/>
        </w:rPr>
        <w:t xml:space="preserve">los señores Jesús </w:t>
      </w:r>
      <w:proofErr w:type="spellStart"/>
      <w:r w:rsidRPr="001C16AC">
        <w:rPr>
          <w:rFonts w:ascii="Verdana" w:eastAsia="Times New Roman" w:hAnsi="Verdana" w:cs="Times New Roman"/>
          <w:spacing w:val="-12"/>
          <w:sz w:val="16"/>
          <w:szCs w:val="16"/>
          <w:lang w:val="es-MX"/>
        </w:rPr>
        <w:t>Ollarves</w:t>
      </w:r>
      <w:proofErr w:type="spellEnd"/>
      <w:r w:rsidRPr="001C16AC">
        <w:rPr>
          <w:rFonts w:ascii="Verdana" w:eastAsia="Times New Roman" w:hAnsi="Verdana" w:cs="Times New Roman"/>
          <w:spacing w:val="-12"/>
          <w:sz w:val="16"/>
          <w:szCs w:val="16"/>
          <w:lang w:val="es-MX"/>
        </w:rPr>
        <w:t xml:space="preserve"> </w:t>
      </w:r>
      <w:proofErr w:type="spellStart"/>
      <w:r w:rsidRPr="001C16AC">
        <w:rPr>
          <w:rFonts w:ascii="Verdana" w:eastAsia="Times New Roman" w:hAnsi="Verdana" w:cs="Times New Roman"/>
          <w:spacing w:val="-12"/>
          <w:sz w:val="16"/>
          <w:szCs w:val="16"/>
          <w:lang w:val="es-MX"/>
        </w:rPr>
        <w:t>Irazabal</w:t>
      </w:r>
      <w:proofErr w:type="spellEnd"/>
      <w:r w:rsidRPr="001C16AC">
        <w:rPr>
          <w:rFonts w:ascii="Verdana" w:eastAsia="Times New Roman" w:hAnsi="Verdana" w:cs="Times New Roman"/>
          <w:spacing w:val="-12"/>
          <w:sz w:val="16"/>
          <w:szCs w:val="16"/>
          <w:lang w:val="es-MX"/>
        </w:rPr>
        <w:t xml:space="preserve"> y</w:t>
      </w:r>
      <w:r w:rsidRPr="006001C8">
        <w:rPr>
          <w:rFonts w:ascii="Verdana" w:eastAsia="Times New Roman" w:hAnsi="Verdana" w:cs="Times New Roman"/>
          <w:spacing w:val="-12"/>
          <w:sz w:val="16"/>
          <w:szCs w:val="16"/>
          <w:lang w:val="es-MX"/>
        </w:rPr>
        <w:t xml:space="preserve"> Juan Carlos Gutiérrez</w:t>
      </w:r>
      <w:r w:rsidRPr="00D55480">
        <w:rPr>
          <w:rFonts w:ascii="Verdana" w:eastAsia="Times New Roman" w:hAnsi="Verdana" w:cs="Times New Roman"/>
          <w:spacing w:val="-12"/>
          <w:sz w:val="16"/>
          <w:szCs w:val="16"/>
          <w:lang w:val="es-MX"/>
        </w:rPr>
        <w:t xml:space="preserve"> y las señoras</w:t>
      </w:r>
      <w:r w:rsidRPr="009E7E48">
        <w:rPr>
          <w:rFonts w:ascii="Verdana" w:eastAsia="Times New Roman" w:hAnsi="Verdana" w:cs="Times New Roman"/>
          <w:spacing w:val="-12"/>
          <w:sz w:val="16"/>
          <w:szCs w:val="16"/>
          <w:lang w:val="es-MX"/>
        </w:rPr>
        <w:t xml:space="preserve"> Alejandra Rodriguez, Mariana Alexandra Romero y</w:t>
      </w:r>
      <w:r w:rsidRPr="008B6122">
        <w:rPr>
          <w:rFonts w:ascii="Verdana" w:eastAsia="Times New Roman" w:hAnsi="Verdana" w:cs="Times New Roman"/>
          <w:spacing w:val="-12"/>
          <w:sz w:val="16"/>
          <w:szCs w:val="16"/>
          <w:lang w:val="es-MX"/>
        </w:rPr>
        <w:t xml:space="preserve"> Ligia Bolívar Osuna, abogados;</w:t>
      </w:r>
      <w:r w:rsidRPr="0012407E">
        <w:rPr>
          <w:rFonts w:ascii="Verdana" w:eastAsia="Times New Roman" w:hAnsi="Verdana" w:cs="Times New Roman"/>
          <w:spacing w:val="-12"/>
          <w:sz w:val="16"/>
          <w:szCs w:val="16"/>
          <w:lang w:val="es-MX"/>
        </w:rPr>
        <w:t xml:space="preserve"> y la señora Luisa Torrealba Meza y </w:t>
      </w:r>
      <w:r w:rsidRPr="00C7142E">
        <w:rPr>
          <w:rFonts w:ascii="Verdana" w:eastAsia="Times New Roman" w:hAnsi="Verdana" w:cs="Times New Roman"/>
          <w:spacing w:val="-12"/>
          <w:sz w:val="16"/>
          <w:szCs w:val="16"/>
          <w:lang w:val="es-MX"/>
        </w:rPr>
        <w:t xml:space="preserve">el señor Alejandro Gonzalez de </w:t>
      </w:r>
      <w:proofErr w:type="spellStart"/>
      <w:r w:rsidRPr="00C7142E">
        <w:rPr>
          <w:rFonts w:ascii="Verdana" w:eastAsia="Times New Roman" w:hAnsi="Verdana" w:cs="Times New Roman"/>
          <w:spacing w:val="-12"/>
          <w:sz w:val="16"/>
          <w:szCs w:val="16"/>
          <w:lang w:val="es-MX"/>
        </w:rPr>
        <w:t>Canares</w:t>
      </w:r>
      <w:proofErr w:type="spellEnd"/>
      <w:r w:rsidRPr="00C7142E">
        <w:rPr>
          <w:rFonts w:ascii="Verdana" w:eastAsia="Times New Roman" w:hAnsi="Verdana" w:cs="Times New Roman"/>
          <w:spacing w:val="-12"/>
          <w:sz w:val="16"/>
          <w:szCs w:val="16"/>
          <w:lang w:val="es-MX"/>
        </w:rPr>
        <w:t>, asistentes. Video disponible en:</w:t>
      </w:r>
      <w:r w:rsidRPr="0069409D">
        <w:rPr>
          <w:rFonts w:ascii="Verdana" w:hAnsi="Verdana" w:cs="Arial"/>
          <w:spacing w:val="-12"/>
          <w:sz w:val="16"/>
          <w:szCs w:val="16"/>
          <w:lang w:val="es-MX"/>
        </w:rPr>
        <w:t xml:space="preserve"> </w:t>
      </w:r>
      <w:hyperlink r:id="rId4" w:history="1">
        <w:r w:rsidRPr="00CF3AED">
          <w:rPr>
            <w:rStyle w:val="Hyperlink"/>
            <w:rFonts w:ascii="Verdana" w:hAnsi="Verdana" w:cs="Arial"/>
            <w:spacing w:val="-12"/>
            <w:sz w:val="16"/>
            <w:szCs w:val="16"/>
            <w:lang w:val="es-MX"/>
          </w:rPr>
          <w:t>https://vimeopro.com/corteidh/caso-san-miguel-sosa-y-otros-vs-venezuela</w:t>
        </w:r>
      </w:hyperlink>
    </w:p>
  </w:footnote>
  <w:footnote w:id="11">
    <w:p w14:paraId="398FC3DC" w14:textId="78691869" w:rsidR="00837BB9" w:rsidRPr="007C51D0" w:rsidRDefault="00837BB9" w:rsidP="008349B1">
      <w:pPr>
        <w:spacing w:before="120" w:after="120" w:line="240" w:lineRule="auto"/>
        <w:jc w:val="both"/>
        <w:rPr>
          <w:rFonts w:ascii="Verdana" w:hAnsi="Verdana"/>
          <w:sz w:val="16"/>
          <w:szCs w:val="16"/>
        </w:rPr>
      </w:pPr>
      <w:r w:rsidRPr="00CF3AED">
        <w:rPr>
          <w:rStyle w:val="FootnoteReference"/>
          <w:rFonts w:ascii="Verdana" w:hAnsi="Verdana"/>
          <w:spacing w:val="-12"/>
          <w:sz w:val="16"/>
          <w:szCs w:val="16"/>
          <w:lang w:val="es-MX"/>
        </w:rPr>
        <w:footnoteRef/>
      </w:r>
      <w:r w:rsidRPr="007C51D0">
        <w:rPr>
          <w:rFonts w:ascii="Verdana" w:hAnsi="Verdana"/>
          <w:sz w:val="16"/>
          <w:szCs w:val="16"/>
        </w:rPr>
        <w:t xml:space="preserve"> </w:t>
      </w:r>
      <w:r w:rsidRPr="00CF3AED">
        <w:rPr>
          <w:rFonts w:ascii="Verdana" w:hAnsi="Verdana"/>
          <w:spacing w:val="-12"/>
          <w:sz w:val="16"/>
          <w:szCs w:val="16"/>
          <w:lang w:val="es-MX"/>
        </w:rPr>
        <w:tab/>
      </w:r>
      <w:r w:rsidRPr="00CF3AED">
        <w:rPr>
          <w:rFonts w:ascii="Verdana" w:eastAsia="Times New Roman" w:hAnsi="Verdana" w:cs="Times New Roman"/>
          <w:spacing w:val="-12"/>
          <w:sz w:val="16"/>
          <w:szCs w:val="16"/>
          <w:lang w:val="es-MX"/>
        </w:rPr>
        <w:t>En el escrito se presentan antecedentes sobre la organización y su interés en el caso y se exponen fuentes de derecho internacional que considera aplicables al caso, sobre obligaciones jurídicas internacionales que tendría</w:t>
      </w:r>
      <w:r w:rsidRPr="006203B0">
        <w:rPr>
          <w:rFonts w:ascii="Verdana" w:eastAsia="Times New Roman" w:hAnsi="Verdana" w:cs="Times New Roman"/>
          <w:spacing w:val="-12"/>
          <w:sz w:val="16"/>
          <w:szCs w:val="16"/>
          <w:lang w:val="es-MX"/>
        </w:rPr>
        <w:t xml:space="preserve"> Venezuela relativas a los</w:t>
      </w:r>
      <w:r w:rsidRPr="00FC1D38">
        <w:rPr>
          <w:rFonts w:ascii="Verdana" w:eastAsia="Times New Roman" w:hAnsi="Verdana" w:cs="Times New Roman"/>
          <w:spacing w:val="-12"/>
          <w:sz w:val="16"/>
          <w:szCs w:val="16"/>
          <w:lang w:val="es-MX"/>
        </w:rPr>
        <w:t xml:space="preserve"> derecho</w:t>
      </w:r>
      <w:r w:rsidRPr="000536CF">
        <w:rPr>
          <w:rFonts w:ascii="Verdana" w:eastAsia="Times New Roman" w:hAnsi="Verdana" w:cs="Times New Roman"/>
          <w:spacing w:val="-12"/>
          <w:sz w:val="16"/>
          <w:szCs w:val="16"/>
          <w:lang w:val="es-MX"/>
        </w:rPr>
        <w:t>s de libertad de expresión, políticos, a no ser discriminado y a tener acceso a un recurso efectivo. El documento fue</w:t>
      </w:r>
      <w:r w:rsidRPr="001C16AC">
        <w:rPr>
          <w:rFonts w:ascii="Verdana" w:eastAsia="Times New Roman" w:hAnsi="Verdana" w:cs="Times New Roman"/>
          <w:spacing w:val="-12"/>
          <w:sz w:val="16"/>
          <w:szCs w:val="16"/>
          <w:lang w:val="es-MX"/>
        </w:rPr>
        <w:t xml:space="preserve"> suscrito por el director de la organización, señor José Miguel Vivanco.</w:t>
      </w:r>
    </w:p>
  </w:footnote>
  <w:footnote w:id="12">
    <w:p w14:paraId="09111D5D" w14:textId="5221B6BF" w:rsidR="00837BB9" w:rsidRPr="007C51D0" w:rsidRDefault="00837BB9" w:rsidP="008349B1">
      <w:pPr>
        <w:pStyle w:val="FootnoteText"/>
        <w:spacing w:before="120" w:after="120"/>
        <w:jc w:val="both"/>
        <w:rPr>
          <w:rFonts w:ascii="Verdana" w:hAnsi="Verdana"/>
          <w:sz w:val="16"/>
          <w:szCs w:val="16"/>
          <w:lang w:val="es-CR"/>
        </w:rPr>
      </w:pPr>
      <w:r w:rsidRPr="00CF3AED">
        <w:rPr>
          <w:rStyle w:val="FootnoteReference"/>
          <w:rFonts w:ascii="Verdana" w:eastAsiaTheme="minorHAnsi" w:hAnsi="Verdana" w:cstheme="minorBidi"/>
          <w:spacing w:val="-12"/>
          <w:sz w:val="16"/>
          <w:szCs w:val="16"/>
          <w:lang w:val="es-MX"/>
        </w:rPr>
        <w:footnoteRef/>
      </w:r>
      <w:r w:rsidRPr="007C51D0">
        <w:rPr>
          <w:rFonts w:ascii="Verdana" w:hAnsi="Verdana"/>
          <w:sz w:val="16"/>
          <w:szCs w:val="16"/>
        </w:rPr>
        <w:t xml:space="preserve"> </w:t>
      </w:r>
      <w:r w:rsidRPr="00CF3AED">
        <w:rPr>
          <w:rFonts w:ascii="Verdana" w:hAnsi="Verdana"/>
          <w:spacing w:val="-12"/>
          <w:sz w:val="16"/>
          <w:szCs w:val="16"/>
          <w:lang w:val="es-MX"/>
        </w:rPr>
        <w:tab/>
        <w:t>El escrito presenta un</w:t>
      </w:r>
      <w:r>
        <w:rPr>
          <w:rFonts w:ascii="Verdana" w:hAnsi="Verdana"/>
          <w:spacing w:val="-12"/>
          <w:sz w:val="16"/>
          <w:szCs w:val="16"/>
          <w:lang w:val="es-MX"/>
        </w:rPr>
        <w:t xml:space="preserve"> breve</w:t>
      </w:r>
      <w:r w:rsidRPr="00CF3AED">
        <w:rPr>
          <w:rFonts w:ascii="Verdana" w:hAnsi="Verdana"/>
          <w:spacing w:val="-12"/>
          <w:sz w:val="16"/>
          <w:szCs w:val="16"/>
          <w:lang w:val="es-MX"/>
        </w:rPr>
        <w:t xml:space="preserve"> recuento histórico sobre el Sistema Interamericano, particularmente sobre los temas de democracia y derechos humanos, así como una serie de opiniones sobre la situación al respecto en Venezuela. El documento fue</w:t>
      </w:r>
      <w:r w:rsidRPr="006203B0">
        <w:rPr>
          <w:rFonts w:ascii="Verdana" w:hAnsi="Verdana"/>
          <w:spacing w:val="-12"/>
          <w:sz w:val="16"/>
          <w:szCs w:val="16"/>
          <w:lang w:val="es-MX"/>
        </w:rPr>
        <w:t xml:space="preserve"> suscrito por el señor Asdrúbal Aguiar-Aranguren, c</w:t>
      </w:r>
      <w:r w:rsidRPr="00FC1D38">
        <w:rPr>
          <w:rFonts w:ascii="Verdana" w:hAnsi="Verdana"/>
          <w:spacing w:val="-12"/>
          <w:sz w:val="16"/>
          <w:szCs w:val="16"/>
          <w:lang w:val="es-MX"/>
        </w:rPr>
        <w:t>omo presidente de la organización, que está inscrita en Argentina como asociación civil.</w:t>
      </w:r>
    </w:p>
  </w:footnote>
  <w:footnote w:id="13">
    <w:p w14:paraId="40C81DBC" w14:textId="4A5CE478" w:rsidR="00837BB9" w:rsidRPr="007C51D0" w:rsidRDefault="00837BB9" w:rsidP="008349B1">
      <w:pPr>
        <w:autoSpaceDE w:val="0"/>
        <w:autoSpaceDN w:val="0"/>
        <w:adjustRightInd w:val="0"/>
        <w:spacing w:before="120" w:after="120" w:line="240" w:lineRule="auto"/>
        <w:jc w:val="both"/>
        <w:rPr>
          <w:rFonts w:ascii="Verdana" w:hAnsi="Verdana" w:cs="TimesNewRomanPSMT"/>
          <w:sz w:val="16"/>
          <w:szCs w:val="16"/>
        </w:rPr>
      </w:pPr>
      <w:r w:rsidRPr="00CF3AED">
        <w:rPr>
          <w:rStyle w:val="FootnoteReference"/>
          <w:rFonts w:ascii="Verdana" w:hAnsi="Verdana"/>
          <w:spacing w:val="-12"/>
          <w:sz w:val="16"/>
          <w:szCs w:val="16"/>
          <w:lang w:val="es-MX"/>
        </w:rPr>
        <w:footnoteRef/>
      </w:r>
      <w:r w:rsidRPr="007C51D0">
        <w:rPr>
          <w:rFonts w:ascii="Verdana" w:hAnsi="Verdana"/>
          <w:sz w:val="16"/>
          <w:szCs w:val="16"/>
        </w:rPr>
        <w:t xml:space="preserve"> </w:t>
      </w:r>
      <w:r w:rsidRPr="00CF3AED">
        <w:rPr>
          <w:rFonts w:ascii="Verdana" w:eastAsia="Times New Roman" w:hAnsi="Verdana" w:cs="Times New Roman"/>
          <w:spacing w:val="-12"/>
          <w:sz w:val="16"/>
          <w:szCs w:val="16"/>
          <w:lang w:val="es-MX"/>
        </w:rPr>
        <w:tab/>
      </w:r>
      <w:r w:rsidRPr="001B3A3F">
        <w:rPr>
          <w:rFonts w:ascii="Verdana" w:eastAsia="Times New Roman" w:hAnsi="Verdana" w:cs="Times New Roman"/>
          <w:spacing w:val="-12"/>
          <w:sz w:val="16"/>
          <w:szCs w:val="16"/>
          <w:lang w:val="es-MX"/>
        </w:rPr>
        <w:t>El escrito presenta una serie de alegatos sobre la responsabilidad internacional del Estado en este caso por la violación de los artículos 23.1, 13.1, 13.3, 24, 8 y 25 de la Convención Americana. En particular, el escrito presenta estándares generales en materia del derecho a la libertad de expresión y derechos políticos, con base principalmente en jurisprudencia interamericana y europea;</w:t>
      </w:r>
      <w:r>
        <w:rPr>
          <w:rFonts w:ascii="Verdana" w:eastAsia="Times New Roman" w:hAnsi="Verdana" w:cs="Times New Roman"/>
          <w:spacing w:val="-12"/>
          <w:sz w:val="16"/>
          <w:szCs w:val="16"/>
          <w:lang w:val="es-MX"/>
        </w:rPr>
        <w:t xml:space="preserve"> luego,</w:t>
      </w:r>
      <w:r w:rsidRPr="001B3A3F">
        <w:rPr>
          <w:rFonts w:ascii="Verdana" w:eastAsia="Times New Roman" w:hAnsi="Verdana" w:cs="Times New Roman"/>
          <w:spacing w:val="-12"/>
          <w:sz w:val="16"/>
          <w:szCs w:val="16"/>
          <w:lang w:val="es-MX"/>
        </w:rPr>
        <w:t xml:space="preserve"> desarrolla sus alegatos sobre restricción indirecta a la libertad de expresión y vulneración de los derechos </w:t>
      </w:r>
      <w:r>
        <w:rPr>
          <w:rFonts w:ascii="Verdana" w:eastAsia="Times New Roman" w:hAnsi="Verdana" w:cs="Times New Roman"/>
          <w:spacing w:val="-12"/>
          <w:sz w:val="16"/>
          <w:szCs w:val="16"/>
          <w:lang w:val="es-MX"/>
        </w:rPr>
        <w:t>políticos en el caso concreto y, finalmente</w:t>
      </w:r>
      <w:r w:rsidRPr="001B3A3F">
        <w:rPr>
          <w:rFonts w:ascii="Verdana" w:eastAsia="Times New Roman" w:hAnsi="Verdana" w:cs="Times New Roman"/>
          <w:spacing w:val="-12"/>
          <w:sz w:val="16"/>
          <w:szCs w:val="16"/>
          <w:lang w:val="es-MX"/>
        </w:rPr>
        <w:t xml:space="preserve">, </w:t>
      </w:r>
      <w:r>
        <w:rPr>
          <w:rFonts w:ascii="Verdana" w:eastAsia="Times New Roman" w:hAnsi="Verdana" w:cs="Times New Roman"/>
          <w:spacing w:val="-12"/>
          <w:sz w:val="16"/>
          <w:szCs w:val="16"/>
          <w:lang w:val="es-MX"/>
        </w:rPr>
        <w:t>sobre</w:t>
      </w:r>
      <w:r w:rsidRPr="001B3A3F">
        <w:rPr>
          <w:rFonts w:ascii="Verdana" w:eastAsia="Times New Roman" w:hAnsi="Verdana" w:cs="Times New Roman"/>
          <w:spacing w:val="-12"/>
          <w:sz w:val="16"/>
          <w:szCs w:val="16"/>
          <w:lang w:val="es-MX"/>
        </w:rPr>
        <w:t xml:space="preserve"> garantías judiciales y protección judicial, para luego plantear las </w:t>
      </w:r>
      <w:r>
        <w:rPr>
          <w:rFonts w:ascii="Verdana" w:eastAsia="Times New Roman" w:hAnsi="Verdana" w:cs="Times New Roman"/>
          <w:spacing w:val="-12"/>
          <w:sz w:val="16"/>
          <w:szCs w:val="16"/>
          <w:lang w:val="es-MX"/>
        </w:rPr>
        <w:t>r</w:t>
      </w:r>
      <w:r w:rsidRPr="001B3A3F">
        <w:rPr>
          <w:rFonts w:ascii="Verdana" w:eastAsia="Times New Roman" w:hAnsi="Verdana" w:cs="Times New Roman"/>
          <w:spacing w:val="-12"/>
          <w:sz w:val="16"/>
          <w:szCs w:val="16"/>
          <w:lang w:val="es-MX"/>
        </w:rPr>
        <w:t>estricciones a</w:t>
      </w:r>
      <w:r>
        <w:rPr>
          <w:rFonts w:ascii="Verdana" w:eastAsia="Times New Roman" w:hAnsi="Verdana" w:cs="Times New Roman"/>
          <w:spacing w:val="-12"/>
          <w:sz w:val="16"/>
          <w:szCs w:val="16"/>
          <w:lang w:val="es-MX"/>
        </w:rPr>
        <w:t xml:space="preserve"> esos derechos</w:t>
      </w:r>
      <w:r w:rsidRPr="001B3A3F">
        <w:rPr>
          <w:rFonts w:ascii="Verdana" w:eastAsia="Times New Roman" w:hAnsi="Verdana" w:cs="Times New Roman"/>
          <w:spacing w:val="-12"/>
          <w:sz w:val="16"/>
          <w:szCs w:val="16"/>
          <w:lang w:val="es-MX"/>
        </w:rPr>
        <w:t xml:space="preserve"> que en su opinión ocurrieron en </w:t>
      </w:r>
      <w:r>
        <w:rPr>
          <w:rFonts w:ascii="Verdana" w:eastAsia="Times New Roman" w:hAnsi="Verdana" w:cs="Times New Roman"/>
          <w:spacing w:val="-12"/>
          <w:sz w:val="16"/>
          <w:szCs w:val="16"/>
          <w:lang w:val="es-MX"/>
        </w:rPr>
        <w:t>este</w:t>
      </w:r>
      <w:r w:rsidRPr="001B3A3F">
        <w:rPr>
          <w:rFonts w:ascii="Verdana" w:eastAsia="Times New Roman" w:hAnsi="Verdana" w:cs="Times New Roman"/>
          <w:spacing w:val="-12"/>
          <w:sz w:val="16"/>
          <w:szCs w:val="16"/>
          <w:lang w:val="es-MX"/>
        </w:rPr>
        <w:t xml:space="preserve"> caso.</w:t>
      </w:r>
      <w:r w:rsidRPr="006203B0">
        <w:rPr>
          <w:rFonts w:ascii="Verdana" w:eastAsia="Times New Roman" w:hAnsi="Verdana" w:cs="Times New Roman"/>
          <w:spacing w:val="-12"/>
          <w:sz w:val="16"/>
          <w:szCs w:val="16"/>
          <w:lang w:val="es-MX"/>
        </w:rPr>
        <w:t xml:space="preserve"> El documento está suscrito por dos investigadoras y tres estudiantes del Departamento de Derecho de la referida Universidad.</w:t>
      </w:r>
    </w:p>
  </w:footnote>
  <w:footnote w:id="14">
    <w:p w14:paraId="422894A6" w14:textId="00044360" w:rsidR="00837BB9" w:rsidRPr="00C7142E"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CR"/>
        </w:rPr>
        <w:tab/>
      </w:r>
      <w:r w:rsidRPr="006203B0">
        <w:rPr>
          <w:rFonts w:ascii="Verdana" w:hAnsi="Verdana"/>
          <w:i/>
          <w:spacing w:val="-12"/>
          <w:sz w:val="16"/>
          <w:szCs w:val="16"/>
          <w:lang w:val="es-MX"/>
        </w:rPr>
        <w:t xml:space="preserve">Cfr. Caso San Miguel Sosa y otras Vs. Venezuela. </w:t>
      </w:r>
      <w:r w:rsidRPr="00FC1D38">
        <w:rPr>
          <w:rFonts w:ascii="Verdana" w:hAnsi="Verdana"/>
          <w:spacing w:val="-12"/>
          <w:sz w:val="16"/>
          <w:szCs w:val="16"/>
          <w:lang w:val="es-MX"/>
        </w:rPr>
        <w:t>Resolución de la Corte de 18 de mayo de 201</w:t>
      </w:r>
      <w:r w:rsidRPr="000536CF">
        <w:rPr>
          <w:rFonts w:ascii="Verdana" w:hAnsi="Verdana"/>
          <w:spacing w:val="-12"/>
          <w:sz w:val="16"/>
          <w:szCs w:val="16"/>
          <w:lang w:val="es-MX"/>
        </w:rPr>
        <w:t xml:space="preserve">7. Disponible en: </w:t>
      </w:r>
      <w:hyperlink r:id="rId5" w:history="1">
        <w:r w:rsidRPr="00CF3AED">
          <w:rPr>
            <w:rStyle w:val="Hyperlink"/>
            <w:rFonts w:ascii="Verdana" w:hAnsi="Verdana"/>
            <w:spacing w:val="-12"/>
            <w:sz w:val="16"/>
            <w:szCs w:val="16"/>
            <w:lang w:val="es-MX"/>
          </w:rPr>
          <w:t>http://www.corteidh.or.cr/docs/asuntos/sanmiguelsosa_18_05_17.pdf</w:t>
        </w:r>
      </w:hyperlink>
      <w:r w:rsidRPr="00C7142E">
        <w:rPr>
          <w:rFonts w:ascii="Verdana" w:hAnsi="Verdana"/>
          <w:spacing w:val="-12"/>
          <w:sz w:val="16"/>
          <w:szCs w:val="16"/>
          <w:lang w:val="es-MX"/>
        </w:rPr>
        <w:t xml:space="preserve"> </w:t>
      </w:r>
    </w:p>
  </w:footnote>
  <w:footnote w:id="15">
    <w:p w14:paraId="6CD8CCDA" w14:textId="77777777" w:rsidR="00837BB9" w:rsidRPr="003100FE" w:rsidRDefault="00837BB9" w:rsidP="008349B1">
      <w:pPr>
        <w:pStyle w:val="FootnoteText"/>
        <w:spacing w:before="120" w:after="120"/>
        <w:jc w:val="both"/>
        <w:rPr>
          <w:rFonts w:ascii="Verdana" w:hAnsi="Verdana"/>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eastAsiaTheme="minorHAnsi" w:hAnsi="Verdana" w:cstheme="minorBidi"/>
          <w:spacing w:val="-12"/>
          <w:sz w:val="16"/>
          <w:szCs w:val="16"/>
          <w:lang w:val="es-MX"/>
        </w:rPr>
        <w:t>El artículo 78.2 de la Convención establece que ”[d]</w:t>
      </w:r>
      <w:proofErr w:type="spellStart"/>
      <w:r w:rsidRPr="00C7142E">
        <w:rPr>
          <w:rFonts w:ascii="Verdana" w:eastAsiaTheme="minorHAnsi" w:hAnsi="Verdana" w:cstheme="minorBidi"/>
          <w:spacing w:val="-12"/>
          <w:sz w:val="16"/>
          <w:szCs w:val="16"/>
          <w:lang w:val="es-MX"/>
        </w:rPr>
        <w:t>icha</w:t>
      </w:r>
      <w:proofErr w:type="spellEnd"/>
      <w:r w:rsidRPr="00C7142E">
        <w:rPr>
          <w:rFonts w:ascii="Verdana" w:eastAsiaTheme="minorHAnsi" w:hAnsi="Verdana" w:cstheme="minorBidi"/>
          <w:spacing w:val="-12"/>
          <w:sz w:val="16"/>
          <w:szCs w:val="16"/>
          <w:lang w:val="es-MX"/>
        </w:rPr>
        <w:t xml:space="preserve"> denuncia no tendrá por efecto</w:t>
      </w:r>
      <w:r w:rsidRPr="0069409D">
        <w:rPr>
          <w:rFonts w:ascii="Verdana" w:eastAsiaTheme="minorHAnsi" w:hAnsi="Verdana" w:cstheme="minorBidi"/>
          <w:spacing w:val="-12"/>
          <w:sz w:val="16"/>
          <w:szCs w:val="16"/>
          <w:lang w:val="es-MX"/>
        </w:rPr>
        <w:t xml:space="preserve"> desligar al Estado parte interesado de las obligaciones contenidas en esta Convención en lo que concierne a todo hecho que, pudiendo constituir una violación de esas obligaciones, haya sido cumplido por él anteriormente a la fecha en la cual la denuncia p</w:t>
      </w:r>
      <w:r w:rsidRPr="006C24C0">
        <w:rPr>
          <w:rFonts w:ascii="Verdana" w:eastAsiaTheme="minorHAnsi" w:hAnsi="Verdana" w:cstheme="minorBidi"/>
          <w:spacing w:val="-12"/>
          <w:sz w:val="16"/>
          <w:szCs w:val="16"/>
          <w:lang w:val="es-MX"/>
        </w:rPr>
        <w:t>roduce efecto”.</w:t>
      </w:r>
      <w:r w:rsidRPr="003100FE">
        <w:rPr>
          <w:rFonts w:ascii="Verdana" w:hAnsi="Verdana"/>
          <w:spacing w:val="-12"/>
          <w:sz w:val="16"/>
          <w:szCs w:val="16"/>
        </w:rPr>
        <w:t xml:space="preserve"> </w:t>
      </w:r>
    </w:p>
  </w:footnote>
  <w:footnote w:id="16">
    <w:p w14:paraId="746D27F4" w14:textId="00609782" w:rsidR="00837BB9" w:rsidRPr="003100FE" w:rsidRDefault="00837BB9" w:rsidP="008349B1">
      <w:pPr>
        <w:pStyle w:val="FootnoteText"/>
        <w:spacing w:before="120" w:after="120"/>
        <w:jc w:val="both"/>
        <w:rPr>
          <w:rFonts w:ascii="Verdana" w:hAnsi="Verdana"/>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eastAsiaTheme="minorHAnsi" w:hAnsi="Verdana" w:cstheme="minorBidi"/>
          <w:spacing w:val="-12"/>
          <w:sz w:val="16"/>
          <w:szCs w:val="16"/>
          <w:lang w:val="es-MX"/>
        </w:rPr>
        <w:tab/>
        <w:t>En el mismo sentido, ante la Comisión el Estado había alegado que las peticionarias habían utilizado una serie de recursos que no eran idóneos y que la vía adecuada para la reivindicación de sus derechos era la jurisdicción laboral ordi</w:t>
      </w:r>
      <w:r w:rsidRPr="006C24C0">
        <w:rPr>
          <w:rFonts w:ascii="Verdana" w:eastAsiaTheme="minorHAnsi" w:hAnsi="Verdana" w:cstheme="minorBidi"/>
          <w:spacing w:val="-12"/>
          <w:sz w:val="16"/>
          <w:szCs w:val="16"/>
          <w:lang w:val="es-MX"/>
        </w:rPr>
        <w:t>naria y no el recurso de amparo constitucional. En su Informe de Admisibilidad, la Comisión resolvió tales alegatos.</w:t>
      </w:r>
    </w:p>
  </w:footnote>
  <w:footnote w:id="17">
    <w:p w14:paraId="0E616474" w14:textId="40955778" w:rsidR="00837BB9" w:rsidRPr="00CE7020" w:rsidRDefault="00837BB9" w:rsidP="008349B1">
      <w:pPr>
        <w:pStyle w:val="FootnoteText"/>
        <w:spacing w:before="120" w:after="120"/>
        <w:jc w:val="both"/>
        <w:rPr>
          <w:rFonts w:ascii="Verdana" w:hAnsi="Verdana"/>
          <w:i/>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spacing w:val="-12"/>
          <w:sz w:val="16"/>
          <w:szCs w:val="16"/>
        </w:rPr>
        <w:t>Cfr.</w:t>
      </w:r>
      <w:r w:rsidRPr="0069409D">
        <w:rPr>
          <w:rFonts w:ascii="Verdana" w:hAnsi="Verdana"/>
          <w:i/>
          <w:spacing w:val="-12"/>
          <w:sz w:val="16"/>
          <w:szCs w:val="16"/>
        </w:rPr>
        <w:t xml:space="preserve">, </w:t>
      </w:r>
      <w:r w:rsidRPr="0069409D">
        <w:rPr>
          <w:rFonts w:ascii="Verdana" w:hAnsi="Verdana"/>
          <w:spacing w:val="-12"/>
          <w:sz w:val="16"/>
          <w:szCs w:val="16"/>
        </w:rPr>
        <w:t>en similar sentido,</w:t>
      </w:r>
      <w:r w:rsidRPr="006C24C0">
        <w:rPr>
          <w:rFonts w:ascii="Verdana" w:hAnsi="Verdana"/>
          <w:i/>
          <w:spacing w:val="-12"/>
          <w:sz w:val="16"/>
          <w:szCs w:val="16"/>
        </w:rPr>
        <w:t xml:space="preserve"> Caso del Tribunal Constitucional Vs. Perú. Competencia</w:t>
      </w:r>
      <w:r w:rsidRPr="003100FE">
        <w:rPr>
          <w:rFonts w:ascii="Verdana" w:hAnsi="Verdana"/>
          <w:spacing w:val="-12"/>
          <w:sz w:val="16"/>
          <w:szCs w:val="16"/>
        </w:rPr>
        <w:t>. Sentencia de 24 de septiembre de 1999. Serie C No. 55,</w:t>
      </w:r>
      <w:r>
        <w:rPr>
          <w:rFonts w:ascii="Verdana" w:hAnsi="Verdana"/>
          <w:spacing w:val="-12"/>
          <w:sz w:val="16"/>
          <w:szCs w:val="16"/>
        </w:rPr>
        <w:t xml:space="preserve"> párr. 60; y </w:t>
      </w:r>
      <w:r w:rsidRPr="00B551F6">
        <w:rPr>
          <w:rFonts w:ascii="Verdana" w:hAnsi="Verdana"/>
          <w:i/>
          <w:spacing w:val="-12"/>
          <w:sz w:val="16"/>
          <w:szCs w:val="16"/>
        </w:rPr>
        <w:t xml:space="preserve">Caso </w:t>
      </w:r>
      <w:proofErr w:type="spellStart"/>
      <w:r w:rsidRPr="00B551F6">
        <w:rPr>
          <w:rFonts w:ascii="Verdana" w:hAnsi="Verdana"/>
          <w:i/>
          <w:spacing w:val="-12"/>
          <w:sz w:val="16"/>
          <w:szCs w:val="16"/>
        </w:rPr>
        <w:t>Fleury</w:t>
      </w:r>
      <w:proofErr w:type="spellEnd"/>
      <w:r w:rsidRPr="00B551F6">
        <w:rPr>
          <w:rFonts w:ascii="Verdana" w:hAnsi="Verdana"/>
          <w:i/>
          <w:spacing w:val="-12"/>
          <w:sz w:val="16"/>
          <w:szCs w:val="16"/>
        </w:rPr>
        <w:t xml:space="preserve"> y otros Vs. Haití. Fondo y Reparaciones</w:t>
      </w:r>
      <w:r w:rsidRPr="00B551F6">
        <w:rPr>
          <w:rFonts w:ascii="Verdana" w:hAnsi="Verdana"/>
          <w:spacing w:val="-12"/>
          <w:sz w:val="16"/>
          <w:szCs w:val="16"/>
        </w:rPr>
        <w:t>. Sentencia de 23 de noviembre de 2011. Serie C No. 236, párr. 14.</w:t>
      </w:r>
    </w:p>
  </w:footnote>
  <w:footnote w:id="18">
    <w:p w14:paraId="629BC930" w14:textId="77777777" w:rsidR="00837BB9" w:rsidRPr="007C51D0" w:rsidRDefault="00837BB9" w:rsidP="008349B1">
      <w:pPr>
        <w:pStyle w:val="FootnoteText"/>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CF3AED">
        <w:rPr>
          <w:rFonts w:ascii="Verdana" w:eastAsiaTheme="minorHAnsi" w:hAnsi="Verdana" w:cstheme="minorBidi"/>
          <w:spacing w:val="-12"/>
          <w:sz w:val="16"/>
          <w:szCs w:val="16"/>
          <w:lang w:val="es-MX"/>
        </w:rPr>
        <w:tab/>
        <w:t>El artículo 29.2 del Reglamento, que regula el “procedimiento por incomparecencia o falta de actuación”, señala que “cuando las víctimas o presuntas víctimas, o sus representantes, el Estado demandado o, en su caso, el Estado demandante, se a</w:t>
      </w:r>
      <w:r w:rsidRPr="006203B0">
        <w:rPr>
          <w:rFonts w:ascii="Verdana" w:eastAsiaTheme="minorHAnsi" w:hAnsi="Verdana" w:cstheme="minorBidi"/>
          <w:spacing w:val="-12"/>
          <w:sz w:val="16"/>
          <w:szCs w:val="16"/>
          <w:lang w:val="es-MX"/>
        </w:rPr>
        <w:t>personen tardíamente tomarán el procedimiento en el estado en que se encuentre”.</w:t>
      </w:r>
    </w:p>
  </w:footnote>
  <w:footnote w:id="19">
    <w:p w14:paraId="5A579D6D" w14:textId="49D0D382" w:rsidR="00837BB9" w:rsidRPr="006001C8"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CR"/>
        </w:rPr>
        <w:tab/>
      </w:r>
      <w:r w:rsidRPr="006203B0">
        <w:rPr>
          <w:rFonts w:ascii="Verdana" w:hAnsi="Verdana"/>
          <w:i/>
          <w:spacing w:val="-12"/>
          <w:sz w:val="16"/>
          <w:szCs w:val="16"/>
        </w:rPr>
        <w:t xml:space="preserve">Cfr. Caso </w:t>
      </w:r>
      <w:proofErr w:type="spellStart"/>
      <w:r w:rsidRPr="006203B0">
        <w:rPr>
          <w:rFonts w:ascii="Verdana" w:hAnsi="Verdana"/>
          <w:i/>
          <w:spacing w:val="-12"/>
          <w:sz w:val="16"/>
          <w:szCs w:val="16"/>
        </w:rPr>
        <w:t>Nadege</w:t>
      </w:r>
      <w:proofErr w:type="spellEnd"/>
      <w:r w:rsidRPr="006203B0">
        <w:rPr>
          <w:rFonts w:ascii="Verdana" w:hAnsi="Verdana"/>
          <w:i/>
          <w:spacing w:val="-12"/>
          <w:sz w:val="16"/>
          <w:szCs w:val="16"/>
        </w:rPr>
        <w:t xml:space="preserve"> </w:t>
      </w:r>
      <w:proofErr w:type="spellStart"/>
      <w:r w:rsidRPr="006203B0">
        <w:rPr>
          <w:rFonts w:ascii="Verdana" w:hAnsi="Verdana"/>
          <w:i/>
          <w:spacing w:val="-12"/>
          <w:sz w:val="16"/>
          <w:szCs w:val="16"/>
        </w:rPr>
        <w:t>Dorzema</w:t>
      </w:r>
      <w:proofErr w:type="spellEnd"/>
      <w:r w:rsidRPr="006203B0">
        <w:rPr>
          <w:rFonts w:ascii="Verdana" w:hAnsi="Verdana"/>
          <w:i/>
          <w:spacing w:val="-12"/>
          <w:sz w:val="16"/>
          <w:szCs w:val="16"/>
        </w:rPr>
        <w:t xml:space="preserve"> y otros </w:t>
      </w:r>
      <w:r w:rsidRPr="000536CF">
        <w:rPr>
          <w:rFonts w:ascii="Verdana" w:hAnsi="Verdana"/>
          <w:i/>
          <w:spacing w:val="-12"/>
          <w:sz w:val="16"/>
          <w:szCs w:val="16"/>
        </w:rPr>
        <w:t>Vs.  República Dominicana.</w:t>
      </w:r>
      <w:r w:rsidRPr="000536CF">
        <w:rPr>
          <w:rFonts w:ascii="Verdana" w:hAnsi="Verdana"/>
          <w:i/>
          <w:color w:val="000000"/>
          <w:spacing w:val="-12"/>
          <w:sz w:val="16"/>
          <w:szCs w:val="16"/>
        </w:rPr>
        <w:t xml:space="preserve"> Fondo, Reparaciones y Costas</w:t>
      </w:r>
      <w:r w:rsidRPr="001C16AC">
        <w:rPr>
          <w:rFonts w:ascii="Verdana" w:hAnsi="Verdana"/>
          <w:color w:val="000000"/>
          <w:spacing w:val="-12"/>
          <w:sz w:val="16"/>
          <w:szCs w:val="16"/>
        </w:rPr>
        <w:t>. Sentencia de 24 de octubre de 2012. Serie C No. 251, párr. 19.</w:t>
      </w:r>
    </w:p>
  </w:footnote>
  <w:footnote w:id="20">
    <w:p w14:paraId="5D4AEC09" w14:textId="77777777" w:rsidR="00837BB9" w:rsidRPr="00CF3AED" w:rsidRDefault="00837BB9" w:rsidP="008349B1">
      <w:pPr>
        <w:autoSpaceDE w:val="0"/>
        <w:autoSpaceDN w:val="0"/>
        <w:adjustRightInd w:val="0"/>
        <w:spacing w:after="0" w:line="240" w:lineRule="auto"/>
        <w:jc w:val="both"/>
        <w:rPr>
          <w:rFonts w:ascii="Verdana" w:hAnsi="Verdana"/>
          <w:spacing w:val="-12"/>
          <w:sz w:val="16"/>
          <w:szCs w:val="16"/>
          <w:lang w:val="es-MX"/>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spacing w:val="-12"/>
          <w:sz w:val="16"/>
          <w:szCs w:val="16"/>
          <w:lang w:val="es-MX"/>
        </w:rPr>
        <w:t xml:space="preserve">Artículo 41.1 del Reglamento: “Contestación del Estado. </w:t>
      </w:r>
    </w:p>
    <w:p w14:paraId="1E4E04FD" w14:textId="77777777" w:rsidR="00837BB9" w:rsidRPr="00FC1D38" w:rsidRDefault="00837BB9" w:rsidP="008349B1">
      <w:pPr>
        <w:autoSpaceDE w:val="0"/>
        <w:autoSpaceDN w:val="0"/>
        <w:adjustRightInd w:val="0"/>
        <w:spacing w:after="0" w:line="240" w:lineRule="auto"/>
        <w:ind w:left="426"/>
        <w:jc w:val="both"/>
        <w:rPr>
          <w:rFonts w:ascii="Verdana" w:hAnsi="Verdana"/>
          <w:spacing w:val="-12"/>
          <w:sz w:val="16"/>
          <w:szCs w:val="16"/>
          <w:lang w:val="es-MX"/>
        </w:rPr>
      </w:pPr>
      <w:r w:rsidRPr="006203B0">
        <w:rPr>
          <w:rFonts w:ascii="Verdana" w:hAnsi="Verdana"/>
          <w:spacing w:val="-12"/>
          <w:sz w:val="16"/>
          <w:szCs w:val="16"/>
          <w:lang w:val="es-MX"/>
        </w:rPr>
        <w:t>1. El demandado expondrá por escrito su posición sobre el caso sometido a la Corte y, cuando corresponda, al escrito de solicitudes, argumentos y pruebas, dentro del plazo improrrogable de dos meses contado a par</w:t>
      </w:r>
      <w:r w:rsidRPr="00FC1D38">
        <w:rPr>
          <w:rFonts w:ascii="Verdana" w:hAnsi="Verdana"/>
          <w:spacing w:val="-12"/>
          <w:sz w:val="16"/>
          <w:szCs w:val="16"/>
          <w:lang w:val="es-MX"/>
        </w:rPr>
        <w:t>tir de la recepción de este último escrito y sus anexos, sin perjuicio del plazo que pueda establecer la Presidencia en la hipótesis señalada en el artículo 25.2 de este Reglamento. En la contestación el Estado indicará:</w:t>
      </w:r>
    </w:p>
    <w:p w14:paraId="32223115" w14:textId="77777777" w:rsidR="00837BB9" w:rsidRPr="000536CF" w:rsidRDefault="00837BB9" w:rsidP="008349B1">
      <w:pPr>
        <w:autoSpaceDE w:val="0"/>
        <w:autoSpaceDN w:val="0"/>
        <w:adjustRightInd w:val="0"/>
        <w:spacing w:after="0" w:line="240" w:lineRule="auto"/>
        <w:ind w:left="567"/>
        <w:jc w:val="both"/>
        <w:rPr>
          <w:rFonts w:ascii="Verdana" w:hAnsi="Verdana"/>
          <w:spacing w:val="-12"/>
          <w:sz w:val="16"/>
          <w:szCs w:val="16"/>
          <w:lang w:val="es-MX"/>
        </w:rPr>
      </w:pPr>
      <w:r w:rsidRPr="000536CF">
        <w:rPr>
          <w:rFonts w:ascii="Verdana" w:hAnsi="Verdana"/>
          <w:spacing w:val="-12"/>
          <w:sz w:val="16"/>
          <w:szCs w:val="16"/>
          <w:lang w:val="es-MX"/>
        </w:rPr>
        <w:t xml:space="preserve">a. si acepta los hechos y las pretensiones o si los contradice; </w:t>
      </w:r>
    </w:p>
    <w:p w14:paraId="64C1BDEE" w14:textId="77777777" w:rsidR="00837BB9" w:rsidRPr="000536CF" w:rsidRDefault="00837BB9" w:rsidP="008349B1">
      <w:pPr>
        <w:autoSpaceDE w:val="0"/>
        <w:autoSpaceDN w:val="0"/>
        <w:adjustRightInd w:val="0"/>
        <w:spacing w:after="0" w:line="240" w:lineRule="auto"/>
        <w:ind w:left="567"/>
        <w:jc w:val="both"/>
        <w:rPr>
          <w:rFonts w:ascii="Verdana" w:hAnsi="Verdana"/>
          <w:spacing w:val="-12"/>
          <w:sz w:val="16"/>
          <w:szCs w:val="16"/>
          <w:lang w:val="es-MX"/>
        </w:rPr>
      </w:pPr>
      <w:r w:rsidRPr="000536CF">
        <w:rPr>
          <w:rFonts w:ascii="Verdana" w:hAnsi="Verdana"/>
          <w:spacing w:val="-12"/>
          <w:sz w:val="16"/>
          <w:szCs w:val="16"/>
          <w:lang w:val="es-MX"/>
        </w:rPr>
        <w:t>[…]</w:t>
      </w:r>
    </w:p>
    <w:p w14:paraId="77A0425A" w14:textId="77777777" w:rsidR="00837BB9" w:rsidRPr="006001C8" w:rsidRDefault="00837BB9" w:rsidP="008349B1">
      <w:pPr>
        <w:autoSpaceDE w:val="0"/>
        <w:autoSpaceDN w:val="0"/>
        <w:adjustRightInd w:val="0"/>
        <w:spacing w:after="0" w:line="240" w:lineRule="auto"/>
        <w:ind w:left="567"/>
        <w:jc w:val="both"/>
        <w:rPr>
          <w:rFonts w:ascii="Verdana" w:hAnsi="Verdana"/>
          <w:spacing w:val="-12"/>
          <w:sz w:val="16"/>
          <w:szCs w:val="16"/>
          <w:lang w:val="es-MX"/>
        </w:rPr>
      </w:pPr>
      <w:r w:rsidRPr="001C16AC">
        <w:rPr>
          <w:rFonts w:ascii="Verdana" w:hAnsi="Verdana"/>
          <w:spacing w:val="-12"/>
          <w:sz w:val="16"/>
          <w:szCs w:val="16"/>
          <w:lang w:val="es-MX"/>
        </w:rPr>
        <w:t>d. los fundamentos de derecho, las observaciones a las reparaciones y costas solicitadas, así como las conclusiones pertinentes. […]</w:t>
      </w:r>
    </w:p>
    <w:p w14:paraId="5A1E704D" w14:textId="77777777" w:rsidR="00837BB9" w:rsidRPr="00D55480" w:rsidRDefault="00837BB9" w:rsidP="008349B1">
      <w:pPr>
        <w:autoSpaceDE w:val="0"/>
        <w:autoSpaceDN w:val="0"/>
        <w:adjustRightInd w:val="0"/>
        <w:spacing w:after="0" w:line="240" w:lineRule="auto"/>
        <w:ind w:left="426"/>
        <w:jc w:val="both"/>
        <w:rPr>
          <w:rFonts w:ascii="Verdana" w:hAnsi="Verdana"/>
          <w:spacing w:val="-12"/>
          <w:sz w:val="16"/>
          <w:szCs w:val="16"/>
          <w:lang w:val="es-MX"/>
        </w:rPr>
      </w:pPr>
    </w:p>
    <w:p w14:paraId="52D785AF" w14:textId="77777777" w:rsidR="00837BB9" w:rsidRPr="009E7E48" w:rsidRDefault="00837BB9" w:rsidP="008349B1">
      <w:pPr>
        <w:autoSpaceDE w:val="0"/>
        <w:autoSpaceDN w:val="0"/>
        <w:adjustRightInd w:val="0"/>
        <w:spacing w:after="0" w:line="240" w:lineRule="auto"/>
        <w:ind w:left="426"/>
        <w:jc w:val="both"/>
        <w:rPr>
          <w:rFonts w:ascii="Verdana" w:hAnsi="Verdana"/>
          <w:spacing w:val="-12"/>
          <w:sz w:val="16"/>
          <w:szCs w:val="16"/>
          <w:lang w:val="es-MX"/>
        </w:rPr>
      </w:pPr>
      <w:r w:rsidRPr="00D55480">
        <w:rPr>
          <w:rFonts w:ascii="Verdana" w:hAnsi="Verdana"/>
          <w:spacing w:val="-12"/>
          <w:sz w:val="16"/>
          <w:szCs w:val="16"/>
          <w:lang w:val="es-MX"/>
        </w:rPr>
        <w:t>Artículo 42.1 del Reglamento: “</w:t>
      </w:r>
      <w:r w:rsidRPr="009E7E48">
        <w:rPr>
          <w:rFonts w:ascii="Verdana" w:hAnsi="Verdana"/>
          <w:spacing w:val="-12"/>
          <w:sz w:val="16"/>
          <w:szCs w:val="16"/>
          <w:lang w:val="es-MX"/>
        </w:rPr>
        <w:t>Excepciones Preliminares.</w:t>
      </w:r>
    </w:p>
    <w:p w14:paraId="5CC732AE" w14:textId="31975249" w:rsidR="00837BB9" w:rsidRPr="0012407E" w:rsidRDefault="00837BB9" w:rsidP="008349B1">
      <w:pPr>
        <w:autoSpaceDE w:val="0"/>
        <w:autoSpaceDN w:val="0"/>
        <w:adjustRightInd w:val="0"/>
        <w:spacing w:after="0" w:line="240" w:lineRule="auto"/>
        <w:ind w:left="426"/>
        <w:jc w:val="both"/>
        <w:rPr>
          <w:rFonts w:ascii="Verdana" w:hAnsi="Verdana"/>
          <w:spacing w:val="-12"/>
          <w:sz w:val="16"/>
          <w:szCs w:val="16"/>
          <w:lang w:val="es-MX"/>
        </w:rPr>
      </w:pPr>
      <w:r w:rsidRPr="008B6122">
        <w:rPr>
          <w:rFonts w:ascii="Verdana" w:hAnsi="Verdana"/>
          <w:spacing w:val="-12"/>
          <w:sz w:val="16"/>
          <w:szCs w:val="16"/>
          <w:lang w:val="es-MX"/>
        </w:rPr>
        <w:t>1. L</w:t>
      </w:r>
      <w:r w:rsidRPr="0012407E">
        <w:rPr>
          <w:rFonts w:ascii="Verdana" w:hAnsi="Verdana"/>
          <w:spacing w:val="-12"/>
          <w:sz w:val="16"/>
          <w:szCs w:val="16"/>
          <w:lang w:val="es-MX"/>
        </w:rPr>
        <w:t>as excepciones preliminares sólo podrán ser opuestas en el escrito indicado en el artículo [41 del Reglamento]”.</w:t>
      </w:r>
    </w:p>
  </w:footnote>
  <w:footnote w:id="21">
    <w:p w14:paraId="054CD86D" w14:textId="3FDEEF39" w:rsidR="00837BB9" w:rsidRPr="00CF3AED" w:rsidRDefault="00837BB9" w:rsidP="008349B1">
      <w:pPr>
        <w:pStyle w:val="FootnoteText"/>
        <w:spacing w:before="120" w:after="120"/>
        <w:jc w:val="both"/>
        <w:rPr>
          <w:rFonts w:ascii="Verdana" w:hAnsi="Verdana"/>
          <w:spacing w:val="-12"/>
          <w:sz w:val="16"/>
          <w:szCs w:val="16"/>
        </w:rPr>
      </w:pPr>
      <w:r w:rsidRPr="0012407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spacing w:val="-12"/>
          <w:sz w:val="16"/>
          <w:szCs w:val="16"/>
        </w:rPr>
        <w:t xml:space="preserve">Cfr. </w:t>
      </w:r>
      <w:r w:rsidRPr="0069409D">
        <w:rPr>
          <w:rFonts w:ascii="Verdana" w:hAnsi="Verdana"/>
          <w:bCs/>
          <w:i/>
          <w:color w:val="000000"/>
          <w:spacing w:val="-12"/>
          <w:sz w:val="16"/>
          <w:szCs w:val="16"/>
        </w:rPr>
        <w:t xml:space="preserve">Caso </w:t>
      </w:r>
      <w:proofErr w:type="spellStart"/>
      <w:r w:rsidRPr="0069409D">
        <w:rPr>
          <w:rFonts w:ascii="Verdana" w:hAnsi="Verdana"/>
          <w:bCs/>
          <w:i/>
          <w:color w:val="000000"/>
          <w:spacing w:val="-12"/>
          <w:sz w:val="16"/>
          <w:szCs w:val="16"/>
        </w:rPr>
        <w:t>Nadege</w:t>
      </w:r>
      <w:proofErr w:type="spellEnd"/>
      <w:r w:rsidRPr="0069409D">
        <w:rPr>
          <w:rFonts w:ascii="Verdana" w:hAnsi="Verdana"/>
          <w:bCs/>
          <w:i/>
          <w:color w:val="000000"/>
          <w:spacing w:val="-12"/>
          <w:sz w:val="16"/>
          <w:szCs w:val="16"/>
        </w:rPr>
        <w:t xml:space="preserve"> </w:t>
      </w:r>
      <w:proofErr w:type="spellStart"/>
      <w:r w:rsidRPr="0069409D">
        <w:rPr>
          <w:rFonts w:ascii="Verdana" w:hAnsi="Verdana"/>
          <w:bCs/>
          <w:i/>
          <w:color w:val="000000"/>
          <w:spacing w:val="-12"/>
          <w:sz w:val="16"/>
          <w:szCs w:val="16"/>
        </w:rPr>
        <w:t>Dorzema</w:t>
      </w:r>
      <w:proofErr w:type="spellEnd"/>
      <w:r w:rsidRPr="0069409D">
        <w:rPr>
          <w:rFonts w:ascii="Verdana" w:hAnsi="Verdana"/>
          <w:bCs/>
          <w:i/>
          <w:color w:val="000000"/>
          <w:spacing w:val="-12"/>
          <w:sz w:val="16"/>
          <w:szCs w:val="16"/>
        </w:rPr>
        <w:t xml:space="preserve"> y otros Vs. República Dominicana, supra, </w:t>
      </w:r>
      <w:proofErr w:type="spellStart"/>
      <w:r w:rsidRPr="0069409D">
        <w:rPr>
          <w:rFonts w:ascii="Verdana" w:hAnsi="Verdana"/>
          <w:spacing w:val="-12"/>
          <w:sz w:val="16"/>
          <w:szCs w:val="16"/>
        </w:rPr>
        <w:t>párrs</w:t>
      </w:r>
      <w:proofErr w:type="spellEnd"/>
      <w:r w:rsidRPr="0069409D">
        <w:rPr>
          <w:rFonts w:ascii="Verdana" w:hAnsi="Verdana"/>
          <w:spacing w:val="-12"/>
          <w:sz w:val="16"/>
          <w:szCs w:val="16"/>
        </w:rPr>
        <w:t xml:space="preserve">. 19 y 22; </w:t>
      </w:r>
      <w:r w:rsidRPr="00B551F6">
        <w:rPr>
          <w:rFonts w:ascii="Verdana" w:hAnsi="Verdana"/>
          <w:spacing w:val="-12"/>
          <w:sz w:val="16"/>
          <w:szCs w:val="16"/>
        </w:rPr>
        <w:t>y</w:t>
      </w:r>
      <w:r>
        <w:rPr>
          <w:rFonts w:ascii="Verdana" w:hAnsi="Verdana"/>
          <w:i/>
          <w:spacing w:val="-12"/>
          <w:sz w:val="16"/>
          <w:szCs w:val="16"/>
        </w:rPr>
        <w:t xml:space="preserve"> Caso Pollo Rivera Vs.</w:t>
      </w:r>
      <w:r w:rsidRPr="00CF3AED">
        <w:rPr>
          <w:rFonts w:ascii="Verdana" w:hAnsi="Verdana"/>
          <w:i/>
          <w:spacing w:val="-12"/>
          <w:sz w:val="16"/>
          <w:szCs w:val="16"/>
        </w:rPr>
        <w:t xml:space="preserve"> Perú</w:t>
      </w:r>
      <w:r w:rsidRPr="00CF3AED">
        <w:rPr>
          <w:rFonts w:ascii="Verdana" w:hAnsi="Verdana"/>
          <w:spacing w:val="-12"/>
          <w:sz w:val="16"/>
          <w:szCs w:val="16"/>
        </w:rPr>
        <w:t xml:space="preserve">. </w:t>
      </w:r>
      <w:r w:rsidRPr="00B551F6">
        <w:rPr>
          <w:rFonts w:ascii="Verdana" w:hAnsi="Verdana"/>
          <w:i/>
          <w:spacing w:val="-12"/>
          <w:sz w:val="16"/>
          <w:szCs w:val="16"/>
        </w:rPr>
        <w:t>Fondo, Reparaciones y Costas</w:t>
      </w:r>
      <w:r w:rsidRPr="00CF3AED">
        <w:rPr>
          <w:rFonts w:ascii="Verdana" w:hAnsi="Verdana"/>
          <w:spacing w:val="-12"/>
          <w:sz w:val="16"/>
          <w:szCs w:val="16"/>
        </w:rPr>
        <w:t>. Sentencia de 21 de octubre de 2016. Serie C No. 319, párr. 23.</w:t>
      </w:r>
    </w:p>
  </w:footnote>
  <w:footnote w:id="22">
    <w:p w14:paraId="375B56AC" w14:textId="3F7ACD63" w:rsidR="00837BB9" w:rsidRPr="00B252EB"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rPr>
        <w:t xml:space="preserve">Cfr., </w:t>
      </w:r>
      <w:r w:rsidRPr="0069409D">
        <w:rPr>
          <w:rFonts w:ascii="Verdana" w:hAnsi="Verdana"/>
          <w:spacing w:val="-12"/>
          <w:sz w:val="16"/>
          <w:szCs w:val="16"/>
        </w:rPr>
        <w:t>en similar sentido,</w:t>
      </w:r>
      <w:r w:rsidRPr="006C24C0">
        <w:rPr>
          <w:rFonts w:ascii="Verdana" w:hAnsi="Verdana"/>
          <w:i/>
          <w:spacing w:val="-12"/>
          <w:sz w:val="16"/>
          <w:szCs w:val="16"/>
        </w:rPr>
        <w:t xml:space="preserve"> </w:t>
      </w:r>
      <w:r w:rsidRPr="003100FE">
        <w:rPr>
          <w:rFonts w:ascii="Verdana" w:hAnsi="Verdana"/>
          <w:bCs/>
          <w:i/>
          <w:color w:val="000000"/>
          <w:spacing w:val="-12"/>
          <w:sz w:val="16"/>
          <w:szCs w:val="16"/>
        </w:rPr>
        <w:t xml:space="preserve">Caso </w:t>
      </w:r>
      <w:proofErr w:type="spellStart"/>
      <w:r w:rsidRPr="003100FE">
        <w:rPr>
          <w:rFonts w:ascii="Verdana" w:hAnsi="Verdana"/>
          <w:bCs/>
          <w:i/>
          <w:color w:val="000000"/>
          <w:spacing w:val="-12"/>
          <w:sz w:val="16"/>
          <w:szCs w:val="16"/>
        </w:rPr>
        <w:t>Nadege</w:t>
      </w:r>
      <w:proofErr w:type="spellEnd"/>
      <w:r w:rsidRPr="003100FE">
        <w:rPr>
          <w:rFonts w:ascii="Verdana" w:hAnsi="Verdana"/>
          <w:bCs/>
          <w:i/>
          <w:color w:val="000000"/>
          <w:spacing w:val="-12"/>
          <w:sz w:val="16"/>
          <w:szCs w:val="16"/>
        </w:rPr>
        <w:t xml:space="preserve"> </w:t>
      </w:r>
      <w:proofErr w:type="spellStart"/>
      <w:r w:rsidRPr="003100FE">
        <w:rPr>
          <w:rFonts w:ascii="Verdana" w:hAnsi="Verdana"/>
          <w:bCs/>
          <w:i/>
          <w:color w:val="000000"/>
          <w:spacing w:val="-12"/>
          <w:sz w:val="16"/>
          <w:szCs w:val="16"/>
        </w:rPr>
        <w:t>Dorzema</w:t>
      </w:r>
      <w:proofErr w:type="spellEnd"/>
      <w:r w:rsidRPr="003100FE">
        <w:rPr>
          <w:rFonts w:ascii="Verdana" w:hAnsi="Verdana"/>
          <w:bCs/>
          <w:i/>
          <w:color w:val="000000"/>
          <w:spacing w:val="-12"/>
          <w:sz w:val="16"/>
          <w:szCs w:val="16"/>
        </w:rPr>
        <w:t xml:space="preserve"> y otros Vs</w:t>
      </w:r>
      <w:r w:rsidRPr="0003211A">
        <w:rPr>
          <w:rFonts w:ascii="Verdana" w:hAnsi="Verdana"/>
          <w:bCs/>
          <w:i/>
          <w:color w:val="000000"/>
          <w:spacing w:val="-12"/>
          <w:sz w:val="16"/>
          <w:szCs w:val="16"/>
        </w:rPr>
        <w:t xml:space="preserve"> </w:t>
      </w:r>
      <w:r w:rsidRPr="00CE7020">
        <w:rPr>
          <w:rFonts w:ascii="Verdana" w:hAnsi="Verdana"/>
          <w:bCs/>
          <w:i/>
          <w:color w:val="000000"/>
          <w:spacing w:val="-12"/>
          <w:sz w:val="16"/>
          <w:szCs w:val="16"/>
        </w:rPr>
        <w:t>República Dominicana, supra</w:t>
      </w:r>
      <w:r w:rsidRPr="00773F82">
        <w:rPr>
          <w:rFonts w:ascii="Verdana" w:hAnsi="Verdana"/>
          <w:color w:val="000000"/>
          <w:spacing w:val="-12"/>
          <w:sz w:val="16"/>
          <w:szCs w:val="16"/>
        </w:rPr>
        <w:t xml:space="preserve">, </w:t>
      </w:r>
      <w:proofErr w:type="spellStart"/>
      <w:r w:rsidRPr="00290E0C">
        <w:rPr>
          <w:rFonts w:ascii="Verdana" w:hAnsi="Verdana"/>
          <w:spacing w:val="-12"/>
          <w:sz w:val="16"/>
          <w:szCs w:val="16"/>
        </w:rPr>
        <w:t>párrs</w:t>
      </w:r>
      <w:proofErr w:type="spellEnd"/>
      <w:r w:rsidRPr="00290E0C">
        <w:rPr>
          <w:rFonts w:ascii="Verdana" w:hAnsi="Verdana"/>
          <w:spacing w:val="-12"/>
          <w:sz w:val="16"/>
          <w:szCs w:val="16"/>
        </w:rPr>
        <w:t>. 19 y 22.</w:t>
      </w:r>
    </w:p>
  </w:footnote>
  <w:footnote w:id="23">
    <w:p w14:paraId="2B0E74AB" w14:textId="2F0F934A" w:rsidR="00837BB9" w:rsidRPr="0054215F"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rPr>
        <w:t>Cfr.</w:t>
      </w:r>
      <w:r w:rsidRPr="006C24C0">
        <w:rPr>
          <w:rFonts w:ascii="Verdana" w:hAnsi="Verdana"/>
          <w:i/>
          <w:spacing w:val="-12"/>
          <w:sz w:val="16"/>
          <w:szCs w:val="16"/>
        </w:rPr>
        <w:t xml:space="preserve"> </w:t>
      </w:r>
      <w:r w:rsidRPr="003100FE">
        <w:rPr>
          <w:rFonts w:ascii="Verdana" w:hAnsi="Verdana"/>
          <w:bCs/>
          <w:i/>
          <w:color w:val="000000"/>
          <w:spacing w:val="-12"/>
          <w:sz w:val="16"/>
          <w:szCs w:val="16"/>
        </w:rPr>
        <w:t xml:space="preserve">Caso </w:t>
      </w:r>
      <w:proofErr w:type="spellStart"/>
      <w:r w:rsidRPr="003100FE">
        <w:rPr>
          <w:rFonts w:ascii="Verdana" w:hAnsi="Verdana"/>
          <w:bCs/>
          <w:i/>
          <w:color w:val="000000"/>
          <w:spacing w:val="-12"/>
          <w:sz w:val="16"/>
          <w:szCs w:val="16"/>
        </w:rPr>
        <w:t>Nadege</w:t>
      </w:r>
      <w:proofErr w:type="spellEnd"/>
      <w:r w:rsidRPr="003100FE">
        <w:rPr>
          <w:rFonts w:ascii="Verdana" w:hAnsi="Verdana"/>
          <w:bCs/>
          <w:i/>
          <w:color w:val="000000"/>
          <w:spacing w:val="-12"/>
          <w:sz w:val="16"/>
          <w:szCs w:val="16"/>
        </w:rPr>
        <w:t xml:space="preserve"> </w:t>
      </w:r>
      <w:proofErr w:type="spellStart"/>
      <w:r w:rsidRPr="003100FE">
        <w:rPr>
          <w:rFonts w:ascii="Verdana" w:hAnsi="Verdana"/>
          <w:bCs/>
          <w:i/>
          <w:color w:val="000000"/>
          <w:spacing w:val="-12"/>
          <w:sz w:val="16"/>
          <w:szCs w:val="16"/>
        </w:rPr>
        <w:t>Dorzema</w:t>
      </w:r>
      <w:proofErr w:type="spellEnd"/>
      <w:r w:rsidRPr="003100FE">
        <w:rPr>
          <w:rFonts w:ascii="Verdana" w:hAnsi="Verdana"/>
          <w:bCs/>
          <w:i/>
          <w:color w:val="000000"/>
          <w:spacing w:val="-12"/>
          <w:sz w:val="16"/>
          <w:szCs w:val="16"/>
        </w:rPr>
        <w:t xml:space="preserve"> y otros Vs</w:t>
      </w:r>
      <w:r w:rsidRPr="0003211A">
        <w:rPr>
          <w:rFonts w:ascii="Verdana" w:hAnsi="Verdana"/>
          <w:bCs/>
          <w:i/>
          <w:color w:val="000000"/>
          <w:spacing w:val="-12"/>
          <w:sz w:val="16"/>
          <w:szCs w:val="16"/>
        </w:rPr>
        <w:t xml:space="preserve"> </w:t>
      </w:r>
      <w:r w:rsidRPr="00CE7020">
        <w:rPr>
          <w:rFonts w:ascii="Verdana" w:hAnsi="Verdana"/>
          <w:bCs/>
          <w:i/>
          <w:color w:val="000000"/>
          <w:spacing w:val="-12"/>
          <w:sz w:val="16"/>
          <w:szCs w:val="16"/>
        </w:rPr>
        <w:t>República Dominicana, supra</w:t>
      </w:r>
      <w:r w:rsidRPr="00773F82">
        <w:rPr>
          <w:rFonts w:ascii="Verdana" w:hAnsi="Verdana"/>
          <w:color w:val="000000"/>
          <w:spacing w:val="-12"/>
          <w:sz w:val="16"/>
          <w:szCs w:val="16"/>
        </w:rPr>
        <w:t xml:space="preserve">, </w:t>
      </w:r>
      <w:proofErr w:type="spellStart"/>
      <w:r w:rsidRPr="00290E0C">
        <w:rPr>
          <w:rFonts w:ascii="Verdana" w:hAnsi="Verdana"/>
          <w:spacing w:val="-12"/>
          <w:sz w:val="16"/>
          <w:szCs w:val="16"/>
        </w:rPr>
        <w:t>pá</w:t>
      </w:r>
      <w:r w:rsidRPr="00B252EB">
        <w:rPr>
          <w:rFonts w:ascii="Verdana" w:hAnsi="Verdana"/>
          <w:spacing w:val="-12"/>
          <w:sz w:val="16"/>
          <w:szCs w:val="16"/>
        </w:rPr>
        <w:t>rrs</w:t>
      </w:r>
      <w:proofErr w:type="spellEnd"/>
      <w:r w:rsidRPr="00B252EB">
        <w:rPr>
          <w:rFonts w:ascii="Verdana" w:hAnsi="Verdana"/>
          <w:spacing w:val="-12"/>
          <w:sz w:val="16"/>
          <w:szCs w:val="16"/>
        </w:rPr>
        <w:t>. 19 y 22</w:t>
      </w:r>
      <w:r>
        <w:rPr>
          <w:rFonts w:ascii="Verdana" w:hAnsi="Verdana"/>
          <w:spacing w:val="-12"/>
          <w:sz w:val="16"/>
          <w:szCs w:val="16"/>
        </w:rPr>
        <w:t xml:space="preserve">; y </w:t>
      </w:r>
      <w:r w:rsidRPr="00B551F6">
        <w:rPr>
          <w:rFonts w:ascii="Verdana" w:hAnsi="Verdana"/>
          <w:i/>
          <w:spacing w:val="-12"/>
          <w:sz w:val="16"/>
          <w:szCs w:val="16"/>
        </w:rPr>
        <w:t xml:space="preserve">Caso </w:t>
      </w:r>
      <w:proofErr w:type="spellStart"/>
      <w:r w:rsidRPr="00B551F6">
        <w:rPr>
          <w:rFonts w:ascii="Verdana" w:hAnsi="Verdana"/>
          <w:i/>
          <w:spacing w:val="-12"/>
          <w:sz w:val="16"/>
          <w:szCs w:val="16"/>
        </w:rPr>
        <w:t>Liakat</w:t>
      </w:r>
      <w:proofErr w:type="spellEnd"/>
      <w:r w:rsidRPr="00B551F6">
        <w:rPr>
          <w:rFonts w:ascii="Verdana" w:hAnsi="Verdana"/>
          <w:i/>
          <w:spacing w:val="-12"/>
          <w:sz w:val="16"/>
          <w:szCs w:val="16"/>
        </w:rPr>
        <w:t xml:space="preserve"> Ali </w:t>
      </w:r>
      <w:proofErr w:type="spellStart"/>
      <w:r w:rsidRPr="00B551F6">
        <w:rPr>
          <w:rFonts w:ascii="Verdana" w:hAnsi="Verdana"/>
          <w:i/>
          <w:spacing w:val="-12"/>
          <w:sz w:val="16"/>
          <w:szCs w:val="16"/>
        </w:rPr>
        <w:t>Alibux</w:t>
      </w:r>
      <w:proofErr w:type="spellEnd"/>
      <w:r w:rsidRPr="00B551F6">
        <w:rPr>
          <w:rFonts w:ascii="Verdana" w:hAnsi="Verdana"/>
          <w:i/>
          <w:spacing w:val="-12"/>
          <w:sz w:val="16"/>
          <w:szCs w:val="16"/>
        </w:rPr>
        <w:t xml:space="preserve"> Vs. Surinam. Excepciones Preliminares, Fondo, Reparaciones y Costas</w:t>
      </w:r>
      <w:r w:rsidRPr="00B551F6">
        <w:rPr>
          <w:rFonts w:ascii="Verdana" w:hAnsi="Verdana"/>
          <w:spacing w:val="-12"/>
          <w:sz w:val="16"/>
          <w:szCs w:val="16"/>
        </w:rPr>
        <w:t>. Sentencia de 30 de enero de 2014. Serie C No. 276, párr.</w:t>
      </w:r>
      <w:r w:rsidRPr="00D372E5">
        <w:rPr>
          <w:rFonts w:ascii="Verdana" w:hAnsi="Verdana"/>
          <w:spacing w:val="-12"/>
          <w:sz w:val="16"/>
          <w:szCs w:val="16"/>
        </w:rPr>
        <w:t xml:space="preserve"> 29</w:t>
      </w:r>
      <w:r w:rsidRPr="00B252EB">
        <w:rPr>
          <w:rFonts w:ascii="Verdana" w:hAnsi="Verdana"/>
          <w:spacing w:val="-12"/>
          <w:sz w:val="16"/>
          <w:szCs w:val="16"/>
        </w:rPr>
        <w:t>.</w:t>
      </w:r>
    </w:p>
  </w:footnote>
  <w:footnote w:id="24">
    <w:p w14:paraId="409ACDA5" w14:textId="77777777" w:rsidR="00837BB9" w:rsidRPr="00C7142E" w:rsidRDefault="00837BB9" w:rsidP="008349B1">
      <w:pPr>
        <w:pStyle w:val="FootnoteText"/>
        <w:spacing w:before="120" w:after="120"/>
        <w:jc w:val="both"/>
        <w:rPr>
          <w:rFonts w:ascii="Verdana" w:eastAsiaTheme="minorHAnsi" w:hAnsi="Verdana" w:cstheme="minorBidi"/>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eastAsiaTheme="minorHAnsi" w:hAnsi="Verdana" w:cstheme="minorBidi"/>
          <w:spacing w:val="-12"/>
          <w:sz w:val="16"/>
          <w:szCs w:val="16"/>
          <w:lang w:val="es-MX"/>
        </w:rPr>
        <w:tab/>
        <w:t>En este sentido, el artículo 65.1.d) del Reglamento dispone que “la sentencia contendrá […] la determinación de los hechos”.</w:t>
      </w:r>
    </w:p>
  </w:footnote>
  <w:footnote w:id="25">
    <w:p w14:paraId="7327C497" w14:textId="63801043" w:rsidR="00837BB9" w:rsidRPr="0069409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eastAsiaTheme="minorHAnsi" w:hAnsi="Verdana" w:cstheme="minorBidi"/>
          <w:spacing w:val="-12"/>
          <w:sz w:val="16"/>
          <w:szCs w:val="16"/>
          <w:lang w:val="es-MX"/>
        </w:rPr>
        <w:t>El artículo 65.1.f) del Reglamento establece que “la sentencia contendrá […] los fundamentos de derecho”.</w:t>
      </w:r>
    </w:p>
  </w:footnote>
  <w:footnote w:id="26">
    <w:p w14:paraId="12B1B731" w14:textId="05EDF3FA" w:rsidR="00837BB9" w:rsidRPr="00CE7020"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bCs/>
          <w:i/>
          <w:color w:val="000000"/>
          <w:spacing w:val="-12"/>
          <w:sz w:val="16"/>
          <w:szCs w:val="16"/>
        </w:rPr>
        <w:t>Cfr.</w:t>
      </w:r>
      <w:r w:rsidRPr="006C24C0">
        <w:rPr>
          <w:rFonts w:ascii="Verdana" w:hAnsi="Verdana"/>
          <w:bCs/>
          <w:i/>
          <w:color w:val="000000"/>
          <w:spacing w:val="-12"/>
          <w:sz w:val="16"/>
          <w:szCs w:val="16"/>
        </w:rPr>
        <w:t xml:space="preserve"> </w:t>
      </w:r>
      <w:r w:rsidRPr="003100FE">
        <w:rPr>
          <w:rFonts w:ascii="Verdana" w:hAnsi="Verdana"/>
          <w:bCs/>
          <w:i/>
          <w:color w:val="000000"/>
          <w:spacing w:val="-12"/>
          <w:sz w:val="16"/>
          <w:szCs w:val="16"/>
        </w:rPr>
        <w:t xml:space="preserve">Caso </w:t>
      </w:r>
      <w:proofErr w:type="spellStart"/>
      <w:r>
        <w:rPr>
          <w:rFonts w:ascii="Verdana" w:hAnsi="Verdana"/>
          <w:bCs/>
          <w:i/>
          <w:color w:val="000000"/>
          <w:spacing w:val="-12"/>
          <w:sz w:val="16"/>
          <w:szCs w:val="16"/>
        </w:rPr>
        <w:t>Caesar</w:t>
      </w:r>
      <w:proofErr w:type="spellEnd"/>
      <w:r>
        <w:rPr>
          <w:rFonts w:ascii="Verdana" w:hAnsi="Verdana"/>
          <w:bCs/>
          <w:i/>
          <w:color w:val="000000"/>
          <w:spacing w:val="-12"/>
          <w:sz w:val="16"/>
          <w:szCs w:val="16"/>
        </w:rPr>
        <w:t xml:space="preserve"> Vs. Trinidad y Tobago. </w:t>
      </w:r>
      <w:r w:rsidRPr="00B551F6">
        <w:rPr>
          <w:rFonts w:ascii="Verdana" w:hAnsi="Verdana"/>
          <w:bCs/>
          <w:i/>
          <w:color w:val="000000"/>
          <w:spacing w:val="-12"/>
          <w:sz w:val="16"/>
          <w:szCs w:val="16"/>
        </w:rPr>
        <w:t>Fondo, Reparaciones y Costas</w:t>
      </w:r>
      <w:r w:rsidRPr="00B551F6">
        <w:rPr>
          <w:rFonts w:ascii="Verdana" w:hAnsi="Verdana"/>
          <w:bCs/>
          <w:color w:val="000000"/>
          <w:spacing w:val="-12"/>
          <w:sz w:val="16"/>
          <w:szCs w:val="16"/>
        </w:rPr>
        <w:t>. Sentencia 11 de marzo 2005. Serie C No. 123</w:t>
      </w:r>
      <w:r w:rsidRPr="0003211A">
        <w:rPr>
          <w:rFonts w:ascii="Verdana" w:hAnsi="Verdana"/>
          <w:bCs/>
          <w:color w:val="000000"/>
          <w:spacing w:val="-12"/>
          <w:sz w:val="16"/>
          <w:szCs w:val="16"/>
        </w:rPr>
        <w:t>, párr. 39.</w:t>
      </w:r>
    </w:p>
  </w:footnote>
  <w:footnote w:id="27">
    <w:p w14:paraId="56F7348B" w14:textId="17AA3DF2" w:rsidR="00837BB9" w:rsidRPr="00CF3AED" w:rsidRDefault="00837BB9" w:rsidP="008349B1">
      <w:pPr>
        <w:pStyle w:val="Footnotes"/>
        <w:tabs>
          <w:tab w:val="clear" w:pos="0"/>
        </w:tabs>
        <w:spacing w:after="120"/>
        <w:ind w:left="0"/>
      </w:pPr>
      <w:r w:rsidRPr="00CE7020">
        <w:rPr>
          <w:rStyle w:val="FootnoteReference"/>
          <w:spacing w:val="-12"/>
        </w:rPr>
        <w:footnoteRef/>
      </w:r>
      <w:r w:rsidRPr="00773F82">
        <w:rPr>
          <w:vertAlign w:val="superscript"/>
        </w:rPr>
        <w:t xml:space="preserve"> </w:t>
      </w:r>
      <w:r w:rsidRPr="00982860">
        <w:rPr>
          <w:rFonts w:eastAsiaTheme="minorHAnsi" w:cstheme="minorBidi"/>
          <w:iCs w:val="0"/>
          <w:spacing w:val="-12"/>
          <w:lang w:val="es-MX"/>
        </w:rPr>
        <w:tab/>
      </w:r>
      <w:r w:rsidRPr="00982860">
        <w:rPr>
          <w:rFonts w:eastAsiaTheme="minorHAnsi" w:cstheme="minorBidi"/>
          <w:i/>
          <w:iCs w:val="0"/>
          <w:spacing w:val="-12"/>
          <w:lang w:val="es-MX"/>
        </w:rPr>
        <w:t>Cfr. Caso Cinco Pensionistas Vs. Perú. Fondo, Reparaciones y Costas.</w:t>
      </w:r>
      <w:r w:rsidRPr="00290E0C">
        <w:rPr>
          <w:rFonts w:eastAsiaTheme="minorHAnsi" w:cstheme="minorBidi"/>
          <w:iCs w:val="0"/>
          <w:spacing w:val="-12"/>
          <w:lang w:val="es-MX"/>
        </w:rPr>
        <w:t xml:space="preserve"> Sentencia de 28 de febrero de </w:t>
      </w:r>
      <w:r>
        <w:rPr>
          <w:rFonts w:eastAsiaTheme="minorHAnsi" w:cstheme="minorBidi"/>
          <w:iCs w:val="0"/>
          <w:spacing w:val="-12"/>
          <w:lang w:val="es-MX"/>
        </w:rPr>
        <w:t>2003. Serie C No. 98, párr. 153;</w:t>
      </w:r>
      <w:r w:rsidRPr="00290E0C">
        <w:rPr>
          <w:rFonts w:eastAsiaTheme="minorHAnsi" w:cstheme="minorBidi"/>
          <w:iCs w:val="0"/>
          <w:spacing w:val="-12"/>
          <w:lang w:val="es-MX"/>
        </w:rPr>
        <w:t xml:space="preserve"> y </w:t>
      </w:r>
      <w:r w:rsidRPr="00B551F6">
        <w:rPr>
          <w:rFonts w:eastAsiaTheme="minorHAnsi" w:cstheme="minorBidi"/>
          <w:i/>
          <w:iCs w:val="0"/>
          <w:spacing w:val="-12"/>
          <w:lang w:val="es-MX"/>
        </w:rPr>
        <w:t xml:space="preserve">Caso </w:t>
      </w:r>
      <w:r w:rsidRPr="0055576F">
        <w:rPr>
          <w:rFonts w:eastAsiaTheme="minorHAnsi" w:cstheme="minorBidi"/>
          <w:i/>
          <w:iCs w:val="0"/>
          <w:spacing w:val="-12"/>
          <w:lang w:val="es-MX"/>
        </w:rPr>
        <w:t xml:space="preserve">Trabajadores Cesados de Petroperú y otros Vs. Perú. Excepciones Preliminares, Fondo, Reparaciones y Costas. </w:t>
      </w:r>
      <w:r w:rsidRPr="0055576F">
        <w:rPr>
          <w:rFonts w:eastAsiaTheme="minorHAnsi" w:cstheme="minorBidi"/>
          <w:iCs w:val="0"/>
          <w:spacing w:val="-12"/>
          <w:lang w:val="es-MX"/>
        </w:rPr>
        <w:t>Sentencia de 23 de noviembre 2017. Serie C No. 344</w:t>
      </w:r>
      <w:r>
        <w:rPr>
          <w:rFonts w:eastAsiaTheme="minorHAnsi" w:cstheme="minorBidi"/>
          <w:iCs w:val="0"/>
          <w:spacing w:val="-12"/>
          <w:lang w:val="es-MX"/>
        </w:rPr>
        <w:t>, párr. 65</w:t>
      </w:r>
      <w:r w:rsidRPr="00B551F6">
        <w:rPr>
          <w:rFonts w:eastAsiaTheme="minorHAnsi" w:cstheme="minorBidi"/>
          <w:iCs w:val="0"/>
          <w:spacing w:val="-12"/>
          <w:lang w:val="es-MX"/>
        </w:rPr>
        <w:t>.</w:t>
      </w:r>
    </w:p>
  </w:footnote>
  <w:footnote w:id="28">
    <w:p w14:paraId="64A7A2F8" w14:textId="14D53FBF" w:rsidR="00837BB9" w:rsidRPr="00CF3AED" w:rsidRDefault="00837BB9" w:rsidP="008349B1">
      <w:pPr>
        <w:pStyle w:val="Footnotes"/>
        <w:tabs>
          <w:tab w:val="clear" w:pos="0"/>
        </w:tabs>
        <w:spacing w:after="120"/>
        <w:ind w:left="0"/>
      </w:pPr>
      <w:r w:rsidRPr="00CF3AED">
        <w:rPr>
          <w:rStyle w:val="FootnoteReference"/>
          <w:spacing w:val="-12"/>
        </w:rPr>
        <w:footnoteRef/>
      </w:r>
      <w:r w:rsidRPr="00CF3AED">
        <w:rPr>
          <w:rFonts w:eastAsiaTheme="minorHAnsi" w:cstheme="minorBidi"/>
          <w:iCs w:val="0"/>
          <w:spacing w:val="-12"/>
          <w:lang w:val="es-MX"/>
        </w:rPr>
        <w:tab/>
      </w:r>
      <w:r w:rsidRPr="00CF3AED">
        <w:rPr>
          <w:rFonts w:eastAsiaTheme="minorHAnsi" w:cstheme="minorBidi"/>
          <w:i/>
          <w:iCs w:val="0"/>
          <w:spacing w:val="-12"/>
          <w:lang w:val="es-MX"/>
        </w:rPr>
        <w:t xml:space="preserve">Cfr. Caso de la Masacre de </w:t>
      </w:r>
      <w:proofErr w:type="spellStart"/>
      <w:r w:rsidRPr="00CF3AED">
        <w:rPr>
          <w:rFonts w:eastAsiaTheme="minorHAnsi" w:cstheme="minorBidi"/>
          <w:i/>
          <w:iCs w:val="0"/>
          <w:spacing w:val="-12"/>
          <w:lang w:val="es-MX"/>
        </w:rPr>
        <w:t>Mapiripán</w:t>
      </w:r>
      <w:proofErr w:type="spellEnd"/>
      <w:r w:rsidRPr="00CF3AED">
        <w:rPr>
          <w:rFonts w:eastAsiaTheme="minorHAnsi" w:cstheme="minorBidi"/>
          <w:i/>
          <w:iCs w:val="0"/>
          <w:spacing w:val="-12"/>
          <w:lang w:val="es-MX"/>
        </w:rPr>
        <w:t xml:space="preserve"> Vs. Colombia. Fondo, Reparaciones y Costas</w:t>
      </w:r>
      <w:r w:rsidRPr="00CF3AED">
        <w:rPr>
          <w:rFonts w:eastAsiaTheme="minorHAnsi" w:cstheme="minorBidi"/>
          <w:iCs w:val="0"/>
          <w:spacing w:val="-12"/>
          <w:lang w:val="es-MX"/>
        </w:rPr>
        <w:t xml:space="preserve">. Sentencia de 15 de septiembre de 2005. Serie C No. 134, párr. 58, y </w:t>
      </w:r>
      <w:r w:rsidRPr="00B551F6">
        <w:rPr>
          <w:rFonts w:eastAsiaTheme="minorHAnsi" w:cstheme="minorBidi"/>
          <w:i/>
          <w:iCs w:val="0"/>
          <w:spacing w:val="-12"/>
          <w:lang w:val="es-MX"/>
        </w:rPr>
        <w:t xml:space="preserve">Caso </w:t>
      </w:r>
      <w:r w:rsidRPr="0055576F">
        <w:rPr>
          <w:rFonts w:eastAsiaTheme="minorHAnsi" w:cstheme="minorBidi"/>
          <w:i/>
          <w:iCs w:val="0"/>
          <w:spacing w:val="-12"/>
          <w:lang w:val="es-MX"/>
        </w:rPr>
        <w:t>Trabajadores Cesados de Petroperú y otros Vs. Perú</w:t>
      </w:r>
      <w:r>
        <w:rPr>
          <w:rFonts w:eastAsiaTheme="minorHAnsi" w:cstheme="minorBidi"/>
          <w:i/>
          <w:iCs w:val="0"/>
          <w:spacing w:val="-12"/>
          <w:lang w:val="es-MX"/>
        </w:rPr>
        <w:t xml:space="preserve">, supra, </w:t>
      </w:r>
      <w:r>
        <w:rPr>
          <w:rFonts w:eastAsiaTheme="minorHAnsi" w:cstheme="minorBidi"/>
          <w:iCs w:val="0"/>
          <w:spacing w:val="-12"/>
          <w:lang w:val="es-MX"/>
        </w:rPr>
        <w:t>párr. 65</w:t>
      </w:r>
      <w:r w:rsidRPr="00CF3AED">
        <w:rPr>
          <w:rFonts w:eastAsiaTheme="minorHAnsi" w:cstheme="minorBidi"/>
          <w:iCs w:val="0"/>
          <w:spacing w:val="-12"/>
          <w:lang w:val="es-MX"/>
        </w:rPr>
        <w:t>.</w:t>
      </w:r>
    </w:p>
  </w:footnote>
  <w:footnote w:id="29">
    <w:p w14:paraId="4E8D217B" w14:textId="02039C76" w:rsidR="00837BB9" w:rsidRPr="00B252EB" w:rsidRDefault="00837BB9" w:rsidP="008349B1">
      <w:pPr>
        <w:pStyle w:val="FootnoteText"/>
        <w:spacing w:before="120" w:after="120"/>
        <w:jc w:val="both"/>
        <w:rPr>
          <w:rFonts w:ascii="Verdana" w:eastAsiaTheme="minorHAnsi" w:hAnsi="Verdana" w:cs="CenturyGothic"/>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eastAsiaTheme="minorHAnsi" w:hAnsi="Verdana" w:cs="CenturyGothic"/>
          <w:spacing w:val="-12"/>
          <w:sz w:val="16"/>
          <w:szCs w:val="16"/>
          <w:lang w:val="es-MX"/>
        </w:rPr>
        <w:t>El representante refirió, entre otros,</w:t>
      </w:r>
      <w:r w:rsidRPr="006C24C0">
        <w:rPr>
          <w:rFonts w:ascii="Verdana" w:eastAsiaTheme="minorHAnsi" w:hAnsi="Verdana" w:cs="CenturyGothic"/>
          <w:spacing w:val="-12"/>
          <w:sz w:val="16"/>
          <w:szCs w:val="16"/>
          <w:lang w:val="es-MX"/>
        </w:rPr>
        <w:t xml:space="preserve"> a “antecedentes de la discriminación”; que Venezuela se encontrab</w:t>
      </w:r>
      <w:r w:rsidRPr="003100FE">
        <w:rPr>
          <w:rFonts w:ascii="Verdana" w:eastAsiaTheme="minorHAnsi" w:hAnsi="Verdana" w:cs="CenturyGothic"/>
          <w:spacing w:val="-12"/>
          <w:sz w:val="16"/>
          <w:szCs w:val="16"/>
          <w:lang w:val="es-MX"/>
        </w:rPr>
        <w:t>a en una crisis política con anterioridad a los hechos del caso, como por ejemplo con la aprobación de una “ley habilitante” que permitía al entonces Presidente go</w:t>
      </w:r>
      <w:r w:rsidRPr="0003211A">
        <w:rPr>
          <w:rFonts w:ascii="Verdana" w:eastAsiaTheme="minorHAnsi" w:hAnsi="Verdana" w:cs="CenturyGothic"/>
          <w:spacing w:val="-12"/>
          <w:sz w:val="16"/>
          <w:szCs w:val="16"/>
          <w:lang w:val="es-MX"/>
        </w:rPr>
        <w:t xml:space="preserve">bernar mediante decretos-leyes; las reacciones al respecto </w:t>
      </w:r>
      <w:r w:rsidRPr="00CE7020">
        <w:rPr>
          <w:rFonts w:ascii="Verdana" w:eastAsiaTheme="minorHAnsi" w:hAnsi="Verdana" w:cs="CenturyGothic"/>
          <w:spacing w:val="-12"/>
          <w:sz w:val="16"/>
          <w:szCs w:val="16"/>
          <w:lang w:val="es-MX"/>
        </w:rPr>
        <w:t>mediante manifestaciones y protestas, así como dos paros nacionales para solicitar la renuncia del Presidente Chávez</w:t>
      </w:r>
      <w:r w:rsidRPr="00773F82">
        <w:rPr>
          <w:rFonts w:ascii="Verdana" w:eastAsiaTheme="minorHAnsi" w:hAnsi="Verdana" w:cs="CenturyGothic"/>
          <w:spacing w:val="-12"/>
          <w:sz w:val="16"/>
          <w:szCs w:val="16"/>
          <w:lang w:val="es-MX"/>
        </w:rPr>
        <w:t>;</w:t>
      </w:r>
      <w:r w:rsidRPr="00982860">
        <w:rPr>
          <w:rFonts w:ascii="Verdana" w:eastAsiaTheme="minorHAnsi" w:hAnsi="Verdana" w:cs="CenturyGothic"/>
          <w:spacing w:val="-12"/>
          <w:sz w:val="16"/>
          <w:szCs w:val="16"/>
          <w:lang w:val="es-MX"/>
        </w:rPr>
        <w:t xml:space="preserve"> el golpe de Estado perpetrado el 11 de abril de 2001;</w:t>
      </w:r>
      <w:r w:rsidRPr="00290E0C">
        <w:rPr>
          <w:rFonts w:ascii="Verdana" w:eastAsiaTheme="minorHAnsi" w:hAnsi="Verdana" w:cs="CenturyGothic"/>
          <w:spacing w:val="-12"/>
          <w:sz w:val="16"/>
          <w:szCs w:val="16"/>
          <w:lang w:val="es-MX"/>
        </w:rPr>
        <w:t xml:space="preserve"> </w:t>
      </w:r>
      <w:r w:rsidRPr="00B252EB">
        <w:rPr>
          <w:rFonts w:ascii="Verdana" w:eastAsiaTheme="minorHAnsi" w:hAnsi="Verdana" w:cs="CenturyGothic"/>
          <w:spacing w:val="-12"/>
          <w:sz w:val="16"/>
          <w:szCs w:val="16"/>
          <w:lang w:val="es-MX"/>
        </w:rPr>
        <w:t xml:space="preserve">y la falta de independencia del Poder Judicial.  </w:t>
      </w:r>
    </w:p>
  </w:footnote>
  <w:footnote w:id="30">
    <w:p w14:paraId="4EEB490B" w14:textId="0F586557" w:rsidR="00837BB9" w:rsidRPr="00CF3AED" w:rsidRDefault="00837BB9" w:rsidP="008349B1">
      <w:pPr>
        <w:spacing w:before="120" w:after="120" w:line="240" w:lineRule="auto"/>
        <w:contextualSpacing/>
        <w:jc w:val="both"/>
        <w:rPr>
          <w:rFonts w:ascii="Verdana" w:hAnsi="Verdana" w:cs="CenturyGothic"/>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hAnsi="Verdana" w:cs="CenturyGothic"/>
          <w:spacing w:val="-12"/>
          <w:sz w:val="16"/>
          <w:szCs w:val="16"/>
          <w:lang w:val="es-MX"/>
        </w:rPr>
        <w:t>El representante alegó</w:t>
      </w:r>
      <w:r>
        <w:rPr>
          <w:rFonts w:ascii="Verdana" w:hAnsi="Verdana" w:cs="CenturyGothic"/>
          <w:spacing w:val="-12"/>
          <w:sz w:val="16"/>
          <w:szCs w:val="16"/>
          <w:lang w:val="es-MX"/>
        </w:rPr>
        <w:t xml:space="preserve"> violación del artículo 8 de la Convención por</w:t>
      </w:r>
      <w:r w:rsidRPr="00CF3AED">
        <w:rPr>
          <w:rFonts w:ascii="Verdana" w:hAnsi="Verdana" w:cs="CenturyGothic"/>
          <w:spacing w:val="-12"/>
          <w:sz w:val="16"/>
          <w:szCs w:val="16"/>
          <w:lang w:val="es-MX"/>
        </w:rPr>
        <w:t xml:space="preserve"> falta</w:t>
      </w:r>
      <w:r>
        <w:rPr>
          <w:rFonts w:ascii="Verdana" w:hAnsi="Verdana" w:cs="CenturyGothic"/>
          <w:spacing w:val="-12"/>
          <w:sz w:val="16"/>
          <w:szCs w:val="16"/>
          <w:lang w:val="es-MX"/>
        </w:rPr>
        <w:t xml:space="preserve"> de imparcialidad de los jueces</w:t>
      </w:r>
      <w:r w:rsidRPr="009E7E48">
        <w:rPr>
          <w:rFonts w:ascii="Verdana" w:hAnsi="Verdana" w:cs="CenturyGothic"/>
          <w:spacing w:val="-12"/>
          <w:sz w:val="16"/>
          <w:szCs w:val="16"/>
          <w:lang w:val="es-MX"/>
        </w:rPr>
        <w:t xml:space="preserve">; violación del artículo 5 de la Convención de Belem do Pará (alegando que, aunque no fueron objeto de discriminación por ser mujeres, “la condición de mujeres de las presuntas víctimas hizo que la persecución en su contra y el efecto de ello en </w:t>
      </w:r>
      <w:r w:rsidRPr="008B6122">
        <w:rPr>
          <w:rFonts w:ascii="Verdana" w:hAnsi="Verdana" w:cs="CenturyGothic"/>
          <w:spacing w:val="-12"/>
          <w:sz w:val="16"/>
          <w:szCs w:val="16"/>
          <w:lang w:val="es-MX"/>
        </w:rPr>
        <w:t>su situación laboral tuvieran consecue</w:t>
      </w:r>
      <w:r>
        <w:rPr>
          <w:rFonts w:ascii="Verdana" w:hAnsi="Verdana" w:cs="CenturyGothic"/>
          <w:spacing w:val="-12"/>
          <w:sz w:val="16"/>
          <w:szCs w:val="16"/>
          <w:lang w:val="es-MX"/>
        </w:rPr>
        <w:t>ncias más perversas en ellas”);</w:t>
      </w:r>
      <w:r w:rsidRPr="00CE7020">
        <w:rPr>
          <w:rFonts w:ascii="Verdana" w:hAnsi="Verdana" w:cs="CenturyGothic"/>
          <w:spacing w:val="-12"/>
          <w:sz w:val="16"/>
          <w:szCs w:val="16"/>
          <w:lang w:val="es-MX"/>
        </w:rPr>
        <w:t xml:space="preserve"> y el “derecho de las mujeres a acceder a las funciones públicas” en los términos del artículo 4.j)</w:t>
      </w:r>
      <w:r w:rsidRPr="00773F82">
        <w:rPr>
          <w:rFonts w:ascii="Verdana" w:hAnsi="Verdana" w:cs="CenturyGothic"/>
          <w:spacing w:val="-12"/>
          <w:sz w:val="16"/>
          <w:szCs w:val="16"/>
          <w:lang w:val="es-MX"/>
        </w:rPr>
        <w:t xml:space="preserve"> de</w:t>
      </w:r>
      <w:r w:rsidRPr="00982860">
        <w:rPr>
          <w:rFonts w:ascii="Verdana" w:hAnsi="Verdana" w:cs="CenturyGothic"/>
          <w:spacing w:val="-12"/>
          <w:sz w:val="16"/>
          <w:szCs w:val="16"/>
          <w:lang w:val="es-MX"/>
        </w:rPr>
        <w:t xml:space="preserve"> la Convención de Belem do Pará.</w:t>
      </w:r>
      <w:r w:rsidRPr="00CF3AED">
        <w:rPr>
          <w:rFonts w:ascii="Verdana" w:hAnsi="Verdana" w:cs="CenturyGothic"/>
          <w:spacing w:val="-12"/>
          <w:sz w:val="16"/>
          <w:szCs w:val="16"/>
          <w:lang w:val="es-MX"/>
        </w:rPr>
        <w:t xml:space="preserve"> </w:t>
      </w:r>
    </w:p>
    <w:p w14:paraId="335E1CBD" w14:textId="77777777" w:rsidR="00837BB9" w:rsidRPr="00CF3AED" w:rsidRDefault="00837BB9" w:rsidP="008349B1">
      <w:pPr>
        <w:spacing w:before="120" w:after="120" w:line="240" w:lineRule="auto"/>
        <w:contextualSpacing/>
        <w:jc w:val="both"/>
        <w:rPr>
          <w:rFonts w:ascii="Verdana" w:hAnsi="Verdana" w:cs="CenturyGothic"/>
          <w:spacing w:val="-12"/>
          <w:sz w:val="16"/>
          <w:szCs w:val="16"/>
          <w:lang w:val="es-MX"/>
        </w:rPr>
      </w:pPr>
    </w:p>
  </w:footnote>
  <w:footnote w:id="31">
    <w:p w14:paraId="3C814E29" w14:textId="2F7F4449" w:rsidR="00837BB9" w:rsidRPr="006203B0" w:rsidRDefault="00837BB9" w:rsidP="008349B1">
      <w:pPr>
        <w:autoSpaceDE w:val="0"/>
        <w:autoSpaceDN w:val="0"/>
        <w:adjustRightInd w:val="0"/>
        <w:spacing w:before="120" w:after="120" w:line="240" w:lineRule="auto"/>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t>En sus alegatos finales escritos, el representante solicitó a la Corte que, adicionalmente a lo planteado en su escrito de solicitudes y argumentos, ordene al Estado que</w:t>
      </w:r>
      <w:r w:rsidRPr="006203B0">
        <w:rPr>
          <w:rFonts w:ascii="Verdana" w:hAnsi="Verdana"/>
          <w:spacing w:val="-12"/>
          <w:sz w:val="16"/>
          <w:szCs w:val="16"/>
          <w:lang w:val="es-MX"/>
        </w:rPr>
        <w:t xml:space="preserve">: </w:t>
      </w:r>
    </w:p>
    <w:p w14:paraId="7CD1DF60" w14:textId="712BD5BB" w:rsidR="00837BB9" w:rsidRPr="00D55480" w:rsidRDefault="00837BB9" w:rsidP="008349B1">
      <w:pPr>
        <w:pStyle w:val="ListParagraph"/>
        <w:numPr>
          <w:ilvl w:val="0"/>
          <w:numId w:val="9"/>
        </w:numPr>
        <w:autoSpaceDE w:val="0"/>
        <w:autoSpaceDN w:val="0"/>
        <w:adjustRightInd w:val="0"/>
        <w:spacing w:before="120" w:after="120"/>
        <w:ind w:left="284" w:hanging="142"/>
        <w:jc w:val="both"/>
        <w:rPr>
          <w:rFonts w:ascii="Verdana" w:hAnsi="Verdana"/>
          <w:spacing w:val="-12"/>
          <w:sz w:val="16"/>
          <w:szCs w:val="16"/>
          <w:lang w:val="es-MX"/>
        </w:rPr>
      </w:pPr>
      <w:r w:rsidRPr="00FC1D38">
        <w:rPr>
          <w:rFonts w:ascii="Verdana" w:hAnsi="Verdana" w:cstheme="minorBidi"/>
          <w:spacing w:val="-12"/>
          <w:sz w:val="16"/>
          <w:szCs w:val="16"/>
          <w:lang w:val="es-MX"/>
        </w:rPr>
        <w:t xml:space="preserve">adopte </w:t>
      </w:r>
      <w:r w:rsidRPr="000536CF">
        <w:rPr>
          <w:rFonts w:ascii="Verdana" w:hAnsi="Verdana" w:cstheme="minorBidi"/>
          <w:spacing w:val="-12"/>
          <w:sz w:val="16"/>
          <w:szCs w:val="16"/>
          <w:lang w:val="es-MX"/>
        </w:rPr>
        <w:t>las medidas</w:t>
      </w:r>
      <w:r w:rsidRPr="000536CF">
        <w:rPr>
          <w:rFonts w:ascii="Verdana" w:hAnsi="Verdana"/>
          <w:spacing w:val="-12"/>
          <w:sz w:val="16"/>
          <w:szCs w:val="16"/>
          <w:lang w:val="es-MX"/>
        </w:rPr>
        <w:t xml:space="preserve"> </w:t>
      </w:r>
      <w:r w:rsidRPr="000536CF">
        <w:rPr>
          <w:rFonts w:ascii="Verdana" w:hAnsi="Verdana" w:cstheme="minorBidi"/>
          <w:spacing w:val="-12"/>
          <w:sz w:val="16"/>
          <w:szCs w:val="16"/>
          <w:lang w:val="es-MX"/>
        </w:rPr>
        <w:t>reparadoras que sean necesaria para restablecer plenamente la</w:t>
      </w:r>
      <w:r w:rsidRPr="001C16AC">
        <w:rPr>
          <w:rFonts w:ascii="Verdana" w:hAnsi="Verdana"/>
          <w:spacing w:val="-12"/>
          <w:sz w:val="16"/>
          <w:szCs w:val="16"/>
          <w:lang w:val="es-MX"/>
        </w:rPr>
        <w:t xml:space="preserve"> </w:t>
      </w:r>
      <w:r w:rsidRPr="006001C8">
        <w:rPr>
          <w:rFonts w:ascii="Verdana" w:hAnsi="Verdana" w:cstheme="minorBidi"/>
          <w:spacing w:val="-12"/>
          <w:sz w:val="16"/>
          <w:szCs w:val="16"/>
          <w:lang w:val="es-MX"/>
        </w:rPr>
        <w:t>salud físi</w:t>
      </w:r>
      <w:r w:rsidRPr="00D55480">
        <w:rPr>
          <w:rFonts w:ascii="Verdana" w:hAnsi="Verdana" w:cstheme="minorBidi"/>
          <w:spacing w:val="-12"/>
          <w:sz w:val="16"/>
          <w:szCs w:val="16"/>
          <w:lang w:val="es-MX"/>
        </w:rPr>
        <w:t>ca y mental de las víctimas en este caso</w:t>
      </w:r>
      <w:r w:rsidRPr="00D55480">
        <w:rPr>
          <w:rFonts w:ascii="Verdana" w:hAnsi="Verdana"/>
          <w:spacing w:val="-12"/>
          <w:sz w:val="16"/>
          <w:szCs w:val="16"/>
          <w:lang w:val="es-MX"/>
        </w:rPr>
        <w:t xml:space="preserve">; </w:t>
      </w:r>
    </w:p>
    <w:p w14:paraId="3ADE4181" w14:textId="35B50C7B" w:rsidR="00837BB9" w:rsidRPr="00CE7020" w:rsidRDefault="00837BB9" w:rsidP="008349B1">
      <w:pPr>
        <w:pStyle w:val="ListParagraph"/>
        <w:numPr>
          <w:ilvl w:val="0"/>
          <w:numId w:val="9"/>
        </w:numPr>
        <w:autoSpaceDE w:val="0"/>
        <w:autoSpaceDN w:val="0"/>
        <w:adjustRightInd w:val="0"/>
        <w:spacing w:before="120" w:after="120"/>
        <w:ind w:left="284" w:hanging="142"/>
        <w:jc w:val="both"/>
        <w:rPr>
          <w:rFonts w:ascii="Verdana" w:hAnsi="Verdana"/>
          <w:spacing w:val="-12"/>
          <w:sz w:val="16"/>
          <w:szCs w:val="16"/>
          <w:lang w:val="es-MX"/>
        </w:rPr>
      </w:pPr>
      <w:r w:rsidRPr="009E7E48">
        <w:rPr>
          <w:rFonts w:ascii="Verdana" w:hAnsi="Verdana" w:cstheme="minorBidi"/>
          <w:spacing w:val="-12"/>
          <w:sz w:val="16"/>
          <w:szCs w:val="16"/>
          <w:lang w:val="es-MX"/>
        </w:rPr>
        <w:t>adopte las reformas legislativas y administrativas que</w:t>
      </w:r>
      <w:r w:rsidRPr="008B6122">
        <w:rPr>
          <w:rFonts w:ascii="Verdana" w:hAnsi="Verdana"/>
          <w:spacing w:val="-12"/>
          <w:sz w:val="16"/>
          <w:szCs w:val="16"/>
          <w:lang w:val="es-MX"/>
        </w:rPr>
        <w:t xml:space="preserve"> </w:t>
      </w:r>
      <w:r w:rsidRPr="008B6122">
        <w:rPr>
          <w:rFonts w:ascii="Verdana" w:hAnsi="Verdana" w:cstheme="minorBidi"/>
          <w:spacing w:val="-12"/>
          <w:sz w:val="16"/>
          <w:szCs w:val="16"/>
          <w:lang w:val="es-MX"/>
        </w:rPr>
        <w:t>corresponda, a fin de garantizar que en la administración</w:t>
      </w:r>
      <w:r w:rsidRPr="0012407E">
        <w:rPr>
          <w:rFonts w:ascii="Verdana" w:hAnsi="Verdana"/>
          <w:spacing w:val="-12"/>
          <w:sz w:val="16"/>
          <w:szCs w:val="16"/>
          <w:lang w:val="es-MX"/>
        </w:rPr>
        <w:t xml:space="preserve"> </w:t>
      </w:r>
      <w:r w:rsidRPr="00C7142E">
        <w:rPr>
          <w:rFonts w:ascii="Verdana" w:hAnsi="Verdana" w:cstheme="minorBidi"/>
          <w:spacing w:val="-12"/>
          <w:sz w:val="16"/>
          <w:szCs w:val="16"/>
          <w:lang w:val="es-MX"/>
        </w:rPr>
        <w:t>pública no se recurra a la figura del personal contratado, cuyos</w:t>
      </w:r>
      <w:r w:rsidRPr="00C7142E">
        <w:rPr>
          <w:rFonts w:ascii="Verdana" w:hAnsi="Verdana"/>
          <w:spacing w:val="-12"/>
          <w:sz w:val="16"/>
          <w:szCs w:val="16"/>
          <w:lang w:val="es-MX"/>
        </w:rPr>
        <w:t xml:space="preserve"> </w:t>
      </w:r>
      <w:r w:rsidRPr="0069409D">
        <w:rPr>
          <w:rFonts w:ascii="Verdana" w:hAnsi="Verdana" w:cstheme="minorBidi"/>
          <w:spacing w:val="-12"/>
          <w:sz w:val="16"/>
          <w:szCs w:val="16"/>
          <w:lang w:val="es-MX"/>
        </w:rPr>
        <w:t>contratos se renuevan sin solución de continuidad, como una</w:t>
      </w:r>
      <w:r w:rsidRPr="006C24C0">
        <w:rPr>
          <w:rFonts w:ascii="Verdana" w:hAnsi="Verdana"/>
          <w:spacing w:val="-12"/>
          <w:sz w:val="16"/>
          <w:szCs w:val="16"/>
          <w:lang w:val="es-MX"/>
        </w:rPr>
        <w:t xml:space="preserve"> </w:t>
      </w:r>
      <w:r w:rsidRPr="003100FE">
        <w:rPr>
          <w:rFonts w:ascii="Verdana" w:hAnsi="Verdana" w:cstheme="minorBidi"/>
          <w:spacing w:val="-12"/>
          <w:sz w:val="16"/>
          <w:szCs w:val="16"/>
          <w:lang w:val="es-MX"/>
        </w:rPr>
        <w:t>forma de eludir otorgarles estabilidad en sus empleos y poder</w:t>
      </w:r>
      <w:r w:rsidRPr="0003211A">
        <w:rPr>
          <w:rFonts w:ascii="Verdana" w:hAnsi="Verdana"/>
          <w:spacing w:val="-12"/>
          <w:sz w:val="16"/>
          <w:szCs w:val="16"/>
          <w:lang w:val="es-MX"/>
        </w:rPr>
        <w:t xml:space="preserve"> </w:t>
      </w:r>
      <w:r w:rsidRPr="00CE7020">
        <w:rPr>
          <w:rFonts w:ascii="Verdana" w:hAnsi="Verdana" w:cstheme="minorBidi"/>
          <w:spacing w:val="-12"/>
          <w:sz w:val="16"/>
          <w:szCs w:val="16"/>
          <w:lang w:val="es-MX"/>
        </w:rPr>
        <w:t>despedirlos arbitrariamente, incluso sin expresar motivo</w:t>
      </w:r>
      <w:r w:rsidRPr="00CE7020">
        <w:rPr>
          <w:rFonts w:ascii="Verdana" w:hAnsi="Verdana"/>
          <w:spacing w:val="-12"/>
          <w:sz w:val="16"/>
          <w:szCs w:val="16"/>
          <w:lang w:val="es-MX"/>
        </w:rPr>
        <w:t xml:space="preserve">; </w:t>
      </w:r>
    </w:p>
    <w:p w14:paraId="12B08F30" w14:textId="7DAC98FB" w:rsidR="00837BB9" w:rsidRPr="00CF3AED" w:rsidRDefault="00837BB9" w:rsidP="008349B1">
      <w:pPr>
        <w:pStyle w:val="ListParagraph"/>
        <w:numPr>
          <w:ilvl w:val="0"/>
          <w:numId w:val="9"/>
        </w:numPr>
        <w:autoSpaceDE w:val="0"/>
        <w:autoSpaceDN w:val="0"/>
        <w:adjustRightInd w:val="0"/>
        <w:spacing w:before="120" w:after="120"/>
        <w:ind w:left="284" w:hanging="142"/>
        <w:jc w:val="both"/>
        <w:rPr>
          <w:rFonts w:ascii="Verdana" w:hAnsi="Verdana"/>
          <w:spacing w:val="-12"/>
          <w:sz w:val="16"/>
          <w:szCs w:val="16"/>
          <w:lang w:val="es-MX"/>
        </w:rPr>
      </w:pPr>
      <w:r w:rsidRPr="00773F82">
        <w:rPr>
          <w:rFonts w:ascii="Verdana" w:hAnsi="Verdana" w:cstheme="minorBidi"/>
          <w:spacing w:val="-12"/>
          <w:sz w:val="16"/>
          <w:szCs w:val="16"/>
          <w:lang w:val="es-MX"/>
        </w:rPr>
        <w:t>imparta</w:t>
      </w:r>
      <w:r w:rsidRPr="00982860">
        <w:rPr>
          <w:rFonts w:ascii="Verdana" w:hAnsi="Verdana" w:cstheme="minorBidi"/>
          <w:spacing w:val="-12"/>
          <w:sz w:val="16"/>
          <w:szCs w:val="16"/>
          <w:lang w:val="es-MX"/>
        </w:rPr>
        <w:t xml:space="preserve"> cursos sobre tolerancia política y no discriminación</w:t>
      </w:r>
      <w:r w:rsidRPr="00982860">
        <w:rPr>
          <w:rFonts w:ascii="Verdana" w:hAnsi="Verdana"/>
          <w:spacing w:val="-12"/>
          <w:sz w:val="16"/>
          <w:szCs w:val="16"/>
          <w:lang w:val="es-MX"/>
        </w:rPr>
        <w:t xml:space="preserve"> </w:t>
      </w:r>
      <w:r w:rsidRPr="00290E0C">
        <w:rPr>
          <w:rFonts w:ascii="Verdana" w:hAnsi="Verdana" w:cstheme="minorBidi"/>
          <w:spacing w:val="-12"/>
          <w:sz w:val="16"/>
          <w:szCs w:val="16"/>
          <w:lang w:val="es-MX"/>
        </w:rPr>
        <w:t>entre quienes tienen cargos de dirección en la ad</w:t>
      </w:r>
      <w:r w:rsidRPr="00B252EB">
        <w:rPr>
          <w:rFonts w:ascii="Verdana" w:hAnsi="Verdana" w:cstheme="minorBidi"/>
          <w:spacing w:val="-12"/>
          <w:sz w:val="16"/>
          <w:szCs w:val="16"/>
          <w:lang w:val="es-MX"/>
        </w:rPr>
        <w:t>ministración</w:t>
      </w:r>
      <w:r w:rsidRPr="0054215F">
        <w:rPr>
          <w:rFonts w:ascii="Verdana" w:hAnsi="Verdana"/>
          <w:spacing w:val="-12"/>
          <w:sz w:val="16"/>
          <w:szCs w:val="16"/>
          <w:lang w:val="es-MX"/>
        </w:rPr>
        <w:t xml:space="preserve"> </w:t>
      </w:r>
      <w:r w:rsidRPr="00D758B5">
        <w:rPr>
          <w:rFonts w:ascii="Verdana" w:hAnsi="Verdana" w:cstheme="minorBidi"/>
          <w:spacing w:val="-12"/>
          <w:sz w:val="16"/>
          <w:szCs w:val="16"/>
          <w:lang w:val="es-MX"/>
        </w:rPr>
        <w:t>pública;</w:t>
      </w:r>
    </w:p>
    <w:p w14:paraId="7C2310E8" w14:textId="7F76F4EB" w:rsidR="00837BB9" w:rsidRPr="00CF3AED" w:rsidRDefault="00837BB9" w:rsidP="008349B1">
      <w:pPr>
        <w:pStyle w:val="ListParagraph"/>
        <w:numPr>
          <w:ilvl w:val="0"/>
          <w:numId w:val="9"/>
        </w:numPr>
        <w:autoSpaceDE w:val="0"/>
        <w:autoSpaceDN w:val="0"/>
        <w:adjustRightInd w:val="0"/>
        <w:spacing w:before="120" w:after="120"/>
        <w:ind w:left="284" w:hanging="142"/>
        <w:jc w:val="both"/>
        <w:rPr>
          <w:rFonts w:ascii="Verdana" w:hAnsi="Verdana" w:cstheme="minorBidi"/>
          <w:spacing w:val="-12"/>
          <w:sz w:val="16"/>
          <w:szCs w:val="16"/>
          <w:lang w:val="es-MX"/>
        </w:rPr>
      </w:pPr>
      <w:r w:rsidRPr="00CF3AED">
        <w:rPr>
          <w:rFonts w:ascii="Verdana" w:hAnsi="Verdana" w:cstheme="minorBidi"/>
          <w:spacing w:val="-12"/>
          <w:sz w:val="16"/>
          <w:szCs w:val="16"/>
          <w:lang w:val="es-MX"/>
        </w:rPr>
        <w:t>imparta, en todos los niveles de la educación, cursos sobre tolerancia política y no discriminación, como base esencial para el respeto de la dignidad individual;</w:t>
      </w:r>
    </w:p>
    <w:p w14:paraId="0FCB00FD" w14:textId="1776FB6C" w:rsidR="00837BB9" w:rsidRPr="00CF3AED" w:rsidRDefault="00837BB9" w:rsidP="008349B1">
      <w:pPr>
        <w:pStyle w:val="ListParagraph"/>
        <w:numPr>
          <w:ilvl w:val="0"/>
          <w:numId w:val="9"/>
        </w:numPr>
        <w:autoSpaceDE w:val="0"/>
        <w:autoSpaceDN w:val="0"/>
        <w:adjustRightInd w:val="0"/>
        <w:spacing w:before="120" w:after="120"/>
        <w:ind w:left="284" w:hanging="142"/>
        <w:jc w:val="both"/>
        <w:rPr>
          <w:rFonts w:ascii="Verdana" w:hAnsi="Verdana" w:cstheme="minorBidi"/>
          <w:spacing w:val="-12"/>
          <w:sz w:val="16"/>
          <w:szCs w:val="16"/>
          <w:lang w:val="es-MX"/>
        </w:rPr>
      </w:pPr>
      <w:r w:rsidRPr="00CF3AED">
        <w:rPr>
          <w:rFonts w:ascii="Verdana" w:hAnsi="Verdana" w:cstheme="minorBidi"/>
          <w:spacing w:val="-12"/>
          <w:sz w:val="16"/>
          <w:szCs w:val="16"/>
          <w:lang w:val="es-MX"/>
        </w:rPr>
        <w:t>realice, entre los funcionarios de mayor jerarquía de los distintos poderes públicos, cursos diseñados para subrayar la importancia de la independencia de los poderes públicos como elemento esencial de la democracia y como garantía indispensable para la plena vigencia de los derechos humanos;</w:t>
      </w:r>
    </w:p>
    <w:p w14:paraId="17485D64" w14:textId="24353876" w:rsidR="00837BB9" w:rsidRPr="00CF3AED" w:rsidRDefault="00837BB9" w:rsidP="008349B1">
      <w:pPr>
        <w:pStyle w:val="ListParagraph"/>
        <w:numPr>
          <w:ilvl w:val="0"/>
          <w:numId w:val="9"/>
        </w:numPr>
        <w:autoSpaceDE w:val="0"/>
        <w:autoSpaceDN w:val="0"/>
        <w:adjustRightInd w:val="0"/>
        <w:spacing w:before="120" w:after="120"/>
        <w:ind w:left="284" w:hanging="142"/>
        <w:jc w:val="both"/>
        <w:rPr>
          <w:rFonts w:ascii="Verdana" w:hAnsi="Verdana" w:cstheme="minorBidi"/>
          <w:spacing w:val="-12"/>
          <w:sz w:val="16"/>
          <w:szCs w:val="16"/>
          <w:lang w:val="es-MX"/>
        </w:rPr>
      </w:pPr>
      <w:r w:rsidRPr="00CF3AED">
        <w:rPr>
          <w:rFonts w:ascii="Verdana" w:hAnsi="Verdana" w:cstheme="minorBidi"/>
          <w:spacing w:val="-12"/>
          <w:sz w:val="16"/>
          <w:szCs w:val="16"/>
          <w:lang w:val="es-MX"/>
        </w:rPr>
        <w:t>adopte las medidas que sean necesarias para erradicar toda forma de discriminación y, en particular, toda forma de discriminación política en la administración pública; y</w:t>
      </w:r>
    </w:p>
    <w:p w14:paraId="4D1DD256" w14:textId="57243C96" w:rsidR="00837BB9" w:rsidRPr="00CF3AED" w:rsidRDefault="00837BB9" w:rsidP="008349B1">
      <w:pPr>
        <w:pStyle w:val="ListParagraph"/>
        <w:numPr>
          <w:ilvl w:val="0"/>
          <w:numId w:val="9"/>
        </w:numPr>
        <w:autoSpaceDE w:val="0"/>
        <w:autoSpaceDN w:val="0"/>
        <w:adjustRightInd w:val="0"/>
        <w:spacing w:before="120" w:after="120"/>
        <w:ind w:left="284" w:hanging="142"/>
        <w:jc w:val="both"/>
        <w:rPr>
          <w:rFonts w:ascii="Verdana" w:hAnsi="Verdana" w:cstheme="minorBidi"/>
          <w:spacing w:val="-12"/>
          <w:sz w:val="16"/>
          <w:szCs w:val="16"/>
          <w:lang w:val="es-MX"/>
        </w:rPr>
      </w:pPr>
      <w:r w:rsidRPr="00CF3AED">
        <w:rPr>
          <w:rFonts w:ascii="Verdana" w:hAnsi="Verdana" w:cstheme="minorBidi"/>
          <w:spacing w:val="-12"/>
          <w:sz w:val="16"/>
          <w:szCs w:val="16"/>
          <w:lang w:val="es-MX"/>
        </w:rPr>
        <w:t>la publicación de su sentencia en el diario El Nacional y en otro periódico de circulación nacional.</w:t>
      </w:r>
    </w:p>
  </w:footnote>
  <w:footnote w:id="32">
    <w:p w14:paraId="2EE68131" w14:textId="6322847B" w:rsidR="00837BB9" w:rsidRPr="00773F82" w:rsidRDefault="00837BB9" w:rsidP="008349B1">
      <w:pPr>
        <w:pStyle w:val="FootnoteText"/>
        <w:spacing w:before="120" w:after="120"/>
        <w:jc w:val="both"/>
        <w:rPr>
          <w:rFonts w:ascii="Verdana" w:hAnsi="Verdana"/>
          <w:i/>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i/>
          <w:spacing w:val="-12"/>
          <w:sz w:val="16"/>
          <w:szCs w:val="16"/>
          <w:lang w:val="es-MX"/>
        </w:rPr>
        <w:tab/>
      </w:r>
      <w:r>
        <w:rPr>
          <w:rFonts w:ascii="Verdana" w:hAnsi="Verdana"/>
          <w:i/>
          <w:spacing w:val="-12"/>
          <w:sz w:val="16"/>
          <w:szCs w:val="16"/>
          <w:lang w:val="es-MX"/>
        </w:rPr>
        <w:t>C</w:t>
      </w:r>
      <w:r w:rsidRPr="006C24C0">
        <w:rPr>
          <w:rFonts w:ascii="Verdana" w:hAnsi="Verdana"/>
          <w:i/>
          <w:spacing w:val="-12"/>
          <w:sz w:val="16"/>
          <w:szCs w:val="16"/>
          <w:lang w:val="es-MX"/>
        </w:rPr>
        <w:t>fr.</w:t>
      </w:r>
      <w:r>
        <w:rPr>
          <w:rFonts w:ascii="Verdana" w:hAnsi="Verdana"/>
          <w:i/>
          <w:spacing w:val="-12"/>
          <w:sz w:val="16"/>
          <w:szCs w:val="16"/>
          <w:lang w:val="es-MX"/>
        </w:rPr>
        <w:t>,</w:t>
      </w:r>
      <w:r w:rsidRPr="006C24C0">
        <w:rPr>
          <w:rFonts w:ascii="Verdana" w:hAnsi="Verdana"/>
          <w:i/>
          <w:spacing w:val="-12"/>
          <w:sz w:val="16"/>
          <w:szCs w:val="16"/>
          <w:lang w:val="es-MX"/>
        </w:rPr>
        <w:t xml:space="preserve"> </w:t>
      </w:r>
      <w:r>
        <w:rPr>
          <w:rFonts w:ascii="Verdana" w:hAnsi="Verdana"/>
          <w:spacing w:val="-12"/>
          <w:sz w:val="16"/>
          <w:szCs w:val="16"/>
          <w:lang w:val="es-MX"/>
        </w:rPr>
        <w:t>e</w:t>
      </w:r>
      <w:r w:rsidRPr="0069409D">
        <w:rPr>
          <w:rFonts w:ascii="Verdana" w:hAnsi="Verdana"/>
          <w:spacing w:val="-12"/>
          <w:sz w:val="16"/>
          <w:szCs w:val="16"/>
          <w:lang w:val="es-MX"/>
        </w:rPr>
        <w:t xml:space="preserve">n igual sentido, </w:t>
      </w:r>
      <w:r w:rsidRPr="006C24C0">
        <w:rPr>
          <w:rFonts w:ascii="Verdana" w:hAnsi="Verdana"/>
          <w:i/>
          <w:spacing w:val="-12"/>
          <w:sz w:val="16"/>
          <w:szCs w:val="16"/>
          <w:lang w:val="es-MX"/>
        </w:rPr>
        <w:t xml:space="preserve">Caso Acosta y otros </w:t>
      </w:r>
      <w:r w:rsidRPr="0003211A">
        <w:rPr>
          <w:rFonts w:ascii="Verdana" w:hAnsi="Verdana"/>
          <w:i/>
          <w:spacing w:val="-12"/>
          <w:sz w:val="16"/>
          <w:szCs w:val="16"/>
          <w:lang w:val="es-MX"/>
        </w:rPr>
        <w:t xml:space="preserve">Vs. </w:t>
      </w:r>
      <w:r w:rsidRPr="00CE7020">
        <w:rPr>
          <w:rFonts w:ascii="Verdana" w:hAnsi="Verdana"/>
          <w:i/>
          <w:spacing w:val="-12"/>
          <w:sz w:val="16"/>
          <w:szCs w:val="16"/>
          <w:lang w:val="es-MX"/>
        </w:rPr>
        <w:t>Nicaragua</w:t>
      </w:r>
      <w:r w:rsidRPr="00CE7020">
        <w:rPr>
          <w:rFonts w:ascii="Verdana" w:hAnsi="Verdana"/>
          <w:spacing w:val="-12"/>
          <w:sz w:val="16"/>
          <w:szCs w:val="16"/>
          <w:lang w:val="es-MX"/>
        </w:rPr>
        <w:t>,</w:t>
      </w:r>
      <w:r>
        <w:rPr>
          <w:rFonts w:ascii="Verdana" w:hAnsi="Verdana"/>
          <w:spacing w:val="-12"/>
          <w:sz w:val="16"/>
          <w:szCs w:val="16"/>
          <w:lang w:val="es-MX"/>
        </w:rPr>
        <w:t xml:space="preserve"> </w:t>
      </w:r>
      <w:r>
        <w:rPr>
          <w:rFonts w:ascii="Verdana" w:hAnsi="Verdana"/>
          <w:i/>
          <w:spacing w:val="-12"/>
          <w:sz w:val="16"/>
          <w:szCs w:val="16"/>
          <w:lang w:val="es-MX"/>
        </w:rPr>
        <w:t>supra</w:t>
      </w:r>
      <w:r>
        <w:rPr>
          <w:rFonts w:ascii="Verdana" w:hAnsi="Verdana"/>
          <w:spacing w:val="-12"/>
          <w:sz w:val="16"/>
          <w:szCs w:val="16"/>
          <w:lang w:val="es-MX"/>
        </w:rPr>
        <w:t xml:space="preserve">, párr. 31; y </w:t>
      </w:r>
      <w:r w:rsidRPr="00CE3917">
        <w:rPr>
          <w:rFonts w:ascii="Verdana" w:hAnsi="Verdana"/>
          <w:i/>
          <w:spacing w:val="-12"/>
          <w:sz w:val="16"/>
          <w:szCs w:val="16"/>
          <w:lang w:val="es-MX"/>
        </w:rPr>
        <w:t>Caso Lagos del Campo Vs. Perú. Excepciones Preliminares, Fondo, Reparaciones y Costas</w:t>
      </w:r>
      <w:r w:rsidRPr="00CE3917">
        <w:rPr>
          <w:rFonts w:ascii="Verdana" w:hAnsi="Verdana"/>
          <w:spacing w:val="-12"/>
          <w:sz w:val="16"/>
          <w:szCs w:val="16"/>
          <w:lang w:val="es-MX"/>
        </w:rPr>
        <w:t>. Sentencia de 31 de agosto de 2017. Serie C No. 340, párr. 24</w:t>
      </w:r>
      <w:r>
        <w:rPr>
          <w:rFonts w:ascii="Verdana" w:hAnsi="Verdana"/>
          <w:spacing w:val="-12"/>
          <w:sz w:val="16"/>
          <w:szCs w:val="16"/>
          <w:lang w:val="es-MX"/>
        </w:rPr>
        <w:t>.</w:t>
      </w:r>
    </w:p>
  </w:footnote>
  <w:footnote w:id="33">
    <w:p w14:paraId="5AF99994" w14:textId="26FFD975" w:rsidR="00837BB9" w:rsidRPr="00773F82" w:rsidRDefault="00837BB9" w:rsidP="008349B1">
      <w:pPr>
        <w:pStyle w:val="FootnoteText"/>
        <w:spacing w:before="120" w:after="120"/>
        <w:jc w:val="both"/>
        <w:rPr>
          <w:rFonts w:ascii="Verdana" w:hAnsi="Verdana"/>
          <w:spacing w:val="-12"/>
          <w:sz w:val="16"/>
          <w:szCs w:val="16"/>
        </w:rPr>
      </w:pPr>
      <w:r w:rsidRPr="00C7142E">
        <w:rPr>
          <w:rStyle w:val="FootnoteReference"/>
          <w:rFonts w:ascii="Verdana" w:hAnsi="Verdana"/>
          <w:spacing w:val="-12"/>
          <w:sz w:val="16"/>
          <w:szCs w:val="16"/>
          <w:lang w:val="es-CR"/>
        </w:rPr>
        <w:footnoteRef/>
      </w:r>
      <w:r w:rsidRPr="00C7142E">
        <w:rPr>
          <w:rFonts w:ascii="Verdana" w:hAnsi="Verdana"/>
          <w:spacing w:val="-12"/>
          <w:sz w:val="16"/>
          <w:szCs w:val="16"/>
        </w:rPr>
        <w:t xml:space="preserve"> </w:t>
      </w:r>
      <w:r w:rsidRPr="00C7142E">
        <w:rPr>
          <w:rFonts w:ascii="Verdana" w:hAnsi="Verdana"/>
          <w:bCs/>
          <w:i/>
          <w:color w:val="000000"/>
          <w:spacing w:val="-12"/>
          <w:sz w:val="16"/>
          <w:szCs w:val="16"/>
          <w:lang w:val="es-MX"/>
        </w:rPr>
        <w:tab/>
        <w:t xml:space="preserve">Cfr. Caso Cinco Pensionistas Vs. Perú, supra, </w:t>
      </w:r>
      <w:r w:rsidRPr="0069409D">
        <w:rPr>
          <w:rFonts w:ascii="Verdana" w:hAnsi="Verdana"/>
          <w:bCs/>
          <w:color w:val="000000"/>
          <w:spacing w:val="-12"/>
          <w:sz w:val="16"/>
          <w:szCs w:val="16"/>
          <w:lang w:val="es-MX"/>
        </w:rPr>
        <w:t>párr. 155, y</w:t>
      </w:r>
      <w:r w:rsidRPr="0069409D">
        <w:rPr>
          <w:rFonts w:ascii="Verdana" w:hAnsi="Verdana"/>
          <w:bCs/>
          <w:i/>
          <w:color w:val="000000"/>
          <w:spacing w:val="-12"/>
          <w:sz w:val="16"/>
          <w:szCs w:val="16"/>
          <w:lang w:val="es-MX"/>
        </w:rPr>
        <w:t xml:space="preserve"> Caso I.V. </w:t>
      </w:r>
      <w:r w:rsidRPr="003100FE">
        <w:rPr>
          <w:rFonts w:ascii="Verdana" w:hAnsi="Verdana"/>
          <w:bCs/>
          <w:i/>
          <w:color w:val="000000"/>
          <w:spacing w:val="-12"/>
          <w:sz w:val="16"/>
          <w:szCs w:val="16"/>
          <w:lang w:val="es-MX"/>
        </w:rPr>
        <w:t>Vs.</w:t>
      </w:r>
      <w:r>
        <w:rPr>
          <w:rFonts w:ascii="Verdana" w:hAnsi="Verdana"/>
          <w:bCs/>
          <w:i/>
          <w:color w:val="000000"/>
          <w:spacing w:val="-12"/>
          <w:sz w:val="16"/>
          <w:szCs w:val="16"/>
          <w:lang w:val="es-MX"/>
        </w:rPr>
        <w:t xml:space="preserve"> Bolivia</w:t>
      </w:r>
      <w:r w:rsidRPr="00C94950">
        <w:rPr>
          <w:rFonts w:ascii="Verdana" w:hAnsi="Verdana"/>
          <w:bCs/>
          <w:color w:val="000000"/>
          <w:spacing w:val="-12"/>
          <w:sz w:val="16"/>
          <w:szCs w:val="16"/>
          <w:lang w:val="es-MX"/>
        </w:rPr>
        <w:t xml:space="preserve">. </w:t>
      </w:r>
      <w:r w:rsidRPr="00C94950">
        <w:rPr>
          <w:rFonts w:ascii="Verdana" w:hAnsi="Verdana"/>
          <w:bCs/>
          <w:i/>
          <w:color w:val="000000"/>
          <w:spacing w:val="-12"/>
          <w:sz w:val="16"/>
          <w:szCs w:val="16"/>
          <w:lang w:val="es-MX"/>
        </w:rPr>
        <w:t>Excepciones Preliminares, Fondo, Reparaciones y Costas</w:t>
      </w:r>
      <w:r w:rsidRPr="00C94950">
        <w:rPr>
          <w:rFonts w:ascii="Verdana" w:hAnsi="Verdana"/>
          <w:bCs/>
          <w:color w:val="000000"/>
          <w:spacing w:val="-12"/>
          <w:sz w:val="16"/>
          <w:szCs w:val="16"/>
          <w:lang w:val="es-MX"/>
        </w:rPr>
        <w:t xml:space="preserve">. Sentencia de 30 de noviembre de 2016. Serie C No. 329, </w:t>
      </w:r>
      <w:r w:rsidRPr="00CE7020">
        <w:rPr>
          <w:rFonts w:ascii="Verdana" w:hAnsi="Verdana"/>
          <w:bCs/>
          <w:color w:val="000000"/>
          <w:spacing w:val="-12"/>
          <w:sz w:val="16"/>
          <w:szCs w:val="16"/>
          <w:lang w:val="es-MX"/>
        </w:rPr>
        <w:t>párr. 48.</w:t>
      </w:r>
    </w:p>
  </w:footnote>
  <w:footnote w:id="34">
    <w:p w14:paraId="3485BA81" w14:textId="07CD9B56"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MX"/>
        </w:rPr>
        <w:t xml:space="preserve">Cfr. </w:t>
      </w:r>
      <w:r w:rsidRPr="0069409D">
        <w:rPr>
          <w:rFonts w:ascii="Verdana" w:hAnsi="Verdana"/>
          <w:bCs/>
          <w:i/>
          <w:color w:val="000000"/>
          <w:spacing w:val="-12"/>
          <w:sz w:val="16"/>
          <w:szCs w:val="16"/>
          <w:lang w:val="es-MX"/>
        </w:rPr>
        <w:t xml:space="preserve">Caso </w:t>
      </w:r>
      <w:proofErr w:type="spellStart"/>
      <w:r w:rsidRPr="0069409D">
        <w:rPr>
          <w:rFonts w:ascii="Verdana" w:hAnsi="Verdana"/>
          <w:bCs/>
          <w:i/>
          <w:color w:val="000000"/>
          <w:spacing w:val="-12"/>
          <w:sz w:val="16"/>
          <w:szCs w:val="16"/>
          <w:lang w:val="es-MX"/>
        </w:rPr>
        <w:t>Yvon</w:t>
      </w:r>
      <w:proofErr w:type="spellEnd"/>
      <w:r w:rsidRPr="0069409D">
        <w:rPr>
          <w:rFonts w:ascii="Verdana" w:hAnsi="Verdana"/>
          <w:bCs/>
          <w:i/>
          <w:color w:val="000000"/>
          <w:spacing w:val="-12"/>
          <w:sz w:val="16"/>
          <w:szCs w:val="16"/>
          <w:lang w:val="es-MX"/>
        </w:rPr>
        <w:t xml:space="preserve"> </w:t>
      </w:r>
      <w:proofErr w:type="spellStart"/>
      <w:r w:rsidRPr="0069409D">
        <w:rPr>
          <w:rFonts w:ascii="Verdana" w:hAnsi="Verdana"/>
          <w:bCs/>
          <w:i/>
          <w:color w:val="000000"/>
          <w:spacing w:val="-12"/>
          <w:sz w:val="16"/>
          <w:szCs w:val="16"/>
          <w:lang w:val="es-MX"/>
        </w:rPr>
        <w:t>Neptune</w:t>
      </w:r>
      <w:proofErr w:type="spellEnd"/>
      <w:r w:rsidRPr="0069409D">
        <w:rPr>
          <w:rFonts w:ascii="Verdana" w:hAnsi="Verdana"/>
          <w:bCs/>
          <w:i/>
          <w:color w:val="000000"/>
          <w:spacing w:val="-12"/>
          <w:sz w:val="16"/>
          <w:szCs w:val="16"/>
          <w:lang w:val="es-MX"/>
        </w:rPr>
        <w:t xml:space="preserve"> </w:t>
      </w:r>
      <w:r w:rsidRPr="003100FE">
        <w:rPr>
          <w:rFonts w:ascii="Verdana" w:hAnsi="Verdana"/>
          <w:bCs/>
          <w:i/>
          <w:color w:val="000000"/>
          <w:spacing w:val="-12"/>
          <w:sz w:val="16"/>
          <w:szCs w:val="16"/>
          <w:lang w:val="es-MX"/>
        </w:rPr>
        <w:t>V</w:t>
      </w:r>
      <w:r w:rsidRPr="0003211A">
        <w:rPr>
          <w:rFonts w:ascii="Verdana" w:hAnsi="Verdana"/>
          <w:bCs/>
          <w:i/>
          <w:color w:val="000000"/>
          <w:spacing w:val="-12"/>
          <w:sz w:val="16"/>
          <w:szCs w:val="16"/>
          <w:lang w:val="es-MX"/>
        </w:rPr>
        <w:t>s</w:t>
      </w:r>
      <w:r w:rsidRPr="00CE7020">
        <w:rPr>
          <w:rFonts w:ascii="Verdana" w:hAnsi="Verdana"/>
          <w:bCs/>
          <w:i/>
          <w:color w:val="000000"/>
          <w:spacing w:val="-12"/>
          <w:sz w:val="16"/>
          <w:szCs w:val="16"/>
          <w:lang w:val="es-MX"/>
        </w:rPr>
        <w:t xml:space="preserve">. Haití. </w:t>
      </w:r>
      <w:r w:rsidRPr="004875FA">
        <w:rPr>
          <w:rFonts w:ascii="Verdana" w:hAnsi="Verdana"/>
          <w:bCs/>
          <w:i/>
          <w:color w:val="000000"/>
          <w:spacing w:val="-12"/>
          <w:sz w:val="16"/>
          <w:szCs w:val="16"/>
          <w:lang w:val="es-CR"/>
        </w:rPr>
        <w:t>Fondo, Reparaciones y Costas</w:t>
      </w:r>
      <w:r w:rsidRPr="00773F82">
        <w:rPr>
          <w:rFonts w:ascii="Verdana" w:hAnsi="Verdana"/>
          <w:bCs/>
          <w:color w:val="000000"/>
          <w:spacing w:val="-12"/>
          <w:sz w:val="16"/>
          <w:szCs w:val="16"/>
          <w:lang w:val="es-CR"/>
        </w:rPr>
        <w:t>.</w:t>
      </w:r>
      <w:r w:rsidRPr="00982860">
        <w:rPr>
          <w:rFonts w:ascii="Verdana" w:hAnsi="Verdana"/>
          <w:bCs/>
          <w:i/>
          <w:color w:val="000000"/>
          <w:spacing w:val="-12"/>
          <w:sz w:val="16"/>
          <w:szCs w:val="16"/>
          <w:lang w:val="es-CR"/>
        </w:rPr>
        <w:t xml:space="preserve"> </w:t>
      </w:r>
      <w:r w:rsidRPr="00982860">
        <w:rPr>
          <w:rFonts w:ascii="Verdana" w:hAnsi="Verdana"/>
          <w:bCs/>
          <w:color w:val="000000"/>
          <w:spacing w:val="-12"/>
          <w:sz w:val="16"/>
          <w:szCs w:val="16"/>
          <w:lang w:val="es-CR"/>
        </w:rPr>
        <w:t>Sentencia de 6 de mayo de 2008. Serie C No. 180</w:t>
      </w:r>
      <w:r w:rsidRPr="00982860">
        <w:rPr>
          <w:rFonts w:ascii="Verdana" w:hAnsi="Verdana"/>
          <w:bCs/>
          <w:i/>
          <w:color w:val="000000"/>
          <w:spacing w:val="-12"/>
          <w:sz w:val="16"/>
          <w:szCs w:val="16"/>
          <w:lang w:val="es-MX"/>
        </w:rPr>
        <w:t xml:space="preserve">, </w:t>
      </w:r>
      <w:r w:rsidRPr="00982860">
        <w:rPr>
          <w:rFonts w:ascii="Verdana" w:hAnsi="Verdana"/>
          <w:bCs/>
          <w:color w:val="000000"/>
          <w:spacing w:val="-12"/>
          <w:sz w:val="16"/>
          <w:szCs w:val="16"/>
          <w:lang w:val="es-MX"/>
        </w:rPr>
        <w:t>párr. 18. Ver también</w:t>
      </w:r>
      <w:r w:rsidRPr="00290E0C">
        <w:rPr>
          <w:rFonts w:ascii="Verdana" w:hAnsi="Verdana"/>
          <w:i/>
          <w:spacing w:val="-12"/>
          <w:sz w:val="16"/>
          <w:szCs w:val="16"/>
          <w:lang w:val="es-MX"/>
        </w:rPr>
        <w:t xml:space="preserve"> </w:t>
      </w:r>
      <w:r w:rsidRPr="00B252EB">
        <w:rPr>
          <w:rFonts w:ascii="Verdana" w:hAnsi="Verdana"/>
          <w:bCs/>
          <w:i/>
          <w:color w:val="000000"/>
          <w:spacing w:val="-12"/>
          <w:sz w:val="16"/>
          <w:szCs w:val="16"/>
          <w:lang w:val="es-MX"/>
        </w:rPr>
        <w:t xml:space="preserve">Caso </w:t>
      </w:r>
      <w:proofErr w:type="spellStart"/>
      <w:r w:rsidRPr="00B252EB">
        <w:rPr>
          <w:rFonts w:ascii="Verdana" w:hAnsi="Verdana"/>
          <w:bCs/>
          <w:i/>
          <w:color w:val="000000"/>
          <w:spacing w:val="-12"/>
          <w:sz w:val="16"/>
          <w:szCs w:val="16"/>
          <w:lang w:val="es-MX"/>
        </w:rPr>
        <w:t>Nadege</w:t>
      </w:r>
      <w:proofErr w:type="spellEnd"/>
      <w:r w:rsidRPr="00B252EB">
        <w:rPr>
          <w:rFonts w:ascii="Verdana" w:hAnsi="Verdana"/>
          <w:bCs/>
          <w:i/>
          <w:color w:val="000000"/>
          <w:spacing w:val="-12"/>
          <w:sz w:val="16"/>
          <w:szCs w:val="16"/>
          <w:lang w:val="es-MX"/>
        </w:rPr>
        <w:t xml:space="preserve"> </w:t>
      </w:r>
      <w:proofErr w:type="spellStart"/>
      <w:r w:rsidRPr="00B252EB">
        <w:rPr>
          <w:rFonts w:ascii="Verdana" w:hAnsi="Verdana"/>
          <w:bCs/>
          <w:i/>
          <w:color w:val="000000"/>
          <w:spacing w:val="-12"/>
          <w:sz w:val="16"/>
          <w:szCs w:val="16"/>
          <w:lang w:val="es-MX"/>
        </w:rPr>
        <w:t>Dorzema</w:t>
      </w:r>
      <w:proofErr w:type="spellEnd"/>
      <w:r w:rsidRPr="00B252EB">
        <w:rPr>
          <w:rFonts w:ascii="Verdana" w:hAnsi="Verdana"/>
          <w:bCs/>
          <w:i/>
          <w:color w:val="000000"/>
          <w:spacing w:val="-12"/>
          <w:sz w:val="16"/>
          <w:szCs w:val="16"/>
          <w:lang w:val="es-MX"/>
        </w:rPr>
        <w:t xml:space="preserve"> y otros Vs. República Dominicana</w:t>
      </w:r>
      <w:r w:rsidRPr="00CF3AED">
        <w:rPr>
          <w:rFonts w:ascii="Verdana" w:hAnsi="Verdana"/>
          <w:color w:val="000000"/>
          <w:spacing w:val="-12"/>
          <w:sz w:val="16"/>
          <w:szCs w:val="16"/>
          <w:lang w:val="es-MX"/>
        </w:rPr>
        <w:t xml:space="preserve"> </w:t>
      </w:r>
      <w:r w:rsidRPr="00CF3AED">
        <w:rPr>
          <w:rFonts w:ascii="Verdana" w:hAnsi="Verdana"/>
          <w:bCs/>
          <w:i/>
          <w:color w:val="000000"/>
          <w:spacing w:val="-12"/>
          <w:sz w:val="16"/>
          <w:szCs w:val="16"/>
          <w:lang w:val="es-MX"/>
        </w:rPr>
        <w:t>supra</w:t>
      </w:r>
      <w:r w:rsidRPr="00CF3AED">
        <w:rPr>
          <w:rFonts w:ascii="Verdana" w:hAnsi="Verdana"/>
          <w:color w:val="000000"/>
          <w:spacing w:val="-12"/>
          <w:sz w:val="16"/>
          <w:szCs w:val="16"/>
          <w:lang w:val="es-MX"/>
        </w:rPr>
        <w:t xml:space="preserve">, </w:t>
      </w:r>
      <w:proofErr w:type="spellStart"/>
      <w:r w:rsidRPr="00CF3AED">
        <w:rPr>
          <w:rFonts w:ascii="Verdana" w:hAnsi="Verdana"/>
          <w:spacing w:val="-12"/>
          <w:sz w:val="16"/>
          <w:szCs w:val="16"/>
          <w:lang w:val="es-MX"/>
        </w:rPr>
        <w:t>párrs</w:t>
      </w:r>
      <w:proofErr w:type="spellEnd"/>
      <w:r w:rsidRPr="00CF3AED">
        <w:rPr>
          <w:rFonts w:ascii="Verdana" w:hAnsi="Verdana"/>
          <w:spacing w:val="-12"/>
          <w:sz w:val="16"/>
          <w:szCs w:val="16"/>
          <w:lang w:val="es-MX"/>
        </w:rPr>
        <w:t xml:space="preserve">. 19 y 22; y </w:t>
      </w:r>
      <w:r w:rsidRPr="00CF3AED">
        <w:rPr>
          <w:rFonts w:ascii="Verdana" w:hAnsi="Verdana"/>
          <w:i/>
          <w:spacing w:val="-12"/>
          <w:sz w:val="16"/>
          <w:szCs w:val="16"/>
          <w:lang w:val="es-MX"/>
        </w:rPr>
        <w:t>Caso Pollo Rivera y otros Vs. Perú</w:t>
      </w:r>
      <w:r w:rsidRPr="00CF3AED">
        <w:rPr>
          <w:rFonts w:ascii="Verdana" w:hAnsi="Verdana"/>
          <w:spacing w:val="-12"/>
          <w:sz w:val="16"/>
          <w:szCs w:val="16"/>
          <w:lang w:val="es-MX"/>
        </w:rPr>
        <w:t xml:space="preserve">, </w:t>
      </w:r>
      <w:r w:rsidRPr="00CF3AED">
        <w:rPr>
          <w:rFonts w:ascii="Verdana" w:hAnsi="Verdana"/>
          <w:i/>
          <w:spacing w:val="-12"/>
          <w:sz w:val="16"/>
          <w:szCs w:val="16"/>
          <w:lang w:val="es-MX"/>
        </w:rPr>
        <w:t>supra,</w:t>
      </w:r>
      <w:r w:rsidRPr="00CF3AED">
        <w:rPr>
          <w:rFonts w:ascii="Verdana" w:hAnsi="Verdana"/>
          <w:spacing w:val="-12"/>
          <w:sz w:val="16"/>
          <w:szCs w:val="16"/>
          <w:lang w:val="es-MX"/>
        </w:rPr>
        <w:t xml:space="preserve"> párr. 23.</w:t>
      </w:r>
    </w:p>
  </w:footnote>
  <w:footnote w:id="35">
    <w:p w14:paraId="75BEFBF2" w14:textId="75CCF0E1" w:rsidR="00837BB9" w:rsidRPr="00982860"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MX"/>
        </w:rPr>
        <w:t>Cfr.</w:t>
      </w:r>
      <w:r>
        <w:rPr>
          <w:rFonts w:ascii="Verdana" w:hAnsi="Verdana"/>
          <w:spacing w:val="-12"/>
          <w:sz w:val="16"/>
          <w:szCs w:val="16"/>
          <w:lang w:val="es-MX"/>
        </w:rPr>
        <w:t>, en igual sentido,</w:t>
      </w:r>
      <w:r w:rsidRPr="0069409D">
        <w:rPr>
          <w:rFonts w:ascii="Verdana" w:hAnsi="Verdana"/>
          <w:i/>
          <w:spacing w:val="-12"/>
          <w:sz w:val="16"/>
          <w:szCs w:val="16"/>
          <w:lang w:val="es-MX"/>
        </w:rPr>
        <w:t xml:space="preserve"> Caso Pollo Rivera y otros </w:t>
      </w:r>
      <w:r w:rsidRPr="006C24C0">
        <w:rPr>
          <w:rFonts w:ascii="Verdana" w:hAnsi="Verdana"/>
          <w:i/>
          <w:spacing w:val="-12"/>
          <w:sz w:val="16"/>
          <w:szCs w:val="16"/>
          <w:lang w:val="es-MX"/>
        </w:rPr>
        <w:t>V</w:t>
      </w:r>
      <w:r w:rsidRPr="003100FE">
        <w:rPr>
          <w:rFonts w:ascii="Verdana" w:hAnsi="Verdana"/>
          <w:i/>
          <w:spacing w:val="-12"/>
          <w:sz w:val="16"/>
          <w:szCs w:val="16"/>
          <w:lang w:val="es-MX"/>
        </w:rPr>
        <w:t>s</w:t>
      </w:r>
      <w:r w:rsidRPr="0003211A">
        <w:rPr>
          <w:rFonts w:ascii="Verdana" w:hAnsi="Verdana"/>
          <w:i/>
          <w:spacing w:val="-12"/>
          <w:sz w:val="16"/>
          <w:szCs w:val="16"/>
          <w:lang w:val="es-MX"/>
        </w:rPr>
        <w:t>. Perú</w:t>
      </w:r>
      <w:r w:rsidRPr="00CE7020">
        <w:rPr>
          <w:rFonts w:ascii="Verdana" w:hAnsi="Verdana"/>
          <w:spacing w:val="-12"/>
          <w:sz w:val="16"/>
          <w:szCs w:val="16"/>
          <w:lang w:val="es-MX"/>
        </w:rPr>
        <w:t xml:space="preserve">, </w:t>
      </w:r>
      <w:r w:rsidRPr="00773F82">
        <w:rPr>
          <w:rFonts w:ascii="Verdana" w:hAnsi="Verdana"/>
          <w:i/>
          <w:spacing w:val="-12"/>
          <w:sz w:val="16"/>
          <w:szCs w:val="16"/>
          <w:lang w:val="es-MX"/>
        </w:rPr>
        <w:t>supra</w:t>
      </w:r>
      <w:r>
        <w:rPr>
          <w:rFonts w:ascii="Verdana" w:hAnsi="Verdana"/>
          <w:spacing w:val="-12"/>
          <w:sz w:val="16"/>
          <w:szCs w:val="16"/>
          <w:lang w:val="es-MX"/>
        </w:rPr>
        <w:t xml:space="preserve">, </w:t>
      </w:r>
      <w:proofErr w:type="spellStart"/>
      <w:r>
        <w:rPr>
          <w:rFonts w:ascii="Verdana" w:hAnsi="Verdana"/>
          <w:spacing w:val="-12"/>
          <w:sz w:val="16"/>
          <w:szCs w:val="16"/>
          <w:lang w:val="es-MX"/>
        </w:rPr>
        <w:t>párrs</w:t>
      </w:r>
      <w:proofErr w:type="spellEnd"/>
      <w:r>
        <w:rPr>
          <w:rFonts w:ascii="Verdana" w:hAnsi="Verdana"/>
          <w:spacing w:val="-12"/>
          <w:sz w:val="16"/>
          <w:szCs w:val="16"/>
          <w:lang w:val="es-MX"/>
        </w:rPr>
        <w:t xml:space="preserve">. 24 y 25; y </w:t>
      </w:r>
      <w:r w:rsidRPr="00C94950">
        <w:rPr>
          <w:rFonts w:ascii="Verdana" w:hAnsi="Verdana"/>
          <w:i/>
          <w:spacing w:val="-12"/>
          <w:sz w:val="16"/>
          <w:szCs w:val="16"/>
          <w:lang w:val="es-MX"/>
        </w:rPr>
        <w:t>Caso Trabajadores Cesados de Petroperú y otros Vs. Perú, supra</w:t>
      </w:r>
      <w:r w:rsidRPr="00C94950">
        <w:rPr>
          <w:rFonts w:ascii="Verdana" w:hAnsi="Verdana"/>
          <w:spacing w:val="-12"/>
          <w:sz w:val="16"/>
          <w:szCs w:val="16"/>
          <w:lang w:val="es-MX"/>
        </w:rPr>
        <w:t>, párr.</w:t>
      </w:r>
      <w:r>
        <w:rPr>
          <w:rFonts w:ascii="Verdana" w:hAnsi="Verdana"/>
          <w:spacing w:val="-12"/>
          <w:sz w:val="16"/>
          <w:szCs w:val="16"/>
          <w:lang w:val="es-MX"/>
        </w:rPr>
        <w:t xml:space="preserve"> 71. </w:t>
      </w:r>
    </w:p>
  </w:footnote>
  <w:footnote w:id="36">
    <w:p w14:paraId="1C76B870" w14:textId="5AA59DB4" w:rsidR="00837BB9" w:rsidRPr="00982860" w:rsidRDefault="00837BB9" w:rsidP="008349B1">
      <w:pPr>
        <w:pStyle w:val="FootnoteText"/>
        <w:spacing w:before="120" w:after="120"/>
        <w:jc w:val="both"/>
        <w:rPr>
          <w:rFonts w:ascii="Verdana" w:hAnsi="Verdana"/>
          <w:i/>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bCs/>
          <w:spacing w:val="-12"/>
          <w:sz w:val="16"/>
          <w:szCs w:val="16"/>
          <w:lang w:val="es-MX"/>
        </w:rPr>
        <w:t xml:space="preserve">La Comisión remitió los dictámenes de los peritos José Luis Caballero Ochoa y </w:t>
      </w:r>
      <w:proofErr w:type="spellStart"/>
      <w:r w:rsidRPr="0069409D">
        <w:rPr>
          <w:rFonts w:ascii="Verdana" w:hAnsi="Verdana"/>
          <w:bCs/>
          <w:spacing w:val="-12"/>
          <w:sz w:val="16"/>
          <w:szCs w:val="16"/>
          <w:lang w:val="es-MX"/>
        </w:rPr>
        <w:t>Dirk</w:t>
      </w:r>
      <w:proofErr w:type="spellEnd"/>
      <w:r w:rsidRPr="0069409D">
        <w:rPr>
          <w:rFonts w:ascii="Verdana" w:hAnsi="Verdana"/>
          <w:bCs/>
          <w:spacing w:val="-12"/>
          <w:sz w:val="16"/>
          <w:szCs w:val="16"/>
          <w:lang w:val="es-MX"/>
        </w:rPr>
        <w:t xml:space="preserve"> </w:t>
      </w:r>
      <w:proofErr w:type="spellStart"/>
      <w:r w:rsidRPr="0069409D">
        <w:rPr>
          <w:rFonts w:ascii="Verdana" w:hAnsi="Verdana"/>
          <w:bCs/>
          <w:spacing w:val="-12"/>
          <w:sz w:val="16"/>
          <w:szCs w:val="16"/>
          <w:lang w:val="es-MX"/>
        </w:rPr>
        <w:t>Voorhoof</w:t>
      </w:r>
      <w:proofErr w:type="spellEnd"/>
      <w:r w:rsidRPr="0069409D">
        <w:rPr>
          <w:rFonts w:ascii="Verdana" w:hAnsi="Verdana"/>
          <w:bCs/>
          <w:spacing w:val="-12"/>
          <w:sz w:val="16"/>
          <w:szCs w:val="16"/>
          <w:lang w:val="es-MX"/>
        </w:rPr>
        <w:t xml:space="preserve">; el Estado remitió el dictamen del señor Néstor Castellano; y el representante remitió las declaraciones de las presuntas víctimas Thais Coromoto Peña y </w:t>
      </w:r>
      <w:proofErr w:type="spellStart"/>
      <w:r w:rsidRPr="0069409D">
        <w:rPr>
          <w:rFonts w:ascii="Verdana" w:hAnsi="Verdana"/>
          <w:bCs/>
          <w:spacing w:val="-12"/>
          <w:sz w:val="16"/>
          <w:szCs w:val="16"/>
          <w:lang w:val="es-MX"/>
        </w:rPr>
        <w:t>Maga</w:t>
      </w:r>
      <w:r>
        <w:rPr>
          <w:rFonts w:ascii="Verdana" w:hAnsi="Verdana"/>
          <w:bCs/>
          <w:spacing w:val="-12"/>
          <w:sz w:val="16"/>
          <w:szCs w:val="16"/>
          <w:lang w:val="es-MX"/>
        </w:rPr>
        <w:t>l</w:t>
      </w:r>
      <w:r w:rsidRPr="0069409D">
        <w:rPr>
          <w:rFonts w:ascii="Verdana" w:hAnsi="Verdana"/>
          <w:bCs/>
          <w:spacing w:val="-12"/>
          <w:sz w:val="16"/>
          <w:szCs w:val="16"/>
          <w:lang w:val="es-MX"/>
        </w:rPr>
        <w:t>ly</w:t>
      </w:r>
      <w:proofErr w:type="spellEnd"/>
      <w:r w:rsidRPr="0069409D">
        <w:rPr>
          <w:rFonts w:ascii="Verdana" w:hAnsi="Verdana"/>
          <w:bCs/>
          <w:spacing w:val="-12"/>
          <w:sz w:val="16"/>
          <w:szCs w:val="16"/>
          <w:lang w:val="es-MX"/>
        </w:rPr>
        <w:t xml:space="preserve"> Chang Girón, de los test</w:t>
      </w:r>
      <w:r w:rsidRPr="006C24C0">
        <w:rPr>
          <w:rFonts w:ascii="Verdana" w:hAnsi="Verdana"/>
          <w:bCs/>
          <w:spacing w:val="-12"/>
          <w:sz w:val="16"/>
          <w:szCs w:val="16"/>
          <w:lang w:val="es-MX"/>
        </w:rPr>
        <w:t xml:space="preserve">igos </w:t>
      </w:r>
      <w:r>
        <w:rPr>
          <w:rFonts w:ascii="Verdana" w:hAnsi="Verdana"/>
          <w:bCs/>
          <w:spacing w:val="-12"/>
          <w:sz w:val="16"/>
          <w:szCs w:val="16"/>
          <w:lang w:val="es-MX"/>
        </w:rPr>
        <w:t xml:space="preserve">Ricardo </w:t>
      </w:r>
      <w:proofErr w:type="spellStart"/>
      <w:r>
        <w:rPr>
          <w:rFonts w:ascii="Verdana" w:hAnsi="Verdana"/>
          <w:bCs/>
          <w:spacing w:val="-12"/>
          <w:sz w:val="16"/>
          <w:szCs w:val="16"/>
          <w:lang w:val="es-MX"/>
        </w:rPr>
        <w:t>Ludwing</w:t>
      </w:r>
      <w:proofErr w:type="spellEnd"/>
      <w:r>
        <w:rPr>
          <w:rFonts w:ascii="Verdana" w:hAnsi="Verdana"/>
          <w:bCs/>
          <w:spacing w:val="-12"/>
          <w:sz w:val="16"/>
          <w:szCs w:val="16"/>
          <w:lang w:val="es-MX"/>
        </w:rPr>
        <w:t xml:space="preserve"> Estévez Mazza, </w:t>
      </w:r>
      <w:r w:rsidRPr="006C24C0">
        <w:rPr>
          <w:rFonts w:ascii="Verdana" w:hAnsi="Verdana"/>
          <w:bCs/>
          <w:spacing w:val="-12"/>
          <w:sz w:val="16"/>
          <w:szCs w:val="16"/>
          <w:lang w:val="es-MX"/>
        </w:rPr>
        <w:t>Roberto Abdul-</w:t>
      </w:r>
      <w:proofErr w:type="spellStart"/>
      <w:r w:rsidRPr="006C24C0">
        <w:rPr>
          <w:rFonts w:ascii="Verdana" w:hAnsi="Verdana"/>
          <w:bCs/>
          <w:spacing w:val="-12"/>
          <w:sz w:val="16"/>
          <w:szCs w:val="16"/>
          <w:lang w:val="es-MX"/>
        </w:rPr>
        <w:t>Hadi</w:t>
      </w:r>
      <w:proofErr w:type="spellEnd"/>
      <w:r w:rsidRPr="006C24C0">
        <w:rPr>
          <w:rFonts w:ascii="Verdana" w:hAnsi="Verdana"/>
          <w:bCs/>
          <w:spacing w:val="-12"/>
          <w:sz w:val="16"/>
          <w:szCs w:val="16"/>
          <w:lang w:val="es-MX"/>
        </w:rPr>
        <w:t xml:space="preserve"> Casanova, María Gabriela Cuevas García, Marino Alvarado Betancourt, José Ángel Guerra, Froilán Alejandro Barrios Nieves, María Vicenta </w:t>
      </w:r>
      <w:proofErr w:type="spellStart"/>
      <w:r w:rsidRPr="006C24C0">
        <w:rPr>
          <w:rFonts w:ascii="Verdana" w:hAnsi="Verdana"/>
          <w:bCs/>
          <w:spacing w:val="-12"/>
          <w:sz w:val="16"/>
          <w:szCs w:val="16"/>
          <w:lang w:val="es-MX"/>
        </w:rPr>
        <w:t>Verdeal</w:t>
      </w:r>
      <w:proofErr w:type="spellEnd"/>
      <w:r w:rsidRPr="006C24C0">
        <w:rPr>
          <w:rFonts w:ascii="Verdana" w:hAnsi="Verdana"/>
          <w:bCs/>
          <w:spacing w:val="-12"/>
          <w:sz w:val="16"/>
          <w:szCs w:val="16"/>
          <w:lang w:val="es-MX"/>
        </w:rPr>
        <w:t xml:space="preserve"> Durán, Roberto Antonio Picón Herrera, Vicente Carmelo Bel</w:t>
      </w:r>
      <w:r w:rsidRPr="003100FE">
        <w:rPr>
          <w:rFonts w:ascii="Verdana" w:hAnsi="Verdana"/>
          <w:bCs/>
          <w:spacing w:val="-12"/>
          <w:sz w:val="16"/>
          <w:szCs w:val="16"/>
          <w:lang w:val="es-MX"/>
        </w:rPr>
        <w:t xml:space="preserve">lo Ríos, María Alejandra Marrero de </w:t>
      </w:r>
      <w:proofErr w:type="spellStart"/>
      <w:r w:rsidRPr="003100FE">
        <w:rPr>
          <w:rFonts w:ascii="Verdana" w:hAnsi="Verdana"/>
          <w:bCs/>
          <w:spacing w:val="-12"/>
          <w:sz w:val="16"/>
          <w:szCs w:val="16"/>
          <w:lang w:val="es-MX"/>
        </w:rPr>
        <w:t>Ugas</w:t>
      </w:r>
      <w:proofErr w:type="spellEnd"/>
      <w:r w:rsidRPr="003100FE">
        <w:rPr>
          <w:rFonts w:ascii="Verdana" w:hAnsi="Verdana"/>
          <w:bCs/>
          <w:spacing w:val="-12"/>
          <w:sz w:val="16"/>
          <w:szCs w:val="16"/>
          <w:lang w:val="es-MX"/>
        </w:rPr>
        <w:t xml:space="preserve">, </w:t>
      </w:r>
      <w:proofErr w:type="spellStart"/>
      <w:r w:rsidRPr="003100FE">
        <w:rPr>
          <w:rFonts w:ascii="Verdana" w:hAnsi="Verdana"/>
          <w:bCs/>
          <w:spacing w:val="-12"/>
          <w:sz w:val="16"/>
          <w:szCs w:val="16"/>
          <w:lang w:val="es-MX"/>
        </w:rPr>
        <w:t>Morelba</w:t>
      </w:r>
      <w:proofErr w:type="spellEnd"/>
      <w:r w:rsidRPr="003100FE">
        <w:rPr>
          <w:rFonts w:ascii="Verdana" w:hAnsi="Verdana"/>
          <w:bCs/>
          <w:spacing w:val="-12"/>
          <w:sz w:val="16"/>
          <w:szCs w:val="16"/>
          <w:lang w:val="es-MX"/>
        </w:rPr>
        <w:t xml:space="preserve"> Karina Molina Noguera, Ismael García, así como de los peritos Luis Salamanca, Alberto Arteaga Sánchez, Oscar </w:t>
      </w:r>
      <w:proofErr w:type="spellStart"/>
      <w:r w:rsidRPr="003100FE">
        <w:rPr>
          <w:rFonts w:ascii="Verdana" w:hAnsi="Verdana"/>
          <w:bCs/>
          <w:spacing w:val="-12"/>
          <w:sz w:val="16"/>
          <w:szCs w:val="16"/>
          <w:lang w:val="es-MX"/>
        </w:rPr>
        <w:t>Lucien</w:t>
      </w:r>
      <w:proofErr w:type="spellEnd"/>
      <w:r w:rsidRPr="003100FE">
        <w:rPr>
          <w:rFonts w:ascii="Verdana" w:hAnsi="Verdana"/>
          <w:bCs/>
          <w:spacing w:val="-12"/>
          <w:sz w:val="16"/>
          <w:szCs w:val="16"/>
          <w:lang w:val="es-MX"/>
        </w:rPr>
        <w:t xml:space="preserve">, Colette Capriles </w:t>
      </w:r>
      <w:proofErr w:type="spellStart"/>
      <w:r w:rsidRPr="003100FE">
        <w:rPr>
          <w:rFonts w:ascii="Verdana" w:hAnsi="Verdana"/>
          <w:bCs/>
          <w:spacing w:val="-12"/>
          <w:sz w:val="16"/>
          <w:szCs w:val="16"/>
          <w:lang w:val="es-MX"/>
        </w:rPr>
        <w:t>Sandner</w:t>
      </w:r>
      <w:proofErr w:type="spellEnd"/>
      <w:r w:rsidRPr="003100FE">
        <w:rPr>
          <w:rFonts w:ascii="Verdana" w:hAnsi="Verdana"/>
          <w:bCs/>
          <w:spacing w:val="-12"/>
          <w:sz w:val="16"/>
          <w:szCs w:val="16"/>
          <w:lang w:val="es-MX"/>
        </w:rPr>
        <w:t xml:space="preserve">, Manuel Gerardo </w:t>
      </w:r>
      <w:proofErr w:type="spellStart"/>
      <w:r w:rsidRPr="003100FE">
        <w:rPr>
          <w:rFonts w:ascii="Verdana" w:hAnsi="Verdana"/>
          <w:bCs/>
          <w:spacing w:val="-12"/>
          <w:sz w:val="16"/>
          <w:szCs w:val="16"/>
          <w:lang w:val="es-MX"/>
        </w:rPr>
        <w:t>Réquiz</w:t>
      </w:r>
      <w:proofErr w:type="spellEnd"/>
      <w:r w:rsidRPr="003100FE">
        <w:rPr>
          <w:rFonts w:ascii="Verdana" w:hAnsi="Verdana"/>
          <w:bCs/>
          <w:spacing w:val="-12"/>
          <w:sz w:val="16"/>
          <w:szCs w:val="16"/>
          <w:lang w:val="es-MX"/>
        </w:rPr>
        <w:t xml:space="preserve"> Cordero, Sergio </w:t>
      </w:r>
      <w:proofErr w:type="spellStart"/>
      <w:r w:rsidRPr="003100FE">
        <w:rPr>
          <w:rFonts w:ascii="Verdana" w:hAnsi="Verdana"/>
          <w:bCs/>
          <w:spacing w:val="-12"/>
          <w:sz w:val="16"/>
          <w:szCs w:val="16"/>
          <w:lang w:val="es-MX"/>
        </w:rPr>
        <w:t>Garroni</w:t>
      </w:r>
      <w:proofErr w:type="spellEnd"/>
      <w:r w:rsidRPr="003100FE">
        <w:rPr>
          <w:rFonts w:ascii="Verdana" w:hAnsi="Verdana"/>
          <w:bCs/>
          <w:spacing w:val="-12"/>
          <w:sz w:val="16"/>
          <w:szCs w:val="16"/>
          <w:lang w:val="es-MX"/>
        </w:rPr>
        <w:t xml:space="preserve"> Calatrava y Elsa </w:t>
      </w:r>
      <w:r w:rsidRPr="0003211A">
        <w:rPr>
          <w:rFonts w:ascii="Verdana" w:hAnsi="Verdana"/>
          <w:bCs/>
          <w:spacing w:val="-12"/>
          <w:sz w:val="16"/>
          <w:szCs w:val="16"/>
          <w:lang w:val="es-MX"/>
        </w:rPr>
        <w:t xml:space="preserve">Cristina González. Además, las declaraciones de Alejandro </w:t>
      </w:r>
      <w:proofErr w:type="spellStart"/>
      <w:r w:rsidRPr="0003211A">
        <w:rPr>
          <w:rFonts w:ascii="Verdana" w:hAnsi="Verdana"/>
          <w:bCs/>
          <w:spacing w:val="-12"/>
          <w:sz w:val="16"/>
          <w:szCs w:val="16"/>
          <w:lang w:val="es-MX"/>
        </w:rPr>
        <w:t>Plaz</w:t>
      </w:r>
      <w:proofErr w:type="spellEnd"/>
      <w:r w:rsidRPr="0003211A">
        <w:rPr>
          <w:rFonts w:ascii="Verdana" w:hAnsi="Verdana"/>
          <w:bCs/>
          <w:spacing w:val="-12"/>
          <w:sz w:val="16"/>
          <w:szCs w:val="16"/>
          <w:lang w:val="es-MX"/>
        </w:rPr>
        <w:t xml:space="preserve"> Catillo, Pedro Enrique Rodríguez, Vicente José Gregorio Díaz Silva, </w:t>
      </w:r>
      <w:proofErr w:type="spellStart"/>
      <w:r w:rsidRPr="0003211A">
        <w:rPr>
          <w:rFonts w:ascii="Verdana" w:hAnsi="Verdana"/>
          <w:bCs/>
          <w:spacing w:val="-12"/>
          <w:sz w:val="16"/>
          <w:szCs w:val="16"/>
          <w:lang w:val="es-MX"/>
        </w:rPr>
        <w:t>Ibéyise</w:t>
      </w:r>
      <w:proofErr w:type="spellEnd"/>
      <w:r w:rsidRPr="0003211A">
        <w:rPr>
          <w:rFonts w:ascii="Verdana" w:hAnsi="Verdana"/>
          <w:bCs/>
          <w:spacing w:val="-12"/>
          <w:sz w:val="16"/>
          <w:szCs w:val="16"/>
          <w:lang w:val="es-MX"/>
        </w:rPr>
        <w:t xml:space="preserve"> María Pacheco Martini, Eddie Alberto Ramírez </w:t>
      </w:r>
      <w:proofErr w:type="spellStart"/>
      <w:r w:rsidRPr="0003211A">
        <w:rPr>
          <w:rFonts w:ascii="Verdana" w:hAnsi="Verdana"/>
          <w:bCs/>
          <w:spacing w:val="-12"/>
          <w:sz w:val="16"/>
          <w:szCs w:val="16"/>
          <w:lang w:val="es-MX"/>
        </w:rPr>
        <w:t>Serfaty</w:t>
      </w:r>
      <w:proofErr w:type="spellEnd"/>
      <w:r w:rsidRPr="0003211A">
        <w:rPr>
          <w:rFonts w:ascii="Verdana" w:hAnsi="Verdana"/>
          <w:bCs/>
          <w:spacing w:val="-12"/>
          <w:sz w:val="16"/>
          <w:szCs w:val="16"/>
          <w:lang w:val="es-MX"/>
        </w:rPr>
        <w:t>, Antonio José Rivero González y Horacio Medina Herrera fueron re</w:t>
      </w:r>
      <w:r w:rsidRPr="00CE7020">
        <w:rPr>
          <w:rFonts w:ascii="Verdana" w:hAnsi="Verdana"/>
          <w:bCs/>
          <w:spacing w:val="-12"/>
          <w:sz w:val="16"/>
          <w:szCs w:val="16"/>
          <w:lang w:val="es-MX"/>
        </w:rPr>
        <w:t xml:space="preserve">cibidas directamente en la Corte los días 30 y 31 de enero y 1, 2 y 9 de febrero de 2017. La señora Ana Julia </w:t>
      </w:r>
      <w:proofErr w:type="spellStart"/>
      <w:r w:rsidRPr="00CE7020">
        <w:rPr>
          <w:rFonts w:ascii="Verdana" w:hAnsi="Verdana"/>
          <w:bCs/>
          <w:spacing w:val="-12"/>
          <w:sz w:val="16"/>
          <w:szCs w:val="16"/>
          <w:lang w:val="es-MX"/>
        </w:rPr>
        <w:t>Jatar</w:t>
      </w:r>
      <w:proofErr w:type="spellEnd"/>
      <w:r w:rsidRPr="00CE7020">
        <w:rPr>
          <w:rFonts w:ascii="Verdana" w:hAnsi="Verdana"/>
          <w:bCs/>
          <w:spacing w:val="-12"/>
          <w:sz w:val="16"/>
          <w:szCs w:val="16"/>
          <w:lang w:val="es-MX"/>
        </w:rPr>
        <w:t xml:space="preserve"> remitió directamente su declaración el 15 de febrero, una vez vencido el plazo, razón por la cual no es admisible</w:t>
      </w:r>
      <w:r w:rsidRPr="00773F82">
        <w:rPr>
          <w:rFonts w:ascii="Verdana" w:hAnsi="Verdana"/>
          <w:bCs/>
          <w:spacing w:val="-12"/>
          <w:sz w:val="16"/>
          <w:szCs w:val="16"/>
          <w:lang w:val="es-MX"/>
        </w:rPr>
        <w:t xml:space="preserve">. </w:t>
      </w:r>
    </w:p>
  </w:footnote>
  <w:footnote w:id="37">
    <w:p w14:paraId="4E97694B" w14:textId="75E3DED4"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bCs/>
          <w:spacing w:val="-12"/>
          <w:sz w:val="16"/>
          <w:szCs w:val="16"/>
          <w:lang w:val="es-MX"/>
        </w:rPr>
        <w:tab/>
        <w:t xml:space="preserve">La prueba documental </w:t>
      </w:r>
      <w:r w:rsidRPr="0069409D">
        <w:rPr>
          <w:rFonts w:ascii="Verdana" w:hAnsi="Verdana"/>
          <w:bCs/>
          <w:spacing w:val="-12"/>
          <w:sz w:val="16"/>
          <w:szCs w:val="16"/>
          <w:lang w:val="es-MX"/>
        </w:rPr>
        <w:t>puede ser presentada, en general y de conformidad con el artículo 57.2 del Reglamento, junto con los escritos de sometimiento del caso, de solicitudes y argumentos o de contestación, según corresponda</w:t>
      </w:r>
      <w:r w:rsidRPr="006C24C0">
        <w:rPr>
          <w:rFonts w:ascii="Verdana" w:hAnsi="Verdana"/>
          <w:bCs/>
          <w:spacing w:val="-12"/>
          <w:sz w:val="16"/>
          <w:szCs w:val="16"/>
          <w:lang w:val="es-MX"/>
        </w:rPr>
        <w:t>,</w:t>
      </w:r>
      <w:r w:rsidRPr="003100FE">
        <w:rPr>
          <w:rFonts w:ascii="Verdana" w:hAnsi="Verdana"/>
          <w:bCs/>
          <w:spacing w:val="-12"/>
          <w:sz w:val="16"/>
          <w:szCs w:val="16"/>
          <w:lang w:val="es-MX"/>
        </w:rPr>
        <w:t xml:space="preserve"> y no es admisible la prueba remitida fuera de esas opo</w:t>
      </w:r>
      <w:r w:rsidRPr="0003211A">
        <w:rPr>
          <w:rFonts w:ascii="Verdana" w:hAnsi="Verdana"/>
          <w:bCs/>
          <w:spacing w:val="-12"/>
          <w:sz w:val="16"/>
          <w:szCs w:val="16"/>
          <w:lang w:val="es-MX"/>
        </w:rPr>
        <w:t xml:space="preserve">rtunidades procesales, salvo en las excepciones establecidas en el referido artículo 57.2 del Reglamento (a saber, fuerza mayor, impedimento grave) o salvo si se </w:t>
      </w:r>
      <w:r w:rsidRPr="00CE7020">
        <w:rPr>
          <w:rFonts w:ascii="Verdana" w:hAnsi="Verdana"/>
          <w:bCs/>
          <w:spacing w:val="-12"/>
          <w:sz w:val="16"/>
          <w:szCs w:val="16"/>
          <w:lang w:val="es-MX"/>
        </w:rPr>
        <w:t>tratar</w:t>
      </w:r>
      <w:r w:rsidRPr="00773F82">
        <w:rPr>
          <w:rFonts w:ascii="Verdana" w:hAnsi="Verdana"/>
          <w:bCs/>
          <w:spacing w:val="-12"/>
          <w:sz w:val="16"/>
          <w:szCs w:val="16"/>
          <w:lang w:val="es-MX"/>
        </w:rPr>
        <w:t>a</w:t>
      </w:r>
      <w:r w:rsidRPr="00982860">
        <w:rPr>
          <w:rFonts w:ascii="Verdana" w:hAnsi="Verdana"/>
          <w:bCs/>
          <w:spacing w:val="-12"/>
          <w:sz w:val="16"/>
          <w:szCs w:val="16"/>
          <w:lang w:val="es-MX"/>
        </w:rPr>
        <w:t xml:space="preserve"> de un hecho superviniente, es decir, ocurrido con posterioridad a los citados </w:t>
      </w:r>
      <w:r w:rsidRPr="00290E0C">
        <w:rPr>
          <w:rFonts w:ascii="Verdana" w:hAnsi="Verdana"/>
          <w:bCs/>
          <w:spacing w:val="-12"/>
          <w:sz w:val="16"/>
          <w:szCs w:val="16"/>
          <w:lang w:val="es-MX"/>
        </w:rPr>
        <w:t xml:space="preserve">momentos procesales. </w:t>
      </w:r>
      <w:r w:rsidRPr="00B252EB">
        <w:rPr>
          <w:rFonts w:ascii="Verdana" w:hAnsi="Verdana"/>
          <w:bCs/>
          <w:i/>
          <w:spacing w:val="-12"/>
          <w:sz w:val="16"/>
          <w:szCs w:val="16"/>
          <w:lang w:val="es-MX"/>
        </w:rPr>
        <w:t>Cfr. Caso Familia Barrios Vs. Venezuela. Fondo, Reparaciones y Costa</w:t>
      </w:r>
      <w:r w:rsidRPr="0054215F">
        <w:rPr>
          <w:rFonts w:ascii="Verdana" w:hAnsi="Verdana"/>
          <w:bCs/>
          <w:i/>
          <w:spacing w:val="-12"/>
          <w:sz w:val="16"/>
          <w:szCs w:val="16"/>
          <w:lang w:val="es-MX"/>
        </w:rPr>
        <w:t xml:space="preserve">s. </w:t>
      </w:r>
      <w:r w:rsidRPr="00D758B5">
        <w:rPr>
          <w:rFonts w:ascii="Verdana" w:hAnsi="Verdana"/>
          <w:bCs/>
          <w:spacing w:val="-12"/>
          <w:sz w:val="16"/>
          <w:szCs w:val="16"/>
          <w:lang w:val="es-MX"/>
        </w:rPr>
        <w:t xml:space="preserve">Sentencia de 24 de noviembre de 2011. Serie C No. 237, </w:t>
      </w:r>
      <w:proofErr w:type="spellStart"/>
      <w:r w:rsidRPr="00D758B5">
        <w:rPr>
          <w:rFonts w:ascii="Verdana" w:hAnsi="Verdana"/>
          <w:bCs/>
          <w:spacing w:val="-12"/>
          <w:sz w:val="16"/>
          <w:szCs w:val="16"/>
          <w:lang w:val="es-MX"/>
        </w:rPr>
        <w:t>párr</w:t>
      </w:r>
      <w:r w:rsidRPr="00CF3AED">
        <w:rPr>
          <w:rFonts w:ascii="Verdana" w:hAnsi="Verdana"/>
          <w:bCs/>
          <w:spacing w:val="-12"/>
          <w:sz w:val="16"/>
          <w:szCs w:val="16"/>
          <w:lang w:val="es-MX"/>
        </w:rPr>
        <w:t>s</w:t>
      </w:r>
      <w:proofErr w:type="spellEnd"/>
      <w:r w:rsidRPr="00CF3AED">
        <w:rPr>
          <w:rFonts w:ascii="Verdana" w:hAnsi="Verdana"/>
          <w:bCs/>
          <w:spacing w:val="-12"/>
          <w:sz w:val="16"/>
          <w:szCs w:val="16"/>
          <w:lang w:val="es-MX"/>
        </w:rPr>
        <w:t xml:space="preserve">. 17 y 18, y </w:t>
      </w:r>
      <w:r w:rsidRPr="00CF3AED">
        <w:rPr>
          <w:rFonts w:ascii="Verdana" w:hAnsi="Verdana"/>
          <w:bCs/>
          <w:i/>
          <w:spacing w:val="-12"/>
          <w:sz w:val="16"/>
          <w:szCs w:val="16"/>
          <w:lang w:val="es-MX"/>
        </w:rPr>
        <w:t>Caso I.V. Vs. Bolivia, supra</w:t>
      </w:r>
      <w:r w:rsidRPr="00CF3AED">
        <w:rPr>
          <w:rFonts w:ascii="Verdana" w:hAnsi="Verdana"/>
          <w:bCs/>
          <w:spacing w:val="-12"/>
          <w:sz w:val="16"/>
          <w:szCs w:val="16"/>
          <w:lang w:val="es-MX"/>
        </w:rPr>
        <w:t>, párr. 55.</w:t>
      </w:r>
    </w:p>
  </w:footnote>
  <w:footnote w:id="38">
    <w:p w14:paraId="430CE37F" w14:textId="68CECBE9" w:rsidR="00837BB9" w:rsidRPr="00982860"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spacing w:val="-12"/>
          <w:sz w:val="16"/>
          <w:szCs w:val="16"/>
          <w:lang w:val="es-MX"/>
        </w:rPr>
        <w:footnoteRef/>
      </w:r>
      <w:r w:rsidRPr="00C7142E">
        <w:rPr>
          <w:rFonts w:ascii="Verdana" w:hAnsi="Verdana"/>
          <w:spacing w:val="-12"/>
          <w:sz w:val="16"/>
          <w:szCs w:val="16"/>
          <w:lang w:val="es-MX"/>
        </w:rPr>
        <w:t xml:space="preserve"> </w:t>
      </w:r>
      <w:r w:rsidRPr="00C7142E">
        <w:rPr>
          <w:rFonts w:ascii="Verdana" w:hAnsi="Verdana"/>
          <w:spacing w:val="-12"/>
          <w:sz w:val="16"/>
          <w:szCs w:val="16"/>
          <w:lang w:val="es-MX"/>
        </w:rPr>
        <w:tab/>
      </w:r>
      <w:r w:rsidRPr="00C7142E">
        <w:rPr>
          <w:rFonts w:ascii="Verdana" w:hAnsi="Verdana"/>
          <w:i/>
          <w:spacing w:val="-12"/>
          <w:sz w:val="16"/>
          <w:szCs w:val="16"/>
          <w:lang w:val="es-MX"/>
        </w:rPr>
        <w:t>Cfr</w:t>
      </w:r>
      <w:r w:rsidRPr="0069409D">
        <w:rPr>
          <w:rFonts w:ascii="Verdana" w:hAnsi="Verdana"/>
          <w:spacing w:val="-12"/>
          <w:sz w:val="16"/>
          <w:szCs w:val="16"/>
          <w:lang w:val="es-MX"/>
        </w:rPr>
        <w:t xml:space="preserve">. </w:t>
      </w:r>
      <w:r w:rsidRPr="0069409D">
        <w:rPr>
          <w:rFonts w:ascii="Verdana" w:hAnsi="Verdana"/>
          <w:i/>
          <w:spacing w:val="-12"/>
          <w:sz w:val="16"/>
          <w:szCs w:val="16"/>
          <w:lang w:val="es-MX"/>
        </w:rPr>
        <w:t>Caso Velásquez Rodríguez Vs. Honduras. F</w:t>
      </w:r>
      <w:r w:rsidRPr="006C24C0">
        <w:rPr>
          <w:rFonts w:ascii="Verdana" w:hAnsi="Verdana"/>
          <w:i/>
          <w:spacing w:val="-12"/>
          <w:sz w:val="16"/>
          <w:szCs w:val="16"/>
          <w:lang w:val="es-MX"/>
        </w:rPr>
        <w:t>ondo</w:t>
      </w:r>
      <w:r w:rsidRPr="003100FE">
        <w:rPr>
          <w:rFonts w:ascii="Verdana" w:hAnsi="Verdana"/>
          <w:spacing w:val="-12"/>
          <w:sz w:val="16"/>
          <w:szCs w:val="16"/>
          <w:lang w:val="es-MX"/>
        </w:rPr>
        <w:t xml:space="preserve">. Sentencia de 29 de julio de 1988. Serie C No.4, párr. 140, y </w:t>
      </w:r>
      <w:r w:rsidRPr="00C94950">
        <w:rPr>
          <w:rFonts w:ascii="Verdana" w:hAnsi="Verdana"/>
          <w:i/>
          <w:spacing w:val="-12"/>
          <w:sz w:val="16"/>
          <w:szCs w:val="16"/>
          <w:lang w:val="es-MX"/>
        </w:rPr>
        <w:t>Caso Trabajadores Cesados de Petroperú y otros Vs. Perú, supra</w:t>
      </w:r>
      <w:r w:rsidRPr="00C94950">
        <w:rPr>
          <w:rFonts w:ascii="Verdana" w:hAnsi="Verdana"/>
          <w:spacing w:val="-12"/>
          <w:sz w:val="16"/>
          <w:szCs w:val="16"/>
          <w:lang w:val="es-MX"/>
        </w:rPr>
        <w:t>, párr.</w:t>
      </w:r>
      <w:r>
        <w:rPr>
          <w:rFonts w:ascii="Verdana" w:hAnsi="Verdana"/>
          <w:spacing w:val="-12"/>
          <w:sz w:val="16"/>
          <w:szCs w:val="16"/>
          <w:lang w:val="es-MX"/>
        </w:rPr>
        <w:t xml:space="preserve"> 74</w:t>
      </w:r>
      <w:r w:rsidRPr="00982860">
        <w:rPr>
          <w:rFonts w:ascii="Verdana" w:hAnsi="Verdana"/>
          <w:spacing w:val="-12"/>
          <w:sz w:val="16"/>
          <w:szCs w:val="16"/>
          <w:lang w:val="es-MX"/>
        </w:rPr>
        <w:t>.</w:t>
      </w:r>
    </w:p>
  </w:footnote>
  <w:footnote w:id="39">
    <w:p w14:paraId="2A65A837" w14:textId="785198EE"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bCs/>
          <w:i/>
          <w:spacing w:val="-12"/>
          <w:sz w:val="16"/>
          <w:szCs w:val="16"/>
          <w:lang w:val="es-MX"/>
        </w:rPr>
        <w:t>Cfr. Caso Velásquez Rodríguez Vs. Honduras. Fondo</w:t>
      </w:r>
      <w:r w:rsidRPr="006C24C0">
        <w:rPr>
          <w:rFonts w:ascii="Verdana" w:hAnsi="Verdana"/>
          <w:bCs/>
          <w:spacing w:val="-12"/>
          <w:sz w:val="16"/>
          <w:szCs w:val="16"/>
          <w:lang w:val="es-MX"/>
        </w:rPr>
        <w:t xml:space="preserve">, </w:t>
      </w:r>
      <w:r w:rsidRPr="003100FE">
        <w:rPr>
          <w:rFonts w:ascii="Verdana" w:hAnsi="Verdana"/>
          <w:bCs/>
          <w:i/>
          <w:spacing w:val="-12"/>
          <w:sz w:val="16"/>
          <w:szCs w:val="16"/>
          <w:lang w:val="es-MX"/>
        </w:rPr>
        <w:t>supra</w:t>
      </w:r>
      <w:r w:rsidRPr="007C51D0">
        <w:rPr>
          <w:rFonts w:ascii="Verdana" w:hAnsi="Verdana"/>
          <w:bCs/>
          <w:spacing w:val="-12"/>
          <w:sz w:val="16"/>
          <w:szCs w:val="16"/>
          <w:lang w:val="es-MX"/>
        </w:rPr>
        <w:t>,</w:t>
      </w:r>
      <w:r w:rsidRPr="00CF3AED">
        <w:rPr>
          <w:rFonts w:ascii="Verdana" w:hAnsi="Verdana"/>
          <w:bCs/>
          <w:i/>
          <w:spacing w:val="-12"/>
          <w:sz w:val="16"/>
          <w:szCs w:val="16"/>
          <w:lang w:val="es-MX"/>
        </w:rPr>
        <w:t xml:space="preserve"> </w:t>
      </w:r>
      <w:r w:rsidRPr="00CF3AED">
        <w:rPr>
          <w:rFonts w:ascii="Verdana" w:hAnsi="Verdana"/>
          <w:bCs/>
          <w:spacing w:val="-12"/>
          <w:sz w:val="16"/>
          <w:szCs w:val="16"/>
          <w:lang w:val="es-MX"/>
        </w:rPr>
        <w:t xml:space="preserve">párr. 140; y </w:t>
      </w:r>
      <w:r w:rsidRPr="00CF3AED">
        <w:rPr>
          <w:rFonts w:ascii="Verdana" w:hAnsi="Verdana"/>
          <w:bCs/>
          <w:i/>
          <w:spacing w:val="-12"/>
          <w:sz w:val="16"/>
          <w:szCs w:val="16"/>
          <w:lang w:val="es-MX"/>
        </w:rPr>
        <w:t xml:space="preserve">Caso Acosta y otros </w:t>
      </w:r>
      <w:r w:rsidRPr="00FC1D38">
        <w:rPr>
          <w:rFonts w:ascii="Verdana" w:hAnsi="Verdana"/>
          <w:bCs/>
          <w:i/>
          <w:spacing w:val="-12"/>
          <w:sz w:val="16"/>
          <w:szCs w:val="16"/>
          <w:lang w:val="es-MX"/>
        </w:rPr>
        <w:t>Vs.</w:t>
      </w:r>
      <w:r w:rsidRPr="000536CF">
        <w:rPr>
          <w:rFonts w:ascii="Verdana" w:hAnsi="Verdana"/>
          <w:bCs/>
          <w:i/>
          <w:spacing w:val="-12"/>
          <w:sz w:val="16"/>
          <w:szCs w:val="16"/>
          <w:lang w:val="es-MX"/>
        </w:rPr>
        <w:t xml:space="preserve"> Nicaragua</w:t>
      </w:r>
      <w:r w:rsidRPr="000536CF">
        <w:rPr>
          <w:rFonts w:ascii="Verdana" w:hAnsi="Verdana"/>
          <w:bCs/>
          <w:spacing w:val="-12"/>
          <w:sz w:val="16"/>
          <w:szCs w:val="16"/>
          <w:lang w:val="es-MX"/>
        </w:rPr>
        <w:t xml:space="preserve">, </w:t>
      </w:r>
      <w:r w:rsidRPr="000536CF">
        <w:rPr>
          <w:rFonts w:ascii="Verdana" w:hAnsi="Verdana"/>
          <w:bCs/>
          <w:i/>
          <w:spacing w:val="-12"/>
          <w:sz w:val="16"/>
          <w:szCs w:val="16"/>
          <w:lang w:val="es-MX"/>
        </w:rPr>
        <w:t>supra</w:t>
      </w:r>
      <w:r w:rsidRPr="007C51D0">
        <w:rPr>
          <w:rFonts w:ascii="Verdana" w:hAnsi="Verdana"/>
          <w:bCs/>
          <w:spacing w:val="-12"/>
          <w:sz w:val="16"/>
          <w:szCs w:val="16"/>
          <w:lang w:val="es-MX"/>
        </w:rPr>
        <w:t>,</w:t>
      </w:r>
      <w:r w:rsidRPr="00CF3AED">
        <w:rPr>
          <w:rFonts w:ascii="Verdana" w:hAnsi="Verdana"/>
          <w:bCs/>
          <w:spacing w:val="-12"/>
          <w:sz w:val="16"/>
          <w:szCs w:val="16"/>
          <w:lang w:val="es-MX"/>
        </w:rPr>
        <w:t xml:space="preserve"> párr. 22.</w:t>
      </w:r>
    </w:p>
  </w:footnote>
  <w:footnote w:id="40">
    <w:p w14:paraId="53753740" w14:textId="5B7527C0" w:rsidR="00837BB9" w:rsidRPr="00290E0C" w:rsidRDefault="00837BB9" w:rsidP="008349B1">
      <w:pPr>
        <w:pStyle w:val="FootnoteText"/>
        <w:spacing w:before="120" w:after="120"/>
        <w:jc w:val="both"/>
        <w:rPr>
          <w:rFonts w:ascii="Verdana" w:hAnsi="Verdana"/>
          <w:bCs/>
          <w:spacing w:val="-12"/>
          <w:sz w:val="16"/>
          <w:szCs w:val="16"/>
          <w:lang w:val="es-MX"/>
        </w:rPr>
      </w:pPr>
      <w:r w:rsidRPr="00CF3AED">
        <w:rPr>
          <w:rStyle w:val="FootnoteReference"/>
          <w:rFonts w:ascii="Verdana" w:hAnsi="Verdana"/>
          <w:spacing w:val="-12"/>
          <w:sz w:val="16"/>
          <w:szCs w:val="16"/>
        </w:rPr>
        <w:footnoteRef/>
      </w:r>
      <w:r w:rsidRPr="006203B0">
        <w:rPr>
          <w:rFonts w:ascii="Verdana" w:hAnsi="Verdana"/>
          <w:spacing w:val="-12"/>
          <w:sz w:val="16"/>
          <w:szCs w:val="16"/>
        </w:rPr>
        <w:t xml:space="preserve"> </w:t>
      </w:r>
      <w:r w:rsidRPr="00FC1D38">
        <w:rPr>
          <w:rFonts w:ascii="Verdana" w:hAnsi="Verdana"/>
          <w:bCs/>
          <w:spacing w:val="-12"/>
          <w:sz w:val="16"/>
          <w:szCs w:val="16"/>
          <w:lang w:val="es-MX"/>
        </w:rPr>
        <w:tab/>
        <w:t>En particular, el Estado señaló que la admisión de tales grabaciones como medio de prueba marcaría un precedente negativo y pondría en riesgo el orden pú</w:t>
      </w:r>
      <w:r w:rsidRPr="000536CF">
        <w:rPr>
          <w:rFonts w:ascii="Verdana" w:hAnsi="Verdana"/>
          <w:bCs/>
          <w:spacing w:val="-12"/>
          <w:sz w:val="16"/>
          <w:szCs w:val="16"/>
          <w:lang w:val="es-MX"/>
        </w:rPr>
        <w:t>blico interamericano. Alegó que las conversaciones telefónicas se encuentran protegidas por el artículo 11 de la Convención independientemente de su contenido; que en razón del derecho de defensa y principios de equidad procesal y seguridad jurídica que rige</w:t>
      </w:r>
      <w:r w:rsidRPr="001C16AC">
        <w:rPr>
          <w:rFonts w:ascii="Verdana" w:hAnsi="Verdana"/>
          <w:bCs/>
          <w:spacing w:val="-12"/>
          <w:sz w:val="16"/>
          <w:szCs w:val="16"/>
          <w:lang w:val="es-MX"/>
        </w:rPr>
        <w:t xml:space="preserve">n el trámite de peticiones ante la Comisión, los órganos del Sistema deben mantener un deber especial de cuidado en el ejercicio de la actividad probatoria; que “la Comisión obvió el necesario análisis sobre la legalidad de este tipo de evidencias y que a </w:t>
      </w:r>
      <w:r w:rsidRPr="006001C8">
        <w:rPr>
          <w:rFonts w:ascii="Verdana" w:hAnsi="Verdana"/>
          <w:bCs/>
          <w:spacing w:val="-12"/>
          <w:sz w:val="16"/>
          <w:szCs w:val="16"/>
          <w:lang w:val="es-MX"/>
        </w:rPr>
        <w:t>nivel interno varios órganos jurisdiccionales negaron valor probatorio a estas grabaciones, por haber sido realizadas sin orden judicial y por personas no identificadas”; que no han sido sometidas a ningún tipo de experticia para saber si fueron modificada</w:t>
      </w:r>
      <w:r w:rsidRPr="00D55480">
        <w:rPr>
          <w:rFonts w:ascii="Verdana" w:hAnsi="Verdana"/>
          <w:bCs/>
          <w:spacing w:val="-12"/>
          <w:sz w:val="16"/>
          <w:szCs w:val="16"/>
          <w:lang w:val="es-MX"/>
        </w:rPr>
        <w:t>s o editadas y para confirmar la identidad de las personas a quienes se atribuye lo conversado; que existen dudas razonables sobre si fueron en realidad realizadas por una tercera persona ajena al diálogo, teniendo en cuenta que, para el momento de los hechos, “un familiar de una de las presuntas víctimas era la máxima autoridad de un cuerpo de policía con capacidad operativa real para llevar adelante la interceptación de comunicaciones telefónicas”. Alegó que en una de las grabaciones se observa como es in</w:t>
      </w:r>
      <w:r w:rsidRPr="009E7E48">
        <w:rPr>
          <w:rFonts w:ascii="Verdana" w:hAnsi="Verdana"/>
          <w:bCs/>
          <w:spacing w:val="-12"/>
          <w:sz w:val="16"/>
          <w:szCs w:val="16"/>
          <w:lang w:val="es-MX"/>
        </w:rPr>
        <w:t xml:space="preserve">terceptada la conversación entre dos personas, tratándose de “un esquema típico de interceptación telefónica ilegal”, en evidente transgresión del artículo 11 de la Convención. </w:t>
      </w:r>
      <w:r>
        <w:rPr>
          <w:rFonts w:ascii="Verdana" w:hAnsi="Verdana"/>
          <w:bCs/>
          <w:spacing w:val="-12"/>
          <w:sz w:val="16"/>
          <w:szCs w:val="16"/>
          <w:lang w:val="es-MX"/>
        </w:rPr>
        <w:t>Además</w:t>
      </w:r>
      <w:r w:rsidRPr="009E7E48">
        <w:rPr>
          <w:rFonts w:ascii="Verdana" w:hAnsi="Verdana"/>
          <w:bCs/>
          <w:spacing w:val="-12"/>
          <w:sz w:val="16"/>
          <w:szCs w:val="16"/>
          <w:lang w:val="es-MX"/>
        </w:rPr>
        <w:t xml:space="preserve"> de lo anterior, señaló que no hay certeza del origen de la grabación, </w:t>
      </w:r>
      <w:r w:rsidRPr="008B6122">
        <w:rPr>
          <w:rFonts w:ascii="Verdana" w:hAnsi="Verdana"/>
          <w:bCs/>
          <w:spacing w:val="-12"/>
          <w:sz w:val="16"/>
          <w:szCs w:val="16"/>
          <w:lang w:val="es-MX"/>
        </w:rPr>
        <w:t>del contenido íntegro de la conversación (o si fue editada para agregar o suprimir información), ni de la efectiva correspondencia de las voces a quienes se atribuyen</w:t>
      </w:r>
      <w:r w:rsidRPr="00982860">
        <w:rPr>
          <w:rFonts w:ascii="Verdana" w:hAnsi="Verdana"/>
          <w:bCs/>
          <w:spacing w:val="-12"/>
          <w:sz w:val="16"/>
          <w:szCs w:val="16"/>
          <w:lang w:val="es-MX"/>
        </w:rPr>
        <w:t>.</w:t>
      </w:r>
    </w:p>
  </w:footnote>
  <w:footnote w:id="41">
    <w:p w14:paraId="32A0FFC7" w14:textId="1A4D776F" w:rsidR="00837BB9" w:rsidRPr="007C51D0" w:rsidRDefault="00837BB9" w:rsidP="008349B1">
      <w:pPr>
        <w:pStyle w:val="FootnoteText"/>
        <w:spacing w:before="120" w:after="120"/>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hAnsi="Verdana"/>
          <w:bCs/>
          <w:spacing w:val="-12"/>
          <w:sz w:val="16"/>
          <w:szCs w:val="16"/>
          <w:lang w:val="es-MX"/>
        </w:rPr>
        <w:t>La Comisión consideró que los contenidos de las conversaciones no son asuntos vinculados a la vida privada o reputación de los intervinientes en la conversación y que el uso de las conversaciones no hace públicos aspectos de la vida privada de las personas involucradas, sino más bien podrían válidamente calificarse como cuestiones de interés público, tomando en especial consideración que se alega la existencia de un contexto más general de represalias, por lo cual el uso de tales elementos se encuentra justificado para las determinaciones fácticas de este caso.</w:t>
      </w:r>
    </w:p>
  </w:footnote>
  <w:footnote w:id="42">
    <w:p w14:paraId="5E142EC8" w14:textId="70DE029F" w:rsidR="00837BB9" w:rsidRPr="00CF3AED" w:rsidRDefault="00837BB9" w:rsidP="008349B1">
      <w:pPr>
        <w:pStyle w:val="FootnoteText"/>
        <w:spacing w:before="120" w:after="120"/>
        <w:jc w:val="both"/>
        <w:rPr>
          <w:rFonts w:ascii="Verdana" w:hAnsi="Verdana"/>
          <w:sz w:val="16"/>
          <w:szCs w:val="16"/>
          <w:lang w:val="es-CR"/>
        </w:rPr>
      </w:pPr>
      <w:r w:rsidRPr="00CF3AED">
        <w:rPr>
          <w:rStyle w:val="FootnoteReference"/>
          <w:rFonts w:ascii="Verdana" w:hAnsi="Verdana"/>
          <w:sz w:val="16"/>
          <w:szCs w:val="16"/>
        </w:rPr>
        <w:footnoteRef/>
      </w:r>
      <w:r w:rsidRPr="00CF3AED">
        <w:rPr>
          <w:rFonts w:ascii="Verdana" w:hAnsi="Verdana"/>
          <w:sz w:val="16"/>
          <w:szCs w:val="16"/>
        </w:rPr>
        <w:t xml:space="preserve"> </w:t>
      </w:r>
      <w:r w:rsidRPr="00CF3AED">
        <w:rPr>
          <w:rFonts w:ascii="Verdana" w:hAnsi="Verdana"/>
          <w:spacing w:val="-12"/>
          <w:sz w:val="16"/>
          <w:szCs w:val="16"/>
          <w:lang w:val="es-CR"/>
        </w:rPr>
        <w:tab/>
        <w:t>El juzgado que declaró sin lugar la acción de amparo interpue</w:t>
      </w:r>
      <w:r>
        <w:rPr>
          <w:rFonts w:ascii="Verdana" w:hAnsi="Verdana"/>
          <w:spacing w:val="-12"/>
          <w:sz w:val="16"/>
          <w:szCs w:val="16"/>
          <w:lang w:val="es-CR"/>
        </w:rPr>
        <w:t xml:space="preserve">sta por las presuntas víctimas </w:t>
      </w:r>
      <w:r w:rsidRPr="00FC1D38">
        <w:rPr>
          <w:rFonts w:ascii="Verdana" w:hAnsi="Verdana"/>
          <w:spacing w:val="-12"/>
          <w:sz w:val="16"/>
          <w:szCs w:val="16"/>
          <w:lang w:val="es-CR"/>
        </w:rPr>
        <w:t>consideró que tal</w:t>
      </w:r>
      <w:r>
        <w:rPr>
          <w:rFonts w:ascii="Verdana" w:hAnsi="Verdana"/>
          <w:spacing w:val="-12"/>
          <w:sz w:val="16"/>
          <w:szCs w:val="16"/>
          <w:lang w:val="es-CR"/>
        </w:rPr>
        <w:t>es grabación o transcripción</w:t>
      </w:r>
      <w:r w:rsidRPr="00FC1D38">
        <w:rPr>
          <w:rFonts w:ascii="Verdana" w:hAnsi="Verdana"/>
          <w:spacing w:val="-12"/>
          <w:sz w:val="16"/>
          <w:szCs w:val="16"/>
          <w:lang w:val="es-CR"/>
        </w:rPr>
        <w:t xml:space="preserve"> “no puede ser admitida y mucho menos valorada como medio de prueba, debido a la ilicitud de la mi</w:t>
      </w:r>
      <w:r w:rsidRPr="000536CF">
        <w:rPr>
          <w:rFonts w:ascii="Verdana" w:hAnsi="Verdana"/>
          <w:spacing w:val="-12"/>
          <w:sz w:val="16"/>
          <w:szCs w:val="16"/>
          <w:lang w:val="es-CR"/>
        </w:rPr>
        <w:t>sma”</w:t>
      </w:r>
      <w:r w:rsidRPr="001C16AC">
        <w:rPr>
          <w:rFonts w:ascii="Verdana" w:hAnsi="Verdana"/>
          <w:spacing w:val="-12"/>
          <w:sz w:val="16"/>
          <w:szCs w:val="16"/>
          <w:lang w:val="es-CR"/>
        </w:rPr>
        <w:t xml:space="preserve"> </w:t>
      </w:r>
      <w:r w:rsidRPr="007C51D0">
        <w:rPr>
          <w:rFonts w:ascii="Verdana" w:hAnsi="Verdana"/>
          <w:spacing w:val="-12"/>
          <w:sz w:val="16"/>
          <w:szCs w:val="16"/>
          <w:lang w:val="es-CR"/>
        </w:rPr>
        <w:t>(</w:t>
      </w:r>
      <w:proofErr w:type="spellStart"/>
      <w:r>
        <w:rPr>
          <w:rFonts w:ascii="Verdana" w:hAnsi="Verdana"/>
          <w:spacing w:val="-12"/>
          <w:sz w:val="16"/>
          <w:szCs w:val="16"/>
          <w:lang w:val="es-CR"/>
        </w:rPr>
        <w:t>exp</w:t>
      </w:r>
      <w:proofErr w:type="spellEnd"/>
      <w:r>
        <w:rPr>
          <w:rFonts w:ascii="Verdana" w:hAnsi="Verdana"/>
          <w:spacing w:val="-12"/>
          <w:sz w:val="16"/>
          <w:szCs w:val="16"/>
          <w:lang w:val="es-CR"/>
        </w:rPr>
        <w:t>. prueba,</w:t>
      </w:r>
      <w:r w:rsidRPr="007C51D0">
        <w:rPr>
          <w:rFonts w:ascii="Verdana" w:hAnsi="Verdana"/>
          <w:spacing w:val="-12"/>
          <w:sz w:val="16"/>
          <w:szCs w:val="16"/>
          <w:lang w:val="es-CR"/>
        </w:rPr>
        <w:t xml:space="preserve"> folio</w:t>
      </w:r>
      <w:r>
        <w:rPr>
          <w:rFonts w:ascii="Verdana" w:hAnsi="Verdana"/>
          <w:spacing w:val="-12"/>
          <w:sz w:val="16"/>
          <w:szCs w:val="16"/>
          <w:lang w:val="es-CR"/>
        </w:rPr>
        <w:t>s</w:t>
      </w:r>
      <w:r w:rsidRPr="007C51D0">
        <w:rPr>
          <w:rFonts w:ascii="Verdana" w:hAnsi="Verdana"/>
          <w:spacing w:val="-12"/>
          <w:sz w:val="16"/>
          <w:szCs w:val="16"/>
          <w:lang w:val="es-CR"/>
        </w:rPr>
        <w:t xml:space="preserve"> 518</w:t>
      </w:r>
      <w:r>
        <w:rPr>
          <w:rFonts w:ascii="Verdana" w:hAnsi="Verdana"/>
          <w:spacing w:val="-12"/>
          <w:sz w:val="16"/>
          <w:szCs w:val="16"/>
          <w:lang w:val="es-CR"/>
        </w:rPr>
        <w:t xml:space="preserve"> y 525</w:t>
      </w:r>
      <w:r w:rsidRPr="007C51D0">
        <w:rPr>
          <w:rFonts w:ascii="Verdana" w:hAnsi="Verdana"/>
          <w:spacing w:val="-12"/>
          <w:sz w:val="16"/>
          <w:szCs w:val="16"/>
          <w:lang w:val="es-CR"/>
        </w:rPr>
        <w:t xml:space="preserve">). </w:t>
      </w:r>
      <w:r w:rsidRPr="00CF3AED">
        <w:rPr>
          <w:rFonts w:ascii="Verdana" w:hAnsi="Verdana"/>
          <w:spacing w:val="-12"/>
          <w:sz w:val="16"/>
          <w:szCs w:val="16"/>
          <w:lang w:val="es-CR"/>
        </w:rPr>
        <w:t>Esta decisión no fue modificada por el juzgado de apelación.</w:t>
      </w:r>
    </w:p>
  </w:footnote>
  <w:footnote w:id="43">
    <w:p w14:paraId="45C5CC15" w14:textId="7EF1327D" w:rsidR="00837BB9" w:rsidRPr="00D55480" w:rsidRDefault="00837BB9" w:rsidP="008349B1">
      <w:pPr>
        <w:pStyle w:val="FootnoteText"/>
        <w:spacing w:before="120" w:after="120"/>
        <w:jc w:val="both"/>
        <w:rPr>
          <w:rFonts w:ascii="Verdana" w:hAnsi="Verdana"/>
          <w:spacing w:val="-12"/>
          <w:sz w:val="16"/>
          <w:szCs w:val="16"/>
          <w:lang w:val="es-CR"/>
        </w:rPr>
      </w:pPr>
      <w:r w:rsidRPr="006203B0">
        <w:rPr>
          <w:rStyle w:val="FootnoteReference"/>
          <w:rFonts w:ascii="Verdana" w:hAnsi="Verdana"/>
          <w:spacing w:val="-12"/>
          <w:sz w:val="16"/>
          <w:szCs w:val="16"/>
        </w:rPr>
        <w:footnoteRef/>
      </w:r>
      <w:r w:rsidRPr="00FC1D38">
        <w:rPr>
          <w:rFonts w:ascii="Verdana" w:hAnsi="Verdana"/>
          <w:spacing w:val="-12"/>
          <w:sz w:val="16"/>
          <w:szCs w:val="16"/>
        </w:rPr>
        <w:t xml:space="preserve"> </w:t>
      </w:r>
      <w:r w:rsidRPr="000536CF">
        <w:rPr>
          <w:rFonts w:ascii="Verdana" w:hAnsi="Verdana"/>
          <w:spacing w:val="-12"/>
          <w:sz w:val="16"/>
          <w:szCs w:val="16"/>
          <w:lang w:val="es-CR"/>
        </w:rPr>
        <w:tab/>
      </w:r>
      <w:r w:rsidRPr="000536CF">
        <w:rPr>
          <w:rFonts w:ascii="Verdana" w:hAnsi="Verdana"/>
          <w:i/>
          <w:spacing w:val="-12"/>
          <w:sz w:val="16"/>
          <w:szCs w:val="16"/>
          <w:lang w:val="es-CR"/>
        </w:rPr>
        <w:t>Cfr.</w:t>
      </w:r>
      <w:r w:rsidRPr="000536CF">
        <w:rPr>
          <w:rFonts w:ascii="Verdana" w:hAnsi="Verdana"/>
          <w:spacing w:val="-12"/>
          <w:sz w:val="16"/>
          <w:szCs w:val="16"/>
          <w:lang w:val="es-CR"/>
        </w:rPr>
        <w:t>, en similar sentido</w:t>
      </w:r>
      <w:r w:rsidRPr="00EE30C8">
        <w:rPr>
          <w:rFonts w:ascii="Verdana" w:hAnsi="Verdana"/>
          <w:i/>
          <w:spacing w:val="-12"/>
          <w:sz w:val="16"/>
          <w:szCs w:val="16"/>
          <w:lang w:val="es-CR"/>
        </w:rPr>
        <w:t>,</w:t>
      </w:r>
      <w:r w:rsidRPr="001C16AC">
        <w:rPr>
          <w:rFonts w:ascii="Verdana" w:hAnsi="Verdana"/>
          <w:i/>
          <w:spacing w:val="-12"/>
          <w:sz w:val="16"/>
          <w:szCs w:val="16"/>
          <w:lang w:val="es-CR"/>
        </w:rPr>
        <w:t xml:space="preserve"> </w:t>
      </w:r>
      <w:r w:rsidRPr="00EE30C8">
        <w:rPr>
          <w:rFonts w:ascii="Verdana" w:hAnsi="Verdana"/>
          <w:i/>
          <w:spacing w:val="-12"/>
          <w:sz w:val="16"/>
          <w:szCs w:val="16"/>
          <w:lang w:val="es-CR"/>
        </w:rPr>
        <w:t xml:space="preserve">Caso Velásquez Rodríguez Vs. </w:t>
      </w:r>
      <w:r>
        <w:rPr>
          <w:rFonts w:ascii="Verdana" w:hAnsi="Verdana"/>
          <w:i/>
          <w:spacing w:val="-12"/>
          <w:sz w:val="16"/>
          <w:szCs w:val="16"/>
          <w:lang w:val="es-CR"/>
        </w:rPr>
        <w:t>Honduras. Fondo, supra</w:t>
      </w:r>
      <w:r w:rsidRPr="00EE30C8">
        <w:rPr>
          <w:rFonts w:ascii="Verdana" w:hAnsi="Verdana"/>
          <w:spacing w:val="-12"/>
          <w:sz w:val="16"/>
          <w:szCs w:val="16"/>
          <w:lang w:val="es-CR"/>
        </w:rPr>
        <w:t xml:space="preserve">, </w:t>
      </w:r>
      <w:proofErr w:type="spellStart"/>
      <w:r w:rsidRPr="00EE30C8">
        <w:rPr>
          <w:rFonts w:ascii="Verdana" w:hAnsi="Verdana"/>
          <w:spacing w:val="-12"/>
          <w:sz w:val="16"/>
          <w:szCs w:val="16"/>
          <w:lang w:val="es-CR"/>
        </w:rPr>
        <w:t>párrs</w:t>
      </w:r>
      <w:proofErr w:type="spellEnd"/>
      <w:r w:rsidRPr="00EE30C8">
        <w:rPr>
          <w:rFonts w:ascii="Verdana" w:hAnsi="Verdana"/>
          <w:spacing w:val="-12"/>
          <w:sz w:val="16"/>
          <w:szCs w:val="16"/>
          <w:lang w:val="es-CR"/>
        </w:rPr>
        <w:t>. 127 y 128;</w:t>
      </w:r>
      <w:r w:rsidRPr="00EE30C8">
        <w:rPr>
          <w:rFonts w:ascii="Verdana" w:hAnsi="Verdana"/>
          <w:sz w:val="16"/>
          <w:szCs w:val="16"/>
        </w:rPr>
        <w:t xml:space="preserve"> </w:t>
      </w:r>
      <w:r>
        <w:rPr>
          <w:rFonts w:ascii="Verdana" w:hAnsi="Verdana"/>
          <w:sz w:val="16"/>
          <w:szCs w:val="16"/>
        </w:rPr>
        <w:t xml:space="preserve">y </w:t>
      </w:r>
      <w:r w:rsidRPr="001C16AC">
        <w:rPr>
          <w:rFonts w:ascii="Verdana" w:hAnsi="Verdana"/>
          <w:i/>
          <w:spacing w:val="-12"/>
          <w:sz w:val="16"/>
          <w:szCs w:val="16"/>
          <w:lang w:val="es-CR"/>
        </w:rPr>
        <w:t>Caso González Medina y familiares Vs. República Dominicana. Excepciones Preliminares, Fondo, Reparaciones y Costas</w:t>
      </w:r>
      <w:r w:rsidRPr="006001C8">
        <w:rPr>
          <w:rFonts w:ascii="Verdana" w:hAnsi="Verdana"/>
          <w:spacing w:val="-12"/>
          <w:sz w:val="16"/>
          <w:szCs w:val="16"/>
          <w:lang w:val="es-CR"/>
        </w:rPr>
        <w:t>. Sentencia</w:t>
      </w:r>
      <w:r w:rsidRPr="00D55480">
        <w:rPr>
          <w:rFonts w:ascii="Verdana" w:hAnsi="Verdana"/>
          <w:spacing w:val="-12"/>
          <w:sz w:val="16"/>
          <w:szCs w:val="16"/>
          <w:lang w:val="es-CR"/>
        </w:rPr>
        <w:t xml:space="preserve"> de 27 de febrero de 2012 Serie C No. 240, párr. 132.</w:t>
      </w:r>
    </w:p>
  </w:footnote>
  <w:footnote w:id="44">
    <w:p w14:paraId="016B3733" w14:textId="400CFE59" w:rsidR="00837BB9" w:rsidRPr="0069409D" w:rsidRDefault="00837BB9" w:rsidP="008349B1">
      <w:pPr>
        <w:pStyle w:val="FootnoteText"/>
        <w:spacing w:before="120" w:after="120"/>
        <w:jc w:val="both"/>
        <w:rPr>
          <w:rFonts w:ascii="Verdana" w:hAnsi="Verdana"/>
          <w:spacing w:val="-12"/>
          <w:sz w:val="16"/>
          <w:szCs w:val="16"/>
          <w:lang w:val="es-CR"/>
        </w:rPr>
      </w:pPr>
      <w:r w:rsidRPr="00D55480">
        <w:rPr>
          <w:rStyle w:val="FootnoteReference"/>
          <w:rFonts w:ascii="Verdana" w:hAnsi="Verdana"/>
          <w:spacing w:val="-12"/>
          <w:sz w:val="16"/>
          <w:szCs w:val="16"/>
        </w:rPr>
        <w:footnoteRef/>
      </w:r>
      <w:r w:rsidRPr="009E7E48">
        <w:rPr>
          <w:rFonts w:ascii="Verdana" w:hAnsi="Verdana"/>
          <w:spacing w:val="-12"/>
          <w:sz w:val="16"/>
          <w:szCs w:val="16"/>
          <w:lang w:val="es-CR"/>
        </w:rPr>
        <w:t xml:space="preserve"> </w:t>
      </w:r>
      <w:r w:rsidRPr="009E7E48">
        <w:rPr>
          <w:rFonts w:ascii="Verdana" w:hAnsi="Verdana"/>
          <w:spacing w:val="-12"/>
          <w:sz w:val="16"/>
          <w:szCs w:val="16"/>
          <w:lang w:val="es-CR"/>
        </w:rPr>
        <w:tab/>
      </w:r>
      <w:r w:rsidRPr="008B6122">
        <w:rPr>
          <w:rFonts w:ascii="Verdana" w:hAnsi="Verdana"/>
          <w:i/>
          <w:spacing w:val="-12"/>
          <w:sz w:val="16"/>
          <w:szCs w:val="16"/>
          <w:lang w:val="es-CR"/>
        </w:rPr>
        <w:t>Cfr. Caso de la “Panel Blanca” (Paniagua Morales y otros) Vs. Guatemala. Fondo</w:t>
      </w:r>
      <w:r w:rsidRPr="008B6122">
        <w:rPr>
          <w:rFonts w:ascii="Verdana" w:hAnsi="Verdana"/>
          <w:spacing w:val="-12"/>
          <w:sz w:val="16"/>
          <w:szCs w:val="16"/>
          <w:lang w:val="es-CR"/>
        </w:rPr>
        <w:t xml:space="preserve">. Sentencia de 8 de marzo de 1998, párr. 76, y </w:t>
      </w:r>
      <w:r w:rsidRPr="00C94950">
        <w:rPr>
          <w:rFonts w:ascii="Verdana" w:hAnsi="Verdana"/>
          <w:i/>
          <w:spacing w:val="-12"/>
          <w:sz w:val="16"/>
          <w:szCs w:val="16"/>
          <w:lang w:val="es-MX"/>
        </w:rPr>
        <w:t>Caso Trabajadores Cesados de Petroperú y otros Vs. Perú, supra</w:t>
      </w:r>
      <w:r w:rsidRPr="00C94950">
        <w:rPr>
          <w:rFonts w:ascii="Verdana" w:hAnsi="Verdana"/>
          <w:spacing w:val="-12"/>
          <w:sz w:val="16"/>
          <w:szCs w:val="16"/>
          <w:lang w:val="es-MX"/>
        </w:rPr>
        <w:t>, párr.</w:t>
      </w:r>
      <w:r>
        <w:rPr>
          <w:rFonts w:ascii="Verdana" w:hAnsi="Verdana"/>
          <w:spacing w:val="-12"/>
          <w:sz w:val="16"/>
          <w:szCs w:val="16"/>
          <w:lang w:val="es-MX"/>
        </w:rPr>
        <w:t xml:space="preserve"> 79</w:t>
      </w:r>
      <w:r w:rsidRPr="0069409D">
        <w:rPr>
          <w:rFonts w:ascii="Verdana" w:hAnsi="Verdana"/>
          <w:spacing w:val="-12"/>
          <w:sz w:val="16"/>
          <w:szCs w:val="16"/>
          <w:lang w:val="es-CR"/>
        </w:rPr>
        <w:t>.</w:t>
      </w:r>
    </w:p>
  </w:footnote>
  <w:footnote w:id="45">
    <w:p w14:paraId="42829B07" w14:textId="7B27E78E" w:rsidR="00837BB9" w:rsidRPr="00CF3AED" w:rsidRDefault="00837BB9" w:rsidP="008349B1">
      <w:pPr>
        <w:spacing w:after="0" w:line="19" w:lineRule="atLeast"/>
        <w:jc w:val="both"/>
        <w:rPr>
          <w:rFonts w:ascii="Verdana" w:hAnsi="Verdana"/>
          <w:bCs/>
          <w:color w:val="000000"/>
          <w:sz w:val="16"/>
          <w:szCs w:val="16"/>
        </w:rPr>
      </w:pPr>
      <w:r w:rsidRPr="00CF3AED">
        <w:rPr>
          <w:rStyle w:val="FootnoteReference"/>
          <w:rFonts w:ascii="Verdana" w:hAnsi="Verdana"/>
          <w:sz w:val="16"/>
          <w:szCs w:val="16"/>
        </w:rPr>
        <w:footnoteRef/>
      </w:r>
      <w:r w:rsidRPr="00CF3AED">
        <w:rPr>
          <w:rFonts w:ascii="Verdana" w:eastAsia="Times New Roman" w:hAnsi="Verdana" w:cs="Times New Roman"/>
          <w:spacing w:val="-12"/>
          <w:sz w:val="16"/>
          <w:szCs w:val="16"/>
          <w:lang w:val="es-VE"/>
        </w:rPr>
        <w:tab/>
        <w:t xml:space="preserve"> </w:t>
      </w:r>
      <w:r w:rsidRPr="00CF3AED">
        <w:rPr>
          <w:rFonts w:ascii="Verdana" w:eastAsia="Times New Roman" w:hAnsi="Verdana" w:cs="Times New Roman"/>
          <w:i/>
          <w:spacing w:val="-12"/>
          <w:sz w:val="16"/>
          <w:szCs w:val="16"/>
          <w:lang w:val="es-VE"/>
        </w:rPr>
        <w:t xml:space="preserve">Cfr. Caso </w:t>
      </w:r>
      <w:proofErr w:type="spellStart"/>
      <w:r w:rsidRPr="00CF3AED">
        <w:rPr>
          <w:rFonts w:ascii="Verdana" w:eastAsia="Times New Roman" w:hAnsi="Verdana" w:cs="Times New Roman"/>
          <w:i/>
          <w:spacing w:val="-12"/>
          <w:sz w:val="16"/>
          <w:szCs w:val="16"/>
          <w:lang w:val="es-VE"/>
        </w:rPr>
        <w:t>Escué</w:t>
      </w:r>
      <w:proofErr w:type="spellEnd"/>
      <w:r w:rsidRPr="00CF3AED">
        <w:rPr>
          <w:rFonts w:ascii="Verdana" w:eastAsia="Times New Roman" w:hAnsi="Verdana" w:cs="Times New Roman"/>
          <w:i/>
          <w:spacing w:val="-12"/>
          <w:sz w:val="16"/>
          <w:szCs w:val="16"/>
          <w:lang w:val="es-VE"/>
        </w:rPr>
        <w:t xml:space="preserve"> Zapata Vs. Colombia. Fondo, Reparaciones y Costas</w:t>
      </w:r>
      <w:r w:rsidRPr="006203B0">
        <w:rPr>
          <w:rFonts w:ascii="Verdana" w:eastAsia="Times New Roman" w:hAnsi="Verdana" w:cs="Times New Roman"/>
          <w:spacing w:val="-12"/>
          <w:sz w:val="16"/>
          <w:szCs w:val="16"/>
          <w:lang w:val="es-VE"/>
        </w:rPr>
        <w:t xml:space="preserve">. Sentencia de 4 de julio de 2007. Serie C No. 165, párr. 26, y </w:t>
      </w:r>
      <w:r w:rsidRPr="00EE30C8">
        <w:rPr>
          <w:rFonts w:ascii="Verdana" w:eastAsia="Times New Roman" w:hAnsi="Verdana" w:cs="Times New Roman"/>
          <w:i/>
          <w:spacing w:val="-12"/>
          <w:sz w:val="16"/>
          <w:szCs w:val="16"/>
          <w:lang w:val="es-VE"/>
        </w:rPr>
        <w:t xml:space="preserve">Caso Favela Nova </w:t>
      </w:r>
      <w:proofErr w:type="spellStart"/>
      <w:r w:rsidRPr="00EE30C8">
        <w:rPr>
          <w:rFonts w:ascii="Verdana" w:eastAsia="Times New Roman" w:hAnsi="Verdana" w:cs="Times New Roman"/>
          <w:i/>
          <w:spacing w:val="-12"/>
          <w:sz w:val="16"/>
          <w:szCs w:val="16"/>
          <w:lang w:val="es-VE"/>
        </w:rPr>
        <w:t>Brasília</w:t>
      </w:r>
      <w:proofErr w:type="spellEnd"/>
      <w:r w:rsidRPr="00EE30C8">
        <w:rPr>
          <w:rFonts w:ascii="Verdana" w:eastAsia="Times New Roman" w:hAnsi="Verdana" w:cs="Times New Roman"/>
          <w:i/>
          <w:spacing w:val="-12"/>
          <w:sz w:val="16"/>
          <w:szCs w:val="16"/>
          <w:lang w:val="es-VE"/>
        </w:rPr>
        <w:t xml:space="preserve"> Vs. Brasil. Excepciones Preliminares, Fondo, Reparaciones y Costas</w:t>
      </w:r>
      <w:r w:rsidRPr="00EE30C8">
        <w:rPr>
          <w:rFonts w:ascii="Verdana" w:eastAsia="Times New Roman" w:hAnsi="Verdana" w:cs="Times New Roman"/>
          <w:spacing w:val="-12"/>
          <w:sz w:val="16"/>
          <w:szCs w:val="16"/>
          <w:lang w:val="es-VE"/>
        </w:rPr>
        <w:t>. Sentencia de 16 de febrero de 2017. Serie C No. 333, párr. 92</w:t>
      </w:r>
      <w:r w:rsidRPr="00CF3AED">
        <w:rPr>
          <w:rFonts w:ascii="Verdana" w:eastAsia="Times New Roman" w:hAnsi="Verdana" w:cs="Times New Roman"/>
          <w:spacing w:val="-12"/>
          <w:sz w:val="16"/>
          <w:szCs w:val="16"/>
          <w:lang w:val="es-VE"/>
        </w:rPr>
        <w:t>.</w:t>
      </w:r>
    </w:p>
  </w:footnote>
  <w:footnote w:id="46">
    <w:p w14:paraId="74C11651" w14:textId="1A6D0089" w:rsidR="00837BB9" w:rsidRPr="00D55480" w:rsidRDefault="00837BB9" w:rsidP="008349B1">
      <w:pPr>
        <w:pStyle w:val="FootnoteText"/>
        <w:spacing w:before="120" w:after="120"/>
        <w:jc w:val="both"/>
        <w:rPr>
          <w:rFonts w:ascii="Verdana" w:hAnsi="Verdana"/>
          <w:sz w:val="16"/>
          <w:szCs w:val="16"/>
          <w:lang w:val="es-CR"/>
        </w:rPr>
      </w:pPr>
      <w:r w:rsidRPr="00CF3AED">
        <w:rPr>
          <w:rStyle w:val="FootnoteReference"/>
          <w:rFonts w:ascii="Verdana" w:hAnsi="Verdana"/>
          <w:sz w:val="16"/>
          <w:szCs w:val="16"/>
        </w:rPr>
        <w:footnoteRef/>
      </w:r>
      <w:r w:rsidRPr="006203B0">
        <w:rPr>
          <w:rFonts w:ascii="Verdana" w:hAnsi="Verdana"/>
          <w:sz w:val="16"/>
          <w:szCs w:val="16"/>
        </w:rPr>
        <w:t xml:space="preserve"> </w:t>
      </w:r>
      <w:r w:rsidRPr="00FC1D38">
        <w:rPr>
          <w:rFonts w:ascii="Verdana" w:hAnsi="Verdana"/>
          <w:sz w:val="16"/>
          <w:szCs w:val="16"/>
          <w:lang w:val="es-CR"/>
        </w:rPr>
        <w:tab/>
      </w:r>
      <w:r w:rsidRPr="00EE30C8">
        <w:rPr>
          <w:rFonts w:ascii="Verdana" w:hAnsi="Verdana"/>
          <w:spacing w:val="-12"/>
          <w:sz w:val="16"/>
          <w:szCs w:val="16"/>
          <w:lang w:val="es-CR"/>
        </w:rPr>
        <w:t>Por ejemplo: “Súmate, Informe de Avance “El Referendo Revocatorio Presidencial” de 7 de septiembre de 2004”; Consejo Nacional Electoral, Resolución 030925</w:t>
      </w:r>
      <w:r w:rsidRPr="00EE30C8">
        <w:rPr>
          <w:rFonts w:ascii="Verdana" w:hAnsi="Verdana"/>
          <w:spacing w:val="-12"/>
          <w:sz w:val="16"/>
          <w:szCs w:val="16"/>
          <w:lang w:val="es-CR"/>
        </w:rPr>
        <w:noBreakHyphen/>
        <w:t>465 de 25 de septiembre de 2003; Consejo Nacional Electoral, Resolución 031015</w:t>
      </w:r>
      <w:r w:rsidRPr="00EE30C8">
        <w:rPr>
          <w:rFonts w:ascii="Verdana" w:hAnsi="Verdana"/>
          <w:spacing w:val="-12"/>
          <w:sz w:val="16"/>
          <w:szCs w:val="16"/>
          <w:lang w:val="es-CR"/>
        </w:rPr>
        <w:noBreakHyphen/>
        <w:t>529 de 15 de octubre de 2003; notas de prensa: “El Universal, La lista infame, Lo que molesta es cómo millones de personas salieron de las barriadas a votar sin miedo, 25 de febrero de 2012” y  “El Nacional, Resumen de casos recolectados por el Nacional, 24 de abril de 2005”.</w:t>
      </w:r>
    </w:p>
  </w:footnote>
  <w:footnote w:id="47">
    <w:p w14:paraId="12DD1C24" w14:textId="4332A5D5" w:rsidR="00837BB9" w:rsidRPr="007C51D0" w:rsidRDefault="00837BB9" w:rsidP="008349B1">
      <w:pPr>
        <w:pStyle w:val="FootnoteText"/>
        <w:spacing w:before="120" w:after="120"/>
        <w:jc w:val="both"/>
        <w:rPr>
          <w:rFonts w:ascii="Verdana" w:hAnsi="Verdana"/>
          <w:sz w:val="16"/>
          <w:szCs w:val="16"/>
          <w:lang w:val="es-CR"/>
        </w:rPr>
      </w:pPr>
      <w:r w:rsidRPr="00D55480">
        <w:rPr>
          <w:rStyle w:val="FootnoteReference"/>
          <w:rFonts w:ascii="Verdana" w:hAnsi="Verdana"/>
          <w:sz w:val="16"/>
          <w:szCs w:val="16"/>
        </w:rPr>
        <w:footnoteRef/>
      </w:r>
      <w:r w:rsidRPr="009E7E48">
        <w:rPr>
          <w:rFonts w:ascii="Verdana" w:hAnsi="Verdana"/>
          <w:sz w:val="16"/>
          <w:szCs w:val="16"/>
        </w:rPr>
        <w:t xml:space="preserve"> </w:t>
      </w:r>
      <w:r w:rsidRPr="008B6122">
        <w:rPr>
          <w:rFonts w:ascii="Verdana" w:hAnsi="Verdana"/>
          <w:spacing w:val="-12"/>
          <w:sz w:val="16"/>
          <w:szCs w:val="16"/>
          <w:lang w:val="es-CR"/>
        </w:rPr>
        <w:tab/>
        <w:t>Artículo 58.a) del Reglamento de la Corte: “[e]n cualquier estado de la causa la Corte podrá: a. Procurar de oficio toda prueba que considere útil y necesaria”.</w:t>
      </w:r>
    </w:p>
  </w:footnote>
  <w:footnote w:id="48">
    <w:p w14:paraId="21846388" w14:textId="7FEAD8F1" w:rsidR="00837BB9" w:rsidRPr="007C51D0" w:rsidRDefault="00837BB9" w:rsidP="008349B1">
      <w:pPr>
        <w:pStyle w:val="FootnoteText"/>
        <w:jc w:val="both"/>
        <w:rPr>
          <w:rFonts w:ascii="Verdana" w:hAnsi="Verdana"/>
          <w:sz w:val="16"/>
          <w:szCs w:val="16"/>
          <w:lang w:val="es-CR"/>
        </w:rPr>
      </w:pPr>
      <w:r w:rsidRPr="00CF3AED">
        <w:rPr>
          <w:rStyle w:val="FootnoteReference"/>
          <w:rFonts w:ascii="Verdana" w:hAnsi="Verdana"/>
          <w:sz w:val="16"/>
          <w:szCs w:val="16"/>
        </w:rPr>
        <w:footnoteRef/>
      </w:r>
      <w:r w:rsidRPr="00CF3AED">
        <w:rPr>
          <w:rFonts w:ascii="Verdana" w:hAnsi="Verdana"/>
          <w:sz w:val="16"/>
          <w:szCs w:val="16"/>
        </w:rPr>
        <w:t xml:space="preserve"> </w:t>
      </w:r>
      <w:r w:rsidRPr="00CF3AED">
        <w:rPr>
          <w:rFonts w:ascii="Verdana" w:hAnsi="Verdana"/>
          <w:spacing w:val="-12"/>
          <w:sz w:val="16"/>
          <w:szCs w:val="16"/>
          <w:lang w:val="es-CR"/>
        </w:rPr>
        <w:tab/>
        <w:t xml:space="preserve">En similar sentido, ver </w:t>
      </w:r>
      <w:r w:rsidRPr="006203B0">
        <w:rPr>
          <w:rFonts w:ascii="Verdana" w:hAnsi="Verdana"/>
          <w:i/>
          <w:spacing w:val="-12"/>
          <w:sz w:val="16"/>
          <w:szCs w:val="16"/>
          <w:lang w:val="es-CR"/>
        </w:rPr>
        <w:t>Caso Veliz Franco y otros Vs. Guatemala. Excepciones Preliminares, Fondo, Reparaciones y Costas.</w:t>
      </w:r>
      <w:r w:rsidRPr="00FC1D38">
        <w:rPr>
          <w:rFonts w:ascii="Verdana" w:hAnsi="Verdana"/>
          <w:spacing w:val="-12"/>
          <w:sz w:val="16"/>
          <w:szCs w:val="16"/>
          <w:lang w:val="es-CR"/>
        </w:rPr>
        <w:t xml:space="preserve"> Sentencia de 19 de mayo de 2014. Serie C No. 277</w:t>
      </w:r>
      <w:r w:rsidRPr="000536CF">
        <w:rPr>
          <w:rFonts w:ascii="Verdana" w:hAnsi="Verdana"/>
          <w:spacing w:val="-12"/>
          <w:sz w:val="16"/>
          <w:szCs w:val="16"/>
          <w:lang w:val="es-CR"/>
        </w:rPr>
        <w:t>, párr. 53</w:t>
      </w:r>
      <w:r>
        <w:rPr>
          <w:rFonts w:ascii="Verdana" w:hAnsi="Verdana"/>
          <w:spacing w:val="-12"/>
          <w:sz w:val="16"/>
          <w:szCs w:val="16"/>
          <w:lang w:val="es-CR"/>
        </w:rPr>
        <w:t xml:space="preserve">; y </w:t>
      </w:r>
      <w:r w:rsidRPr="00C94950">
        <w:rPr>
          <w:rFonts w:ascii="Verdana" w:hAnsi="Verdana"/>
          <w:i/>
          <w:spacing w:val="-12"/>
          <w:sz w:val="16"/>
          <w:szCs w:val="16"/>
          <w:lang w:val="es-MX"/>
        </w:rPr>
        <w:t>Caso Trabajadores Cesados de Petroperú y otros Vs. Perú, supra</w:t>
      </w:r>
      <w:r w:rsidRPr="00C94950">
        <w:rPr>
          <w:rFonts w:ascii="Verdana" w:hAnsi="Verdana"/>
          <w:spacing w:val="-12"/>
          <w:sz w:val="16"/>
          <w:szCs w:val="16"/>
          <w:lang w:val="es-MX"/>
        </w:rPr>
        <w:t>, párr.</w:t>
      </w:r>
      <w:r>
        <w:rPr>
          <w:rFonts w:ascii="Verdana" w:hAnsi="Verdana"/>
          <w:spacing w:val="-12"/>
          <w:sz w:val="16"/>
          <w:szCs w:val="16"/>
          <w:lang w:val="es-MX"/>
        </w:rPr>
        <w:t xml:space="preserve"> 77</w:t>
      </w:r>
      <w:r w:rsidRPr="000536CF">
        <w:rPr>
          <w:rFonts w:ascii="Verdana" w:hAnsi="Verdana"/>
          <w:spacing w:val="-12"/>
          <w:sz w:val="16"/>
          <w:szCs w:val="16"/>
          <w:lang w:val="es-CR"/>
        </w:rPr>
        <w:t>.</w:t>
      </w:r>
    </w:p>
  </w:footnote>
  <w:footnote w:id="49">
    <w:p w14:paraId="67E4DADD" w14:textId="625848C5" w:rsidR="00837BB9" w:rsidRPr="00CF3AED" w:rsidRDefault="00837BB9" w:rsidP="008349B1">
      <w:pPr>
        <w:pStyle w:val="FootnoteText"/>
        <w:tabs>
          <w:tab w:val="left" w:pos="567"/>
        </w:tabs>
        <w:spacing w:before="120" w:after="120"/>
        <w:jc w:val="both"/>
        <w:rPr>
          <w:rFonts w:ascii="Verdana" w:hAnsi="Verdana"/>
          <w:spacing w:val="-12"/>
          <w:sz w:val="16"/>
          <w:szCs w:val="16"/>
          <w:lang w:val="es-CR"/>
        </w:rPr>
      </w:pPr>
      <w:r w:rsidRPr="00147324">
        <w:rPr>
          <w:rStyle w:val="FootnoteReference"/>
          <w:rFonts w:ascii="Verdana" w:hAnsi="Verdana"/>
          <w:spacing w:val="-12"/>
          <w:sz w:val="16"/>
          <w:szCs w:val="16"/>
        </w:rPr>
        <w:footnoteRef/>
      </w:r>
      <w:r w:rsidRPr="00147324">
        <w:rPr>
          <w:rFonts w:ascii="Verdana" w:hAnsi="Verdana"/>
          <w:spacing w:val="-12"/>
          <w:sz w:val="16"/>
          <w:szCs w:val="16"/>
        </w:rPr>
        <w:t xml:space="preserve"> </w:t>
      </w:r>
      <w:r w:rsidRPr="00147324">
        <w:rPr>
          <w:rFonts w:ascii="Verdana" w:hAnsi="Verdana"/>
          <w:spacing w:val="-12"/>
          <w:sz w:val="16"/>
          <w:szCs w:val="16"/>
        </w:rPr>
        <w:tab/>
      </w:r>
      <w:r w:rsidRPr="00147324">
        <w:rPr>
          <w:rFonts w:ascii="Verdana" w:hAnsi="Verdana"/>
          <w:i/>
          <w:spacing w:val="-12"/>
          <w:sz w:val="16"/>
          <w:szCs w:val="16"/>
          <w:lang w:val="es-ES"/>
        </w:rPr>
        <w:t>Cfr.</w:t>
      </w:r>
      <w:r w:rsidRPr="00147324">
        <w:rPr>
          <w:rFonts w:ascii="Verdana" w:hAnsi="Verdana"/>
          <w:i/>
          <w:spacing w:val="-12"/>
          <w:sz w:val="16"/>
          <w:szCs w:val="16"/>
          <w:lang w:val="es-MX"/>
        </w:rPr>
        <w:t xml:space="preserve"> Caso Díaz Peña Vs. Venezuela. Excepción Preliminar, Fondo, Reparaciones y Costas</w:t>
      </w:r>
      <w:r w:rsidRPr="00147324">
        <w:rPr>
          <w:rFonts w:ascii="Verdana" w:hAnsi="Verdana"/>
          <w:spacing w:val="-12"/>
          <w:sz w:val="16"/>
          <w:szCs w:val="16"/>
          <w:lang w:val="es-MX"/>
        </w:rPr>
        <w:t xml:space="preserve">. Sentencia de 26 de junio de </w:t>
      </w:r>
      <w:r>
        <w:rPr>
          <w:rFonts w:ascii="Verdana" w:hAnsi="Verdana"/>
          <w:spacing w:val="-12"/>
          <w:sz w:val="16"/>
          <w:szCs w:val="16"/>
          <w:lang w:val="es-MX"/>
        </w:rPr>
        <w:t xml:space="preserve">2012. Serie C No. 244, párr. 33; y </w:t>
      </w:r>
      <w:r w:rsidRPr="008349B1">
        <w:rPr>
          <w:rFonts w:ascii="Verdana" w:hAnsi="Verdana"/>
          <w:i/>
          <w:spacing w:val="-12"/>
          <w:sz w:val="16"/>
          <w:szCs w:val="16"/>
          <w:lang w:val="es-MX"/>
        </w:rPr>
        <w:t xml:space="preserve">Caso </w:t>
      </w:r>
      <w:proofErr w:type="spellStart"/>
      <w:r w:rsidRPr="008349B1">
        <w:rPr>
          <w:rFonts w:ascii="Verdana" w:hAnsi="Verdana"/>
          <w:i/>
          <w:spacing w:val="-12"/>
          <w:sz w:val="16"/>
          <w:szCs w:val="16"/>
          <w:lang w:val="es-MX"/>
        </w:rPr>
        <w:t>Uzcátegui</w:t>
      </w:r>
      <w:proofErr w:type="spellEnd"/>
      <w:r w:rsidRPr="008349B1">
        <w:rPr>
          <w:rFonts w:ascii="Verdana" w:hAnsi="Verdana"/>
          <w:i/>
          <w:spacing w:val="-12"/>
          <w:sz w:val="16"/>
          <w:szCs w:val="16"/>
          <w:lang w:val="es-MX"/>
        </w:rPr>
        <w:t xml:space="preserve"> y otros Vs. Venezuela. Fondo y Reparaciones. </w:t>
      </w:r>
      <w:r w:rsidRPr="008349B1">
        <w:rPr>
          <w:rFonts w:ascii="Verdana" w:hAnsi="Verdana"/>
          <w:spacing w:val="-12"/>
          <w:sz w:val="16"/>
          <w:szCs w:val="16"/>
          <w:lang w:val="es-MX"/>
        </w:rPr>
        <w:t>Sentencia de 3 de septiembre de 2012, Serie C No. 249, párr. 29</w:t>
      </w:r>
    </w:p>
  </w:footnote>
  <w:footnote w:id="50">
    <w:p w14:paraId="6445D10E" w14:textId="72C2B3BB" w:rsidR="00837BB9" w:rsidRPr="000536CF"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6203B0">
        <w:rPr>
          <w:rFonts w:ascii="Verdana" w:hAnsi="Verdana"/>
          <w:spacing w:val="-12"/>
          <w:sz w:val="16"/>
          <w:szCs w:val="16"/>
          <w:lang w:val="es-CR"/>
        </w:rPr>
        <w:tab/>
      </w:r>
      <w:r w:rsidRPr="00FC1D38">
        <w:rPr>
          <w:rFonts w:ascii="Verdana" w:hAnsi="Verdana"/>
          <w:i/>
          <w:spacing w:val="-12"/>
          <w:sz w:val="16"/>
          <w:szCs w:val="16"/>
          <w:lang w:val="es-ES"/>
        </w:rPr>
        <w:t xml:space="preserve">Cfr. Caso Ortiz Hernández </w:t>
      </w:r>
      <w:r w:rsidRPr="000536CF">
        <w:rPr>
          <w:rFonts w:ascii="Verdana" w:hAnsi="Verdana"/>
          <w:i/>
          <w:spacing w:val="-12"/>
          <w:sz w:val="16"/>
          <w:szCs w:val="16"/>
          <w:lang w:val="es-ES"/>
        </w:rPr>
        <w:t>Vs.  Venezuela</w:t>
      </w:r>
      <w:r w:rsidRPr="001C16AC">
        <w:rPr>
          <w:rFonts w:ascii="Verdana" w:hAnsi="Verdana"/>
          <w:i/>
          <w:spacing w:val="-12"/>
          <w:sz w:val="16"/>
          <w:szCs w:val="16"/>
          <w:lang w:val="es-ES"/>
        </w:rPr>
        <w:t xml:space="preserve">. </w:t>
      </w:r>
      <w:r w:rsidRPr="007C51D0">
        <w:rPr>
          <w:rFonts w:ascii="Verdana" w:hAnsi="Verdana"/>
          <w:bCs/>
          <w:spacing w:val="-12"/>
          <w:sz w:val="16"/>
          <w:szCs w:val="16"/>
          <w:lang w:val="es-CR"/>
        </w:rPr>
        <w:t>Fondo, Reparaciones y Costas. Sentencia de 22 de agosto de 2017. Serie C No. 338</w:t>
      </w:r>
      <w:r w:rsidRPr="00CF3AED">
        <w:rPr>
          <w:rFonts w:ascii="Verdana" w:hAnsi="Verdana"/>
          <w:i/>
          <w:spacing w:val="-12"/>
          <w:sz w:val="16"/>
          <w:szCs w:val="16"/>
          <w:lang w:val="es-ES"/>
        </w:rPr>
        <w:t xml:space="preserve">, </w:t>
      </w:r>
      <w:r w:rsidRPr="00FC1D38">
        <w:rPr>
          <w:rFonts w:ascii="Verdana" w:hAnsi="Verdana"/>
          <w:spacing w:val="-12"/>
          <w:sz w:val="16"/>
          <w:szCs w:val="16"/>
          <w:lang w:val="es-ES"/>
        </w:rPr>
        <w:t xml:space="preserve">párr. </w:t>
      </w:r>
      <w:r w:rsidRPr="000536CF">
        <w:rPr>
          <w:rFonts w:ascii="Verdana" w:hAnsi="Verdana"/>
          <w:spacing w:val="-12"/>
          <w:sz w:val="16"/>
          <w:szCs w:val="16"/>
          <w:lang w:val="es-ES"/>
        </w:rPr>
        <w:t>49.</w:t>
      </w:r>
    </w:p>
  </w:footnote>
  <w:footnote w:id="51">
    <w:p w14:paraId="49612D42" w14:textId="7C346737" w:rsidR="00837BB9" w:rsidRPr="007C51D0" w:rsidRDefault="00837BB9" w:rsidP="008349B1">
      <w:pPr>
        <w:pStyle w:val="FootnoteText"/>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CF3AED">
        <w:rPr>
          <w:rFonts w:ascii="Verdana" w:hAnsi="Verdana"/>
          <w:spacing w:val="-12"/>
          <w:sz w:val="16"/>
          <w:szCs w:val="16"/>
          <w:lang w:val="es-ES"/>
        </w:rPr>
        <w:tab/>
        <w:t>Alegó que el perito carece de experiencia académica en las materias de Derecho Laboral, Derecho Administrativo y Derecho Funcionarial; incurrió en perjurio por las graves inconsistencias en su declaración, pues además de un desconocimiento de aspectos esenciales del caso, no tiene la experiencia que indicó pues no podría haber realizado asesorías desde hace 10 años cuando solo tiene 7 años egresado de la universidad como abogado. Por estas razones, así como por su falta de credibilidad, solicitó que la declaración sea desestimada como medio probatorio por este Tribunal.</w:t>
      </w:r>
    </w:p>
  </w:footnote>
  <w:footnote w:id="52">
    <w:p w14:paraId="57AB209C" w14:textId="462A451D" w:rsidR="00837BB9" w:rsidRPr="006203B0" w:rsidRDefault="00837BB9" w:rsidP="008349B1">
      <w:pPr>
        <w:pStyle w:val="FootnoteText"/>
        <w:spacing w:before="120" w:after="120"/>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hAnsi="Verdana"/>
          <w:i/>
          <w:spacing w:val="-12"/>
          <w:sz w:val="16"/>
          <w:szCs w:val="16"/>
          <w:lang w:val="es-MX"/>
        </w:rPr>
        <w:t>C</w:t>
      </w:r>
      <w:r>
        <w:rPr>
          <w:rFonts w:ascii="Verdana" w:hAnsi="Verdana"/>
          <w:i/>
          <w:spacing w:val="-12"/>
          <w:sz w:val="16"/>
          <w:szCs w:val="16"/>
          <w:lang w:val="es-MX"/>
        </w:rPr>
        <w:t xml:space="preserve">fr. Caso </w:t>
      </w:r>
      <w:r w:rsidRPr="00CF3AED">
        <w:rPr>
          <w:rFonts w:ascii="Verdana" w:hAnsi="Verdana"/>
          <w:i/>
          <w:spacing w:val="-12"/>
          <w:sz w:val="16"/>
          <w:szCs w:val="16"/>
          <w:lang w:val="es-MX"/>
        </w:rPr>
        <w:t xml:space="preserve">Velásquez </w:t>
      </w:r>
      <w:proofErr w:type="spellStart"/>
      <w:r w:rsidRPr="00CF3AED">
        <w:rPr>
          <w:rFonts w:ascii="Verdana" w:hAnsi="Verdana"/>
          <w:i/>
          <w:spacing w:val="-12"/>
          <w:sz w:val="16"/>
          <w:szCs w:val="16"/>
          <w:lang w:val="es-MX"/>
        </w:rPr>
        <w:t>Paiz</w:t>
      </w:r>
      <w:proofErr w:type="spellEnd"/>
      <w:r w:rsidRPr="00CF3AED">
        <w:rPr>
          <w:rFonts w:ascii="Verdana" w:hAnsi="Verdana"/>
          <w:i/>
          <w:spacing w:val="-12"/>
          <w:sz w:val="16"/>
          <w:szCs w:val="16"/>
          <w:lang w:val="es-MX"/>
        </w:rPr>
        <w:t xml:space="preserve"> y otros Vs. Guatemala Excepciones Preliminares, Fondo, Reparaciones y Costas.</w:t>
      </w:r>
      <w:r w:rsidRPr="00CF3AED">
        <w:rPr>
          <w:rFonts w:ascii="Verdana" w:hAnsi="Verdana"/>
          <w:spacing w:val="-12"/>
          <w:sz w:val="16"/>
          <w:szCs w:val="16"/>
          <w:lang w:val="es-MX"/>
        </w:rPr>
        <w:t xml:space="preserve"> Sentencia de 19 de noviembre de 2015. Se</w:t>
      </w:r>
      <w:r w:rsidRPr="006203B0">
        <w:rPr>
          <w:rFonts w:ascii="Verdana" w:hAnsi="Verdana"/>
          <w:spacing w:val="-12"/>
          <w:sz w:val="16"/>
          <w:szCs w:val="16"/>
          <w:lang w:val="es-MX"/>
        </w:rPr>
        <w:t>rie C No. 307, párr. 36.</w:t>
      </w:r>
    </w:p>
  </w:footnote>
  <w:footnote w:id="53">
    <w:p w14:paraId="06D1CE0E" w14:textId="1CA3498B" w:rsidR="00837BB9" w:rsidRPr="0069409D" w:rsidRDefault="00837BB9" w:rsidP="008349B1">
      <w:pPr>
        <w:pStyle w:val="FootnoteText"/>
        <w:spacing w:before="120" w:after="120"/>
        <w:jc w:val="both"/>
        <w:rPr>
          <w:rFonts w:ascii="Verdana" w:eastAsia="Calibri" w:hAnsi="Verdana" w:cs="Verdana"/>
          <w:spacing w:val="-12"/>
          <w:sz w:val="16"/>
          <w:szCs w:val="16"/>
          <w:lang w:val="es-ES_tradnl" w:eastAsia="es-ES"/>
        </w:rPr>
      </w:pPr>
      <w:r w:rsidRPr="00FC1D38">
        <w:rPr>
          <w:rStyle w:val="FootnoteReference"/>
          <w:rFonts w:ascii="Verdana" w:hAnsi="Verdana"/>
          <w:spacing w:val="-12"/>
          <w:sz w:val="16"/>
          <w:szCs w:val="16"/>
        </w:rPr>
        <w:footnoteRef/>
      </w:r>
      <w:r w:rsidRPr="000536CF">
        <w:rPr>
          <w:rFonts w:ascii="Verdana" w:hAnsi="Verdana"/>
          <w:spacing w:val="-12"/>
          <w:sz w:val="16"/>
          <w:szCs w:val="16"/>
        </w:rPr>
        <w:t xml:space="preserve"> </w:t>
      </w:r>
      <w:r w:rsidRPr="000536CF">
        <w:rPr>
          <w:rFonts w:ascii="Verdana" w:hAnsi="Verdana"/>
          <w:i/>
          <w:spacing w:val="-12"/>
          <w:sz w:val="16"/>
          <w:szCs w:val="16"/>
          <w:lang w:val="es-MX"/>
        </w:rPr>
        <w:tab/>
        <w:t xml:space="preserve">Cfr. Caso Cabrera Garcia y Montiel Flores vs México. </w:t>
      </w:r>
      <w:r w:rsidRPr="000536CF">
        <w:rPr>
          <w:rFonts w:ascii="Verdana" w:hAnsi="Verdana"/>
          <w:spacing w:val="-12"/>
          <w:sz w:val="16"/>
          <w:szCs w:val="16"/>
          <w:lang w:val="es-MX"/>
        </w:rPr>
        <w:t>Resolución de la Corte Interamericana de 2</w:t>
      </w:r>
      <w:r w:rsidRPr="006001C8">
        <w:rPr>
          <w:rFonts w:ascii="Verdana" w:hAnsi="Verdana"/>
          <w:spacing w:val="-12"/>
          <w:sz w:val="16"/>
          <w:szCs w:val="16"/>
          <w:lang w:val="es-MX"/>
        </w:rPr>
        <w:t xml:space="preserve"> de </w:t>
      </w:r>
      <w:r w:rsidRPr="00D55480">
        <w:rPr>
          <w:rFonts w:ascii="Verdana" w:hAnsi="Verdana"/>
          <w:spacing w:val="-12"/>
          <w:sz w:val="16"/>
          <w:szCs w:val="16"/>
          <w:lang w:val="es-MX"/>
        </w:rPr>
        <w:t>julio</w:t>
      </w:r>
      <w:r w:rsidRPr="009E7E48">
        <w:rPr>
          <w:rFonts w:ascii="Verdana" w:hAnsi="Verdana"/>
          <w:spacing w:val="-12"/>
          <w:sz w:val="16"/>
          <w:szCs w:val="16"/>
          <w:lang w:val="es-MX"/>
        </w:rPr>
        <w:t xml:space="preserve"> </w:t>
      </w:r>
      <w:r w:rsidRPr="008B6122">
        <w:rPr>
          <w:rFonts w:ascii="Verdana" w:hAnsi="Verdana"/>
          <w:spacing w:val="-12"/>
          <w:sz w:val="16"/>
          <w:szCs w:val="16"/>
          <w:lang w:val="es-MX"/>
        </w:rPr>
        <w:t xml:space="preserve">de 2010, </w:t>
      </w:r>
      <w:proofErr w:type="spellStart"/>
      <w:r w:rsidRPr="0012407E">
        <w:rPr>
          <w:rFonts w:ascii="Verdana" w:hAnsi="Verdana"/>
          <w:spacing w:val="-12"/>
          <w:sz w:val="16"/>
          <w:szCs w:val="16"/>
          <w:lang w:val="es-MX"/>
        </w:rPr>
        <w:t>párr</w:t>
      </w:r>
      <w:r w:rsidRPr="00C7142E">
        <w:rPr>
          <w:rFonts w:ascii="Verdana" w:hAnsi="Verdana"/>
          <w:spacing w:val="-12"/>
          <w:sz w:val="16"/>
          <w:szCs w:val="16"/>
          <w:lang w:val="es-MX"/>
        </w:rPr>
        <w:t>s</w:t>
      </w:r>
      <w:proofErr w:type="spellEnd"/>
      <w:r w:rsidRPr="00C7142E">
        <w:rPr>
          <w:rFonts w:ascii="Verdana" w:hAnsi="Verdana"/>
          <w:spacing w:val="-12"/>
          <w:sz w:val="16"/>
          <w:szCs w:val="16"/>
          <w:lang w:val="es-MX"/>
        </w:rPr>
        <w:t xml:space="preserve">. </w:t>
      </w:r>
      <w:r>
        <w:rPr>
          <w:rFonts w:ascii="Verdana" w:hAnsi="Verdana"/>
          <w:spacing w:val="-12"/>
          <w:sz w:val="16"/>
          <w:szCs w:val="16"/>
          <w:lang w:val="es-MX"/>
        </w:rPr>
        <w:t>considerativos 19 a 26</w:t>
      </w:r>
      <w:r w:rsidRPr="0069409D">
        <w:rPr>
          <w:rFonts w:ascii="Verdana" w:hAnsi="Verdana"/>
          <w:spacing w:val="-12"/>
          <w:sz w:val="16"/>
          <w:szCs w:val="16"/>
          <w:lang w:val="es-MX"/>
        </w:rPr>
        <w:t>.</w:t>
      </w:r>
    </w:p>
  </w:footnote>
  <w:footnote w:id="54">
    <w:p w14:paraId="39DAA0FD" w14:textId="626AB08C" w:rsidR="00837BB9" w:rsidRPr="00CE7020"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MX"/>
        </w:rPr>
        <w:t xml:space="preserve">Cfr. Caso San Miguel Sosa y otras Vs. Venezuela. </w:t>
      </w:r>
      <w:r w:rsidRPr="006C24C0">
        <w:rPr>
          <w:rFonts w:ascii="Verdana" w:hAnsi="Verdana"/>
          <w:spacing w:val="-12"/>
          <w:sz w:val="16"/>
          <w:szCs w:val="16"/>
          <w:lang w:val="es-MX"/>
        </w:rPr>
        <w:t xml:space="preserve">Resolución de la Corte de 6 de febrero de 2017, </w:t>
      </w:r>
      <w:r w:rsidRPr="003100FE">
        <w:rPr>
          <w:rFonts w:ascii="Verdana" w:hAnsi="Verdana"/>
          <w:i/>
          <w:spacing w:val="-12"/>
          <w:sz w:val="16"/>
          <w:szCs w:val="16"/>
          <w:lang w:val="es-MX"/>
        </w:rPr>
        <w:t>supra</w:t>
      </w:r>
      <w:r w:rsidRPr="0003211A">
        <w:rPr>
          <w:rFonts w:ascii="Verdana" w:hAnsi="Verdana"/>
          <w:spacing w:val="-12"/>
          <w:sz w:val="16"/>
          <w:szCs w:val="16"/>
          <w:lang w:val="es-MX"/>
        </w:rPr>
        <w:t>, párr. considerativo 12.</w:t>
      </w:r>
    </w:p>
  </w:footnote>
  <w:footnote w:id="55">
    <w:p w14:paraId="5830C404" w14:textId="459C4FBB" w:rsidR="00837BB9" w:rsidRPr="006203B0"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spacing w:val="-12"/>
          <w:sz w:val="16"/>
          <w:szCs w:val="16"/>
          <w:lang w:val="es-MX"/>
        </w:rPr>
        <w:footnoteRef/>
      </w:r>
      <w:r w:rsidRPr="00C7142E">
        <w:rPr>
          <w:rFonts w:ascii="Verdana" w:hAnsi="Verdana"/>
          <w:spacing w:val="-12"/>
          <w:sz w:val="16"/>
          <w:szCs w:val="16"/>
          <w:lang w:val="es-MX"/>
        </w:rPr>
        <w:t xml:space="preserve"> </w:t>
      </w:r>
      <w:r w:rsidRPr="00C7142E">
        <w:rPr>
          <w:rFonts w:ascii="Verdana" w:hAnsi="Verdana"/>
          <w:spacing w:val="-12"/>
          <w:sz w:val="16"/>
          <w:szCs w:val="16"/>
          <w:lang w:val="es-MX"/>
        </w:rPr>
        <w:tab/>
      </w:r>
      <w:r w:rsidRPr="00C7142E">
        <w:rPr>
          <w:rFonts w:ascii="Verdana" w:hAnsi="Verdana"/>
          <w:i/>
          <w:spacing w:val="-12"/>
          <w:sz w:val="16"/>
          <w:szCs w:val="16"/>
          <w:lang w:val="es-MX"/>
        </w:rPr>
        <w:t>Cfr</w:t>
      </w:r>
      <w:r w:rsidRPr="0069409D">
        <w:rPr>
          <w:rFonts w:ascii="Verdana" w:hAnsi="Verdana"/>
          <w:spacing w:val="-12"/>
          <w:sz w:val="16"/>
          <w:szCs w:val="16"/>
          <w:lang w:val="es-MX"/>
        </w:rPr>
        <w:t>.</w:t>
      </w:r>
      <w:r w:rsidRPr="0069409D">
        <w:rPr>
          <w:rFonts w:ascii="Verdana" w:hAnsi="Verdana"/>
          <w:i/>
          <w:spacing w:val="-12"/>
          <w:sz w:val="16"/>
          <w:szCs w:val="16"/>
          <w:lang w:val="es-MX"/>
        </w:rPr>
        <w:t xml:space="preserve"> Caso de la “Panel Blanca” (Paniagua Morales y otros) Vs. Guatemala</w:t>
      </w:r>
      <w:r w:rsidRPr="006C24C0">
        <w:rPr>
          <w:rFonts w:ascii="Verdana" w:hAnsi="Verdana"/>
          <w:spacing w:val="-12"/>
          <w:sz w:val="16"/>
          <w:szCs w:val="16"/>
          <w:lang w:val="es-MX"/>
        </w:rPr>
        <w:t xml:space="preserve">. </w:t>
      </w:r>
      <w:r w:rsidRPr="008349B1">
        <w:rPr>
          <w:rFonts w:ascii="Verdana" w:hAnsi="Verdana"/>
          <w:i/>
          <w:spacing w:val="-12"/>
          <w:sz w:val="16"/>
          <w:szCs w:val="16"/>
          <w:lang w:val="es-MX"/>
        </w:rPr>
        <w:t>Fondo</w:t>
      </w:r>
      <w:r w:rsidRPr="006C24C0">
        <w:rPr>
          <w:rFonts w:ascii="Verdana" w:hAnsi="Verdana"/>
          <w:spacing w:val="-12"/>
          <w:sz w:val="16"/>
          <w:szCs w:val="16"/>
          <w:lang w:val="es-MX"/>
        </w:rPr>
        <w:t xml:space="preserve">. Sentencia de 8 de marzo de 1998. Serie C No. 37, párr. 76, y </w:t>
      </w:r>
      <w:r w:rsidRPr="00C94950">
        <w:rPr>
          <w:rFonts w:ascii="Verdana" w:hAnsi="Verdana"/>
          <w:i/>
          <w:spacing w:val="-12"/>
          <w:sz w:val="16"/>
          <w:szCs w:val="16"/>
          <w:lang w:val="es-MX"/>
        </w:rPr>
        <w:t>Caso Trabajadores Cesados de Petroperú y otros Vs. Perú, supra</w:t>
      </w:r>
      <w:r w:rsidRPr="00C94950">
        <w:rPr>
          <w:rFonts w:ascii="Verdana" w:hAnsi="Verdana"/>
          <w:spacing w:val="-12"/>
          <w:sz w:val="16"/>
          <w:szCs w:val="16"/>
          <w:lang w:val="es-MX"/>
        </w:rPr>
        <w:t>, párr.</w:t>
      </w:r>
      <w:r>
        <w:rPr>
          <w:rFonts w:ascii="Verdana" w:hAnsi="Verdana"/>
          <w:spacing w:val="-12"/>
          <w:sz w:val="16"/>
          <w:szCs w:val="16"/>
          <w:lang w:val="es-MX"/>
        </w:rPr>
        <w:t xml:space="preserve"> 79</w:t>
      </w:r>
      <w:r w:rsidRPr="006203B0">
        <w:rPr>
          <w:rFonts w:ascii="Verdana" w:hAnsi="Verdana"/>
          <w:spacing w:val="-12"/>
          <w:sz w:val="16"/>
          <w:szCs w:val="16"/>
          <w:lang w:val="es-MX"/>
        </w:rPr>
        <w:t xml:space="preserve">. </w:t>
      </w:r>
    </w:p>
  </w:footnote>
  <w:footnote w:id="56">
    <w:p w14:paraId="61DCB84D" w14:textId="2AEF51F5" w:rsidR="00837BB9" w:rsidRPr="006C24C0" w:rsidRDefault="00837BB9" w:rsidP="008349B1">
      <w:pPr>
        <w:pStyle w:val="FootnoteText"/>
        <w:spacing w:before="120" w:after="120"/>
        <w:jc w:val="both"/>
        <w:rPr>
          <w:rFonts w:ascii="Verdana" w:hAnsi="Verdana"/>
          <w:spacing w:val="-12"/>
          <w:sz w:val="16"/>
          <w:szCs w:val="16"/>
          <w:lang w:val="es-MX"/>
        </w:rPr>
      </w:pPr>
      <w:r w:rsidRPr="00FC1D38">
        <w:rPr>
          <w:rStyle w:val="FootnoteReference"/>
          <w:rFonts w:ascii="Verdana" w:hAnsi="Verdana"/>
          <w:spacing w:val="-12"/>
          <w:sz w:val="16"/>
          <w:szCs w:val="16"/>
          <w:lang w:val="es-MX"/>
        </w:rPr>
        <w:footnoteRef/>
      </w:r>
      <w:r w:rsidRPr="000536CF">
        <w:rPr>
          <w:rFonts w:ascii="Verdana" w:hAnsi="Verdana"/>
          <w:spacing w:val="-12"/>
          <w:sz w:val="16"/>
          <w:szCs w:val="16"/>
          <w:lang w:val="es-MX"/>
        </w:rPr>
        <w:t xml:space="preserve"> </w:t>
      </w:r>
      <w:r w:rsidRPr="000536CF">
        <w:rPr>
          <w:rFonts w:ascii="Verdana" w:hAnsi="Verdana"/>
          <w:spacing w:val="-12"/>
          <w:sz w:val="16"/>
          <w:szCs w:val="16"/>
          <w:lang w:val="es-MX"/>
        </w:rPr>
        <w:tab/>
      </w:r>
      <w:r w:rsidRPr="000536CF">
        <w:rPr>
          <w:rFonts w:ascii="Verdana" w:hAnsi="Verdana"/>
          <w:i/>
          <w:spacing w:val="-12"/>
          <w:sz w:val="16"/>
          <w:szCs w:val="16"/>
          <w:lang w:val="es-MX"/>
        </w:rPr>
        <w:t>Cfr</w:t>
      </w:r>
      <w:r w:rsidRPr="000536CF">
        <w:rPr>
          <w:rFonts w:ascii="Verdana" w:hAnsi="Verdana"/>
          <w:spacing w:val="-12"/>
          <w:sz w:val="16"/>
          <w:szCs w:val="16"/>
          <w:lang w:val="es-MX"/>
        </w:rPr>
        <w:t xml:space="preserve">. </w:t>
      </w:r>
      <w:r w:rsidRPr="001C16AC">
        <w:rPr>
          <w:rFonts w:ascii="Verdana" w:hAnsi="Verdana"/>
          <w:i/>
          <w:spacing w:val="-12"/>
          <w:sz w:val="16"/>
          <w:szCs w:val="16"/>
          <w:lang w:val="es-MX"/>
        </w:rPr>
        <w:t>Caso Loayza Tamayo Vs. Perú</w:t>
      </w:r>
      <w:r w:rsidRPr="006001C8">
        <w:rPr>
          <w:rFonts w:ascii="Verdana" w:hAnsi="Verdana"/>
          <w:i/>
          <w:spacing w:val="-12"/>
          <w:sz w:val="16"/>
          <w:szCs w:val="16"/>
          <w:lang w:val="es-MX"/>
        </w:rPr>
        <w:t>. Fondo</w:t>
      </w:r>
      <w:r w:rsidRPr="00D55480">
        <w:rPr>
          <w:rFonts w:ascii="Verdana" w:hAnsi="Verdana"/>
          <w:spacing w:val="-12"/>
          <w:sz w:val="16"/>
          <w:szCs w:val="16"/>
          <w:lang w:val="es-MX"/>
        </w:rPr>
        <w:t>. Sentencia de 17 de septiembre de 1997. Serie C No. 33,</w:t>
      </w:r>
      <w:r w:rsidRPr="008B6122">
        <w:rPr>
          <w:rFonts w:ascii="Verdana" w:hAnsi="Verdana"/>
          <w:spacing w:val="-12"/>
          <w:sz w:val="16"/>
          <w:szCs w:val="16"/>
          <w:lang w:val="es-MX"/>
        </w:rPr>
        <w:t xml:space="preserve"> párr. 4</w:t>
      </w:r>
      <w:r w:rsidRPr="0012407E">
        <w:rPr>
          <w:rFonts w:ascii="Verdana" w:hAnsi="Verdana"/>
          <w:spacing w:val="-12"/>
          <w:sz w:val="16"/>
          <w:szCs w:val="16"/>
          <w:lang w:val="es-MX"/>
        </w:rPr>
        <w:t xml:space="preserve">3, y </w:t>
      </w:r>
      <w:r w:rsidRPr="00EE30C8">
        <w:rPr>
          <w:rFonts w:ascii="Verdana" w:hAnsi="Verdana"/>
          <w:i/>
          <w:spacing w:val="-12"/>
          <w:sz w:val="16"/>
          <w:szCs w:val="16"/>
          <w:lang w:val="es-MX"/>
        </w:rPr>
        <w:t>Caso Pacheco León y otros Vs. Honduras. Fondo, Reparaciones y Costas</w:t>
      </w:r>
      <w:r w:rsidRPr="00EE30C8">
        <w:rPr>
          <w:rFonts w:ascii="Verdana" w:hAnsi="Verdana"/>
          <w:spacing w:val="-12"/>
          <w:sz w:val="16"/>
          <w:szCs w:val="16"/>
          <w:lang w:val="es-MX"/>
        </w:rPr>
        <w:t>. Sentencia de 15 de noviembre 2017. Serie C No. 342</w:t>
      </w:r>
      <w:r>
        <w:rPr>
          <w:rFonts w:ascii="Verdana" w:hAnsi="Verdana"/>
          <w:spacing w:val="-12"/>
          <w:sz w:val="16"/>
          <w:szCs w:val="16"/>
          <w:lang w:val="es-MX"/>
        </w:rPr>
        <w:t>, párr. 20</w:t>
      </w:r>
      <w:r w:rsidRPr="006C24C0">
        <w:rPr>
          <w:rFonts w:ascii="Verdana" w:hAnsi="Verdana"/>
          <w:spacing w:val="-12"/>
          <w:sz w:val="16"/>
          <w:szCs w:val="16"/>
          <w:lang w:val="es-MX"/>
        </w:rPr>
        <w:t>.</w:t>
      </w:r>
    </w:p>
  </w:footnote>
  <w:footnote w:id="57">
    <w:p w14:paraId="3A7349E4" w14:textId="77777777" w:rsidR="00837BB9" w:rsidRPr="001C16AC" w:rsidRDefault="00837BB9" w:rsidP="00FA08D6">
      <w:pPr>
        <w:spacing w:before="120" w:after="120" w:line="240" w:lineRule="auto"/>
        <w:ind w:left="284" w:hanging="284"/>
        <w:jc w:val="both"/>
        <w:rPr>
          <w:rFonts w:ascii="Verdana" w:eastAsia="Calibri" w:hAnsi="Verdana" w:cs="Calibri"/>
          <w:color w:val="000000"/>
          <w:spacing w:val="-12"/>
          <w:sz w:val="16"/>
          <w:szCs w:val="16"/>
          <w:lang w:val="es-VE" w:eastAsia="es-ES"/>
        </w:rPr>
      </w:pPr>
      <w:r w:rsidRPr="00CF3AED">
        <w:rPr>
          <w:rFonts w:ascii="Verdana" w:eastAsia="Calibri" w:hAnsi="Verdana" w:cs="Calibri"/>
          <w:color w:val="000000"/>
          <w:spacing w:val="-12"/>
          <w:sz w:val="16"/>
          <w:szCs w:val="16"/>
          <w:vertAlign w:val="superscript"/>
          <w:lang w:val="es-VE" w:eastAsia="es-ES"/>
        </w:rPr>
        <w:footnoteRef/>
      </w:r>
      <w:r w:rsidRPr="00CF3AED">
        <w:rPr>
          <w:rFonts w:ascii="Verdana" w:eastAsia="Calibri" w:hAnsi="Verdana" w:cs="Calibri"/>
          <w:color w:val="000000"/>
          <w:spacing w:val="-12"/>
          <w:sz w:val="16"/>
          <w:szCs w:val="16"/>
          <w:lang w:val="es-VE" w:eastAsia="es-ES"/>
        </w:rPr>
        <w:t xml:space="preserve"> </w:t>
      </w:r>
      <w:r w:rsidRPr="00CF3AED">
        <w:rPr>
          <w:rFonts w:ascii="Verdana" w:eastAsia="Calibri" w:hAnsi="Verdana" w:cs="Calibri"/>
          <w:color w:val="000000"/>
          <w:spacing w:val="-12"/>
          <w:sz w:val="16"/>
          <w:szCs w:val="16"/>
          <w:lang w:val="es-VE" w:eastAsia="es-ES"/>
        </w:rPr>
        <w:tab/>
        <w:t>Respecto del referendo consultivo, el artículo 71 señala: “Las materias de especial trascendencia nacional podrán ser sometidas a referendo consultivo por iniciativa del Presidente o Presiden</w:t>
      </w:r>
      <w:r w:rsidRPr="006203B0">
        <w:rPr>
          <w:rFonts w:ascii="Verdana" w:eastAsia="Calibri" w:hAnsi="Verdana" w:cs="Calibri"/>
          <w:color w:val="000000"/>
          <w:spacing w:val="-12"/>
          <w:sz w:val="16"/>
          <w:szCs w:val="16"/>
          <w:lang w:val="es-VE" w:eastAsia="es-ES"/>
        </w:rPr>
        <w:t>ta de la República en Consejo de Ministros; por acuerdo de la Asamblea Nacional, aprobado por el voto de la mayoría de sus integrantes; o a solicitud de un número no menor del diez por ciento de los electores y electoras inscritos en el registro civil y el</w:t>
      </w:r>
      <w:r w:rsidRPr="00FC1D38">
        <w:rPr>
          <w:rFonts w:ascii="Verdana" w:eastAsia="Calibri" w:hAnsi="Verdana" w:cs="Calibri"/>
          <w:color w:val="000000"/>
          <w:spacing w:val="-12"/>
          <w:sz w:val="16"/>
          <w:szCs w:val="16"/>
          <w:lang w:val="es-VE" w:eastAsia="es-ES"/>
        </w:rPr>
        <w:t>ectoral.</w:t>
      </w:r>
      <w:r w:rsidRPr="000536CF">
        <w:rPr>
          <w:rFonts w:ascii="Verdana" w:eastAsia="Calibri" w:hAnsi="Verdana" w:cs="Calibri"/>
          <w:color w:val="000000"/>
          <w:spacing w:val="-12"/>
          <w:sz w:val="16"/>
          <w:szCs w:val="16"/>
          <w:lang w:val="es-VE" w:eastAsia="es-ES"/>
        </w:rPr>
        <w:t xml:space="preserve"> También podrán ser sometidas a referendo consultivo las materias de especial trascendencia parroquial, municipal y estadal. La iniciativa le corresponde a la Junta Parroquial, al Concejo Municipal o al Consejo Legislativo, por acuerdo de las dos terceras partes de sus integrantes; al Alcalde o Alcaldesa, o al Gobernador o Gobernadora de Estado, o a un número no menor del diez por ciento del total de inscritos en la circunscripción co</w:t>
      </w:r>
      <w:r w:rsidRPr="001C16AC">
        <w:rPr>
          <w:rFonts w:ascii="Verdana" w:eastAsia="Calibri" w:hAnsi="Verdana" w:cs="Calibri"/>
          <w:color w:val="000000"/>
          <w:spacing w:val="-12"/>
          <w:sz w:val="16"/>
          <w:szCs w:val="16"/>
          <w:lang w:val="es-VE" w:eastAsia="es-ES"/>
        </w:rPr>
        <w:t xml:space="preserve">rrespondiente, que lo soliciten”. </w:t>
      </w:r>
    </w:p>
    <w:p w14:paraId="6AA4602D" w14:textId="77777777" w:rsidR="00837BB9" w:rsidRPr="00290E0C" w:rsidRDefault="00837BB9" w:rsidP="00FA08D6">
      <w:pPr>
        <w:spacing w:before="120" w:after="120" w:line="240" w:lineRule="auto"/>
        <w:ind w:left="284"/>
        <w:jc w:val="both"/>
        <w:rPr>
          <w:rFonts w:ascii="Verdana" w:eastAsia="Calibri" w:hAnsi="Verdana" w:cs="Calibri"/>
          <w:color w:val="000000"/>
          <w:spacing w:val="-12"/>
          <w:sz w:val="16"/>
          <w:szCs w:val="16"/>
          <w:lang w:val="es-VE"/>
        </w:rPr>
      </w:pPr>
      <w:r w:rsidRPr="006001C8">
        <w:rPr>
          <w:rFonts w:ascii="Verdana" w:eastAsia="Calibri" w:hAnsi="Verdana" w:cs="Calibri"/>
          <w:color w:val="000000"/>
          <w:spacing w:val="-12"/>
          <w:sz w:val="16"/>
          <w:szCs w:val="16"/>
          <w:lang w:val="es-VE" w:eastAsia="es-ES"/>
        </w:rPr>
        <w:t>E</w:t>
      </w:r>
      <w:r w:rsidRPr="00D55480">
        <w:rPr>
          <w:rFonts w:ascii="Verdana" w:eastAsia="Calibri" w:hAnsi="Verdana" w:cs="Calibri"/>
          <w:color w:val="000000"/>
          <w:spacing w:val="-12"/>
          <w:sz w:val="16"/>
          <w:szCs w:val="16"/>
          <w:lang w:val="es-VE" w:eastAsia="es-ES"/>
        </w:rPr>
        <w:t>n cuanto al referendo revocatorio, e</w:t>
      </w:r>
      <w:r w:rsidRPr="009E7E48">
        <w:rPr>
          <w:rFonts w:ascii="Verdana" w:eastAsia="Calibri" w:hAnsi="Verdana" w:cs="Calibri"/>
          <w:color w:val="000000"/>
          <w:spacing w:val="-12"/>
          <w:sz w:val="16"/>
          <w:szCs w:val="16"/>
          <w:lang w:val="es-VE" w:eastAsia="es-ES"/>
        </w:rPr>
        <w:t>l artículo 72 estipula</w:t>
      </w:r>
      <w:r w:rsidRPr="008B6122">
        <w:rPr>
          <w:rFonts w:ascii="Verdana" w:eastAsia="Calibri" w:hAnsi="Verdana" w:cs="Calibri"/>
          <w:color w:val="000000"/>
          <w:spacing w:val="-12"/>
          <w:sz w:val="16"/>
          <w:szCs w:val="16"/>
          <w:lang w:val="es-VE" w:eastAsia="es-ES"/>
        </w:rPr>
        <w:t xml:space="preserve">: </w:t>
      </w:r>
      <w:r w:rsidRPr="0012407E">
        <w:rPr>
          <w:rFonts w:ascii="Verdana" w:eastAsia="Calibri" w:hAnsi="Verdana" w:cs="Calibri"/>
          <w:color w:val="000000"/>
          <w:spacing w:val="-12"/>
          <w:sz w:val="16"/>
          <w:szCs w:val="16"/>
          <w:lang w:val="es-VE" w:eastAsia="es-ES"/>
        </w:rPr>
        <w:t>“</w:t>
      </w:r>
      <w:r w:rsidRPr="00C7142E">
        <w:rPr>
          <w:rFonts w:ascii="Verdana" w:eastAsia="Calibri" w:hAnsi="Verdana" w:cs="Calibri"/>
          <w:color w:val="000000"/>
          <w:spacing w:val="-12"/>
          <w:sz w:val="16"/>
          <w:szCs w:val="16"/>
          <w:lang w:val="es-VE" w:eastAsia="es-ES"/>
        </w:rPr>
        <w:t>Todos los cargos y magistraturas de elección popular son revocables. Transcurrida la mitad del período para el cual fue elegido el funcionario o funcionaria, un número no menor del veinte por ciento de los electores o electoras inscritos en la correspondiente circunscripción podrá solicitar la convocatoria de un referendo para revocar su mandato. Cuando igual o mayor número de electores y electoras que eligieron al funcionario o funcionaria hubieren votado a favor de la revoca</w:t>
      </w:r>
      <w:r w:rsidRPr="006C24C0">
        <w:rPr>
          <w:rFonts w:ascii="Verdana" w:eastAsia="Calibri" w:hAnsi="Verdana" w:cs="Calibri"/>
          <w:color w:val="000000"/>
          <w:spacing w:val="-12"/>
          <w:sz w:val="16"/>
          <w:szCs w:val="16"/>
          <w:lang w:val="es-VE" w:eastAsia="es-ES"/>
        </w:rPr>
        <w:t xml:space="preserve">toria, siempre que haya concurrido al referendo un número de electores y electoras igual o superior al veinticinco por ciento de los electores y electoras inscritos, se considerará revocado su mandato y se procederá de inmediato a cubrir la falta absoluta </w:t>
      </w:r>
      <w:r w:rsidRPr="003100FE">
        <w:rPr>
          <w:rFonts w:ascii="Verdana" w:eastAsia="Calibri" w:hAnsi="Verdana" w:cs="Calibri"/>
          <w:color w:val="000000"/>
          <w:spacing w:val="-12"/>
          <w:sz w:val="16"/>
          <w:szCs w:val="16"/>
          <w:lang w:val="es-VE" w:eastAsia="es-ES"/>
        </w:rPr>
        <w:t xml:space="preserve">conforme a lo dispuesto en esta Constitución y en la ley. La revocación del mandato para los cuerpos colegiados se realizará de acuerdo con lo que establezca la ley. </w:t>
      </w:r>
      <w:r w:rsidRPr="0003211A">
        <w:rPr>
          <w:rFonts w:ascii="Verdana" w:eastAsia="Calibri" w:hAnsi="Verdana" w:cs="Calibri"/>
          <w:color w:val="000000"/>
          <w:spacing w:val="-12"/>
          <w:sz w:val="16"/>
          <w:szCs w:val="16"/>
          <w:lang w:val="es-VE"/>
        </w:rPr>
        <w:t xml:space="preserve">Durante el período para el cual fue elegido el funcionario o funcionaria no podrá hacerse </w:t>
      </w:r>
      <w:r w:rsidRPr="00CE7020">
        <w:rPr>
          <w:rFonts w:ascii="Verdana" w:eastAsia="Calibri" w:hAnsi="Verdana" w:cs="Calibri"/>
          <w:color w:val="000000"/>
          <w:spacing w:val="-12"/>
          <w:sz w:val="16"/>
          <w:szCs w:val="16"/>
          <w:lang w:val="es-VE"/>
        </w:rPr>
        <w:t>más de una solicitud de revocación de su mandato”</w:t>
      </w:r>
      <w:r w:rsidRPr="00773F82">
        <w:rPr>
          <w:rFonts w:ascii="Verdana" w:eastAsia="Calibri" w:hAnsi="Verdana" w:cs="Calibri"/>
          <w:color w:val="000000"/>
          <w:spacing w:val="-12"/>
          <w:sz w:val="16"/>
          <w:szCs w:val="16"/>
          <w:lang w:val="es-VE"/>
        </w:rPr>
        <w:t xml:space="preserve">. </w:t>
      </w:r>
    </w:p>
    <w:p w14:paraId="4A5FCF68" w14:textId="3F0A8646" w:rsidR="00837BB9" w:rsidRPr="00CF3AED" w:rsidRDefault="00837BB9" w:rsidP="008349B1">
      <w:pPr>
        <w:spacing w:before="120" w:after="120" w:line="240" w:lineRule="auto"/>
        <w:jc w:val="both"/>
        <w:rPr>
          <w:rFonts w:ascii="Verdana" w:hAnsi="Verdana"/>
          <w:spacing w:val="-12"/>
          <w:sz w:val="16"/>
          <w:szCs w:val="16"/>
          <w:lang w:val="es-VE"/>
        </w:rPr>
      </w:pPr>
      <w:r w:rsidRPr="00B252EB">
        <w:rPr>
          <w:rFonts w:ascii="Verdana" w:eastAsia="Calibri" w:hAnsi="Verdana" w:cs="Calibri"/>
          <w:i/>
          <w:color w:val="000000"/>
          <w:spacing w:val="-12"/>
          <w:sz w:val="16"/>
          <w:szCs w:val="16"/>
          <w:lang w:val="es-VE"/>
        </w:rPr>
        <w:t>Cfr.</w:t>
      </w:r>
      <w:r w:rsidRPr="0054215F">
        <w:rPr>
          <w:rFonts w:ascii="Verdana" w:eastAsia="Calibri" w:hAnsi="Verdana" w:cs="Calibri"/>
          <w:color w:val="000000"/>
          <w:spacing w:val="-12"/>
          <w:sz w:val="16"/>
          <w:szCs w:val="16"/>
          <w:lang w:val="es-VE"/>
        </w:rPr>
        <w:t xml:space="preserve"> </w:t>
      </w:r>
      <w:r w:rsidRPr="00D758B5">
        <w:rPr>
          <w:rFonts w:ascii="Verdana" w:hAnsi="Verdana"/>
          <w:spacing w:val="-12"/>
          <w:sz w:val="16"/>
          <w:szCs w:val="16"/>
          <w:lang w:val="es-VE"/>
        </w:rPr>
        <w:t>Constitución de la República Bol</w:t>
      </w:r>
      <w:r w:rsidRPr="00CF3AED">
        <w:rPr>
          <w:rFonts w:ascii="Verdana" w:hAnsi="Verdana"/>
          <w:spacing w:val="-12"/>
          <w:sz w:val="16"/>
          <w:szCs w:val="16"/>
          <w:lang w:val="es-VE"/>
        </w:rPr>
        <w:t xml:space="preserve">ivariana de Venezuela, Gaceta oficial extraordinaria no. 36.380 de 30 de diciembre de 1999, disponible en: </w:t>
      </w:r>
      <w:hyperlink r:id="rId6" w:anchor="cap4" w:history="1">
        <w:r w:rsidRPr="00CF3AED">
          <w:rPr>
            <w:rStyle w:val="Hyperlink"/>
            <w:rFonts w:ascii="Verdana" w:hAnsi="Verdana"/>
            <w:spacing w:val="-12"/>
            <w:sz w:val="16"/>
            <w:szCs w:val="16"/>
            <w:lang w:val="es-VE"/>
          </w:rPr>
          <w:t>http://www.cne.gob.ve/web/normativa_electoral/constitucion/titulo3.php#cap4</w:t>
        </w:r>
      </w:hyperlink>
      <w:r w:rsidRPr="00CF3AED">
        <w:rPr>
          <w:rFonts w:ascii="Verdana" w:hAnsi="Verdana"/>
          <w:spacing w:val="-12"/>
          <w:sz w:val="16"/>
          <w:szCs w:val="16"/>
          <w:lang w:val="es-VE"/>
        </w:rPr>
        <w:t xml:space="preserve"> . </w:t>
      </w:r>
    </w:p>
  </w:footnote>
  <w:footnote w:id="58">
    <w:p w14:paraId="5D1B0AF2" w14:textId="156F2BF8" w:rsidR="00837BB9" w:rsidRPr="00C7142E"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6203B0">
        <w:rPr>
          <w:rFonts w:ascii="Verdana" w:hAnsi="Verdana"/>
          <w:spacing w:val="-12"/>
          <w:sz w:val="16"/>
          <w:szCs w:val="16"/>
          <w:lang w:val="es-VE"/>
        </w:rPr>
        <w:t xml:space="preserve"> </w:t>
      </w:r>
      <w:r w:rsidRPr="006203B0">
        <w:rPr>
          <w:rFonts w:ascii="Verdana" w:hAnsi="Verdana"/>
          <w:spacing w:val="-12"/>
          <w:sz w:val="16"/>
          <w:szCs w:val="16"/>
          <w:lang w:val="es-VE"/>
        </w:rPr>
        <w:tab/>
      </w:r>
      <w:r w:rsidRPr="00FC1D38">
        <w:rPr>
          <w:rFonts w:ascii="Verdana" w:hAnsi="Verdana"/>
          <w:i/>
          <w:spacing w:val="-12"/>
          <w:sz w:val="16"/>
          <w:szCs w:val="16"/>
          <w:lang w:val="es-VE"/>
        </w:rPr>
        <w:t>Cfr</w:t>
      </w:r>
      <w:r w:rsidRPr="000536CF">
        <w:rPr>
          <w:rFonts w:ascii="Verdana" w:hAnsi="Verdana"/>
          <w:spacing w:val="-12"/>
          <w:sz w:val="16"/>
          <w:szCs w:val="16"/>
          <w:lang w:val="es-VE"/>
        </w:rPr>
        <w:t xml:space="preserve">. Proyecto Súmate, disponible en: </w:t>
      </w:r>
      <w:hyperlink r:id="rId7" w:history="1">
        <w:r w:rsidRPr="00CF3AED">
          <w:rPr>
            <w:rStyle w:val="Hyperlink"/>
            <w:rFonts w:ascii="Verdana" w:hAnsi="Verdana"/>
            <w:spacing w:val="-12"/>
            <w:sz w:val="16"/>
            <w:szCs w:val="16"/>
            <w:lang w:val="es-VE"/>
          </w:rPr>
          <w:t>http://www.sumate.org/proyectos.html</w:t>
        </w:r>
      </w:hyperlink>
      <w:r w:rsidRPr="00C7142E">
        <w:rPr>
          <w:rFonts w:ascii="Verdana" w:hAnsi="Verdana"/>
          <w:spacing w:val="-12"/>
          <w:sz w:val="16"/>
          <w:szCs w:val="16"/>
          <w:lang w:val="es-VE"/>
        </w:rPr>
        <w:t>.</w:t>
      </w:r>
    </w:p>
  </w:footnote>
  <w:footnote w:id="59">
    <w:p w14:paraId="717FC525" w14:textId="4FF2FF08"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Analítica, Chávez: no renunciaré aunque logren 90% de votos en el referéndum, 25 de noviembre de 2002, disponible en: </w:t>
      </w:r>
      <w:hyperlink r:id="rId8" w:history="1">
        <w:r w:rsidRPr="00CF3AED">
          <w:rPr>
            <w:rStyle w:val="Hyperlink"/>
            <w:rFonts w:ascii="Verdana" w:hAnsi="Verdana"/>
            <w:spacing w:val="-12"/>
            <w:sz w:val="16"/>
            <w:szCs w:val="16"/>
            <w:lang w:val="es-VE"/>
          </w:rPr>
          <w:t>http://analitica.com/actualidad/actualidad-nacional/chavez-no-renunciare-aunque-logren-90-de-votos-en-el-referendum/</w:t>
        </w:r>
      </w:hyperlink>
      <w:r w:rsidRPr="0069409D">
        <w:rPr>
          <w:rFonts w:ascii="Verdana" w:hAnsi="Verdana"/>
          <w:spacing w:val="-12"/>
          <w:sz w:val="16"/>
          <w:szCs w:val="16"/>
          <w:lang w:val="es-VE"/>
        </w:rPr>
        <w:t xml:space="preserve">; El Día, El Tribunal Supremo de Justicia anula el referéndum del 2 de febrero, 29 de noviembre de 2002, disponible en: </w:t>
      </w:r>
      <w:hyperlink r:id="rId9" w:history="1">
        <w:r w:rsidRPr="00CF3AED">
          <w:rPr>
            <w:rStyle w:val="Hyperlink"/>
            <w:rFonts w:ascii="Verdana" w:hAnsi="Verdana"/>
            <w:spacing w:val="-12"/>
            <w:sz w:val="16"/>
            <w:szCs w:val="16"/>
            <w:lang w:val="es-VE"/>
          </w:rPr>
          <w:t>http://eldia.es/venezuela/2002-11-29/2-Tribunal-Supremo-Justicia-anula-referendum-febrero.htm</w:t>
        </w:r>
      </w:hyperlink>
      <w:r w:rsidRPr="00C7142E">
        <w:rPr>
          <w:rFonts w:ascii="Verdana" w:hAnsi="Verdana"/>
          <w:spacing w:val="-12"/>
          <w:sz w:val="16"/>
          <w:szCs w:val="16"/>
          <w:lang w:val="es-VE"/>
        </w:rPr>
        <w:t>.</w:t>
      </w:r>
    </w:p>
  </w:footnote>
  <w:footnote w:id="60">
    <w:p w14:paraId="4DBB1779" w14:textId="3C210C5C"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FA08D6">
        <w:rPr>
          <w:rFonts w:ascii="Verdana" w:hAnsi="Verdana"/>
          <w:spacing w:val="-12"/>
          <w:sz w:val="16"/>
          <w:szCs w:val="16"/>
          <w:lang w:val="es-VE"/>
        </w:rPr>
        <w:t>Cfr.</w:t>
      </w:r>
      <w:r w:rsidRPr="0069409D">
        <w:rPr>
          <w:rFonts w:ascii="Verdana" w:hAnsi="Verdana"/>
          <w:spacing w:val="-12"/>
          <w:sz w:val="16"/>
          <w:szCs w:val="16"/>
          <w:lang w:val="es-VE"/>
        </w:rPr>
        <w:t xml:space="preserve"> Consejo Nacional Electoral, Resolución No. 021203-457, Gaceta Electoral No. 168, disponible en: </w:t>
      </w:r>
      <w:hyperlink r:id="rId10" w:history="1">
        <w:r w:rsidRPr="001F0CE6">
          <w:rPr>
            <w:rStyle w:val="Hyperlink"/>
            <w:rFonts w:ascii="Verdana" w:hAnsi="Verdana"/>
            <w:spacing w:val="-12"/>
            <w:sz w:val="16"/>
            <w:szCs w:val="16"/>
            <w:lang w:val="es-VE"/>
          </w:rPr>
          <w:t>http://www.cne.gob.ve/web/gaceta_electoral/gaceta_electoral_detallado.php?tg=1&amp;num_gac=168</w:t>
        </w:r>
      </w:hyperlink>
      <w:r>
        <w:rPr>
          <w:rFonts w:ascii="Verdana" w:hAnsi="Verdana"/>
          <w:spacing w:val="-12"/>
          <w:sz w:val="16"/>
          <w:szCs w:val="16"/>
          <w:lang w:val="es-VE"/>
        </w:rPr>
        <w:t xml:space="preserve"> </w:t>
      </w:r>
      <w:r w:rsidRPr="00C7142E">
        <w:rPr>
          <w:rFonts w:ascii="Verdana" w:hAnsi="Verdana"/>
          <w:spacing w:val="-12"/>
          <w:sz w:val="16"/>
          <w:szCs w:val="16"/>
          <w:lang w:val="es-VE"/>
        </w:rPr>
        <w:t>. El perito Luis Salamanca señaló que la solicitud de un referendo consultivo (pese a que no tenía efectos vinculantes) en lugar de un revocatorio, respondió a la posibilidad de realizarlo en forma inm</w:t>
      </w:r>
      <w:r w:rsidRPr="006C24C0">
        <w:rPr>
          <w:rFonts w:ascii="Verdana" w:hAnsi="Verdana"/>
          <w:spacing w:val="-12"/>
          <w:sz w:val="16"/>
          <w:szCs w:val="16"/>
          <w:lang w:val="es-VE"/>
        </w:rPr>
        <w:t>ediata mientras que el referendo revocatorio tenía que esperar a la mitad del período</w:t>
      </w:r>
      <w:r w:rsidRPr="0003211A">
        <w:rPr>
          <w:rFonts w:ascii="Verdana" w:hAnsi="Verdana"/>
          <w:spacing w:val="-12"/>
          <w:sz w:val="16"/>
          <w:szCs w:val="16"/>
          <w:lang w:val="es-VE"/>
        </w:rPr>
        <w:t xml:space="preserve"> (</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 xml:space="preserve">. prueba,  </w:t>
      </w:r>
      <w:r w:rsidRPr="007C51D0">
        <w:rPr>
          <w:rFonts w:ascii="Verdana" w:hAnsi="Verdana"/>
          <w:spacing w:val="-12"/>
          <w:sz w:val="16"/>
          <w:szCs w:val="16"/>
          <w:lang w:val="es-VE"/>
        </w:rPr>
        <w:t>folio 3191)</w:t>
      </w:r>
      <w:r w:rsidRPr="00FA08D6">
        <w:rPr>
          <w:rFonts w:ascii="Verdana" w:hAnsi="Verdana"/>
          <w:spacing w:val="-12"/>
          <w:sz w:val="16"/>
          <w:szCs w:val="16"/>
          <w:lang w:val="es-VE"/>
        </w:rPr>
        <w:t>.</w:t>
      </w:r>
      <w:r w:rsidRPr="00CF3AED">
        <w:rPr>
          <w:rFonts w:ascii="Verdana" w:hAnsi="Verdana"/>
          <w:spacing w:val="-12"/>
          <w:sz w:val="16"/>
          <w:szCs w:val="16"/>
          <w:lang w:val="es-VE"/>
        </w:rPr>
        <w:t>]</w:t>
      </w:r>
    </w:p>
  </w:footnote>
  <w:footnote w:id="61">
    <w:p w14:paraId="1D8060B0" w14:textId="42376BF8" w:rsidR="00837BB9" w:rsidRPr="009A4FCA" w:rsidRDefault="00837BB9" w:rsidP="008349B1">
      <w:pPr>
        <w:pStyle w:val="FootnoteText"/>
        <w:spacing w:before="120" w:after="120"/>
        <w:jc w:val="both"/>
        <w:rPr>
          <w:rFonts w:ascii="Verdana" w:hAnsi="Verdana"/>
          <w:spacing w:val="-12"/>
          <w:sz w:val="16"/>
          <w:szCs w:val="16"/>
          <w:lang w:val="es-CR"/>
        </w:rPr>
      </w:pPr>
      <w:r w:rsidRPr="009A4FCA">
        <w:rPr>
          <w:rStyle w:val="FootnoteReference"/>
          <w:rFonts w:ascii="Verdana" w:hAnsi="Verdana"/>
          <w:spacing w:val="-12"/>
          <w:sz w:val="16"/>
          <w:szCs w:val="16"/>
        </w:rPr>
        <w:footnoteRef/>
      </w:r>
      <w:r w:rsidRPr="009A4FCA">
        <w:rPr>
          <w:rFonts w:ascii="Verdana" w:hAnsi="Verdana"/>
          <w:spacing w:val="-12"/>
          <w:sz w:val="16"/>
          <w:szCs w:val="16"/>
          <w:lang w:val="es-VE"/>
        </w:rPr>
        <w:t xml:space="preserve"> </w:t>
      </w:r>
      <w:r w:rsidRPr="009A4FCA">
        <w:rPr>
          <w:rFonts w:ascii="Verdana" w:hAnsi="Verdana"/>
          <w:spacing w:val="-12"/>
          <w:sz w:val="16"/>
          <w:szCs w:val="16"/>
          <w:lang w:val="es-VE"/>
        </w:rPr>
        <w:tab/>
      </w:r>
      <w:r w:rsidRPr="009A4FCA">
        <w:rPr>
          <w:rFonts w:ascii="Verdana" w:hAnsi="Verdana"/>
          <w:i/>
          <w:spacing w:val="-12"/>
          <w:sz w:val="16"/>
          <w:szCs w:val="16"/>
          <w:lang w:val="es-VE"/>
        </w:rPr>
        <w:t>Cfr.</w:t>
      </w:r>
      <w:r w:rsidRPr="009A4FCA">
        <w:rPr>
          <w:rFonts w:ascii="Verdana" w:hAnsi="Verdana"/>
          <w:spacing w:val="-12"/>
          <w:sz w:val="16"/>
          <w:szCs w:val="16"/>
          <w:lang w:val="es-VE"/>
        </w:rPr>
        <w:t xml:space="preserve"> Sala Accidental del  Tribunal Supremo de Justicia, resolución</w:t>
      </w:r>
      <w:r>
        <w:rPr>
          <w:rFonts w:ascii="Verdana" w:hAnsi="Verdana"/>
          <w:spacing w:val="-12"/>
          <w:sz w:val="16"/>
          <w:szCs w:val="16"/>
          <w:lang w:val="es-VE"/>
        </w:rPr>
        <w:t xml:space="preserve"> de</w:t>
      </w:r>
      <w:r w:rsidRPr="009A4FCA">
        <w:rPr>
          <w:rFonts w:ascii="Verdana" w:hAnsi="Verdana"/>
          <w:spacing w:val="-12"/>
          <w:sz w:val="16"/>
          <w:szCs w:val="16"/>
          <w:lang w:val="es-VE"/>
        </w:rPr>
        <w:t xml:space="preserve"> 22 de enero de 2003</w:t>
      </w:r>
      <w:r w:rsidRPr="009A4FCA">
        <w:rPr>
          <w:rFonts w:ascii="Verdana" w:hAnsi="Verdana"/>
          <w:spacing w:val="-12"/>
          <w:sz w:val="16"/>
          <w:szCs w:val="16"/>
          <w:lang w:val="es-CR"/>
        </w:rPr>
        <w:t xml:space="preserve">; </w:t>
      </w:r>
      <w:r w:rsidRPr="009A4FCA">
        <w:rPr>
          <w:rFonts w:ascii="Verdana" w:hAnsi="Verdana"/>
          <w:spacing w:val="-12"/>
          <w:sz w:val="16"/>
          <w:szCs w:val="16"/>
          <w:lang w:val="es-VE"/>
        </w:rPr>
        <w:t>Súmate, Informe de Avance “El Referendo Revocatorio Presidenc</w:t>
      </w:r>
      <w:r>
        <w:rPr>
          <w:rFonts w:ascii="Verdana" w:hAnsi="Verdana"/>
          <w:spacing w:val="-12"/>
          <w:sz w:val="16"/>
          <w:szCs w:val="16"/>
          <w:lang w:val="es-VE"/>
        </w:rPr>
        <w:t>ial”, 7 de septiembre de 2004, disponible en</w:t>
      </w:r>
      <w:r w:rsidRPr="009A4FCA">
        <w:rPr>
          <w:rFonts w:ascii="Verdana" w:hAnsi="Verdana"/>
          <w:spacing w:val="-12"/>
          <w:sz w:val="16"/>
          <w:szCs w:val="16"/>
          <w:lang w:val="es-VE"/>
        </w:rPr>
        <w:t xml:space="preserve">: </w:t>
      </w:r>
      <w:hyperlink r:id="rId11" w:history="1">
        <w:r w:rsidRPr="009A4FCA">
          <w:rPr>
            <w:rStyle w:val="Hyperlink"/>
            <w:rFonts w:ascii="Verdana" w:hAnsi="Verdana"/>
            <w:spacing w:val="-12"/>
            <w:sz w:val="16"/>
            <w:szCs w:val="16"/>
            <w:lang w:val="es-VE"/>
          </w:rPr>
          <w:t>https://sumate.org/Elecciones/2004Revocatorio/200409_informe_avance_anexos_referendo_revocatorio_presidencial.pdf</w:t>
        </w:r>
      </w:hyperlink>
      <w:r w:rsidRPr="009A4FCA">
        <w:rPr>
          <w:rStyle w:val="Hyperlink"/>
          <w:rFonts w:ascii="Verdana" w:hAnsi="Verdana"/>
          <w:spacing w:val="-12"/>
          <w:sz w:val="16"/>
          <w:szCs w:val="16"/>
          <w:lang w:val="es-VE"/>
        </w:rPr>
        <w:t>.</w:t>
      </w:r>
    </w:p>
  </w:footnote>
  <w:footnote w:id="62">
    <w:p w14:paraId="7AFBA859" w14:textId="17ADD848" w:rsidR="00837BB9" w:rsidRPr="00CF3AED" w:rsidRDefault="00837BB9" w:rsidP="008349B1">
      <w:pPr>
        <w:pStyle w:val="FootnoteText"/>
        <w:spacing w:before="120" w:after="120"/>
        <w:jc w:val="both"/>
        <w:rPr>
          <w:rFonts w:ascii="Verdana" w:hAnsi="Verdana"/>
          <w:spacing w:val="-12"/>
          <w:sz w:val="16"/>
          <w:szCs w:val="16"/>
          <w:lang w:val="es-VE"/>
        </w:rPr>
      </w:pPr>
      <w:r w:rsidRPr="009A4FCA">
        <w:rPr>
          <w:rStyle w:val="FootnoteReference"/>
          <w:rFonts w:ascii="Verdana" w:hAnsi="Verdana"/>
          <w:spacing w:val="-12"/>
          <w:sz w:val="16"/>
          <w:szCs w:val="16"/>
        </w:rPr>
        <w:footnoteRef/>
      </w:r>
      <w:r w:rsidRPr="009A4FCA">
        <w:rPr>
          <w:rFonts w:ascii="Verdana" w:hAnsi="Verdana"/>
          <w:spacing w:val="-12"/>
          <w:sz w:val="16"/>
          <w:szCs w:val="16"/>
          <w:lang w:val="es-VE"/>
        </w:rPr>
        <w:t xml:space="preserve">  </w:t>
      </w:r>
      <w:r w:rsidRPr="009A4FCA">
        <w:rPr>
          <w:rFonts w:ascii="Verdana" w:hAnsi="Verdana"/>
          <w:spacing w:val="-12"/>
          <w:sz w:val="16"/>
          <w:szCs w:val="16"/>
          <w:lang w:val="es-VE"/>
        </w:rPr>
        <w:tab/>
      </w:r>
      <w:r w:rsidRPr="009A4FCA">
        <w:rPr>
          <w:rFonts w:ascii="Verdana" w:hAnsi="Verdana"/>
          <w:i/>
          <w:spacing w:val="-12"/>
          <w:sz w:val="16"/>
          <w:szCs w:val="16"/>
          <w:lang w:val="es-VE"/>
        </w:rPr>
        <w:t>Cfr.</w:t>
      </w:r>
      <w:r w:rsidRPr="009A4FCA">
        <w:rPr>
          <w:rFonts w:ascii="Verdana" w:hAnsi="Verdana"/>
          <w:spacing w:val="-12"/>
          <w:sz w:val="16"/>
          <w:szCs w:val="16"/>
          <w:lang w:val="es-VE"/>
        </w:rPr>
        <w:t xml:space="preserve"> Súmate, Informe de Avance “El Referendo Revocatorio Presidencial”, </w:t>
      </w:r>
      <w:r>
        <w:rPr>
          <w:rFonts w:ascii="Verdana" w:hAnsi="Verdana"/>
          <w:i/>
          <w:spacing w:val="-12"/>
          <w:sz w:val="16"/>
          <w:szCs w:val="16"/>
          <w:lang w:val="es-VE"/>
        </w:rPr>
        <w:t>supra</w:t>
      </w:r>
      <w:r w:rsidRPr="009A4FCA">
        <w:rPr>
          <w:rFonts w:ascii="Verdana" w:hAnsi="Verdana"/>
          <w:spacing w:val="-12"/>
          <w:sz w:val="16"/>
          <w:szCs w:val="16"/>
          <w:lang w:val="es-VE"/>
        </w:rPr>
        <w:t>.</w:t>
      </w:r>
    </w:p>
  </w:footnote>
  <w:footnote w:id="63">
    <w:p w14:paraId="3C2E7799" w14:textId="6C321516"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lang w:val="es-VE"/>
        </w:rPr>
        <w:tab/>
        <w:t>Según el perito Luis Salamanca, “es interesante anotar que la posibilidad de activar el revocatorio figuraba en el “Acuerdo entre la representación del Gobierno de la República Bolivariana de Venezuela y los Factores Políticos y Sociales que lo apoyan y la Coordinadora Democrática y las Organizaciones Políticas y de la Sociedad Civil que la conforman”, avalado por la OEA. Por tanto, el revocatorio nació producto de un acuerdo de las partes en conflicto. Luego de siete meses de trabajo (noviembre de 2</w:t>
      </w:r>
      <w:r w:rsidRPr="006203B0">
        <w:rPr>
          <w:rFonts w:ascii="Verdana" w:hAnsi="Verdana"/>
          <w:spacing w:val="-12"/>
          <w:sz w:val="16"/>
          <w:szCs w:val="16"/>
          <w:lang w:val="es-VE"/>
        </w:rPr>
        <w:t>002-mayo de 2003), los miembros de la “Mesa de Negociación y Acuerdos”, formada por representantes del oficialismo y de la oposición, firmaron el 29 de mayo de 2003, el “Acuerdo…” en cuyo punto 12 se estableció: “Las partes, en cumplimiento del objetivo es</w:t>
      </w:r>
      <w:r w:rsidRPr="00FC1D38">
        <w:rPr>
          <w:rFonts w:ascii="Verdana" w:hAnsi="Verdana"/>
          <w:spacing w:val="-12"/>
          <w:sz w:val="16"/>
          <w:szCs w:val="16"/>
          <w:lang w:val="es-VE"/>
        </w:rPr>
        <w:t>tablecido en la Síntesis Operativa para buscar acuerdos con el fin de contribuir a la solución de la crisis del país por la vía electoral, coincidimos en que dicha solución se logra con la aplicación del artículo 72 de la Constitución de la República Boliv</w:t>
      </w:r>
      <w:r w:rsidRPr="000536CF">
        <w:rPr>
          <w:rFonts w:ascii="Verdana" w:hAnsi="Verdana"/>
          <w:spacing w:val="-12"/>
          <w:sz w:val="16"/>
          <w:szCs w:val="16"/>
          <w:lang w:val="es-VE"/>
        </w:rPr>
        <w:t>ariana de Venezuela, en el que se prevé la eventual celebración de referendos revocatorios del mandato de todos los cargos y magistraturas de elección popular (…)”</w:t>
      </w:r>
      <w:r w:rsidRPr="001C16AC">
        <w:rPr>
          <w:rFonts w:ascii="Verdana" w:hAnsi="Verdana"/>
          <w:spacing w:val="-12"/>
          <w:sz w:val="16"/>
          <w:szCs w:val="16"/>
          <w:lang w:val="es-VE"/>
        </w:rPr>
        <w:t xml:space="preserve"> (</w:t>
      </w:r>
      <w:proofErr w:type="spellStart"/>
      <w:r w:rsidRPr="006001C8">
        <w:rPr>
          <w:rFonts w:ascii="Verdana" w:hAnsi="Verdana"/>
          <w:spacing w:val="-12"/>
          <w:sz w:val="16"/>
          <w:szCs w:val="16"/>
          <w:lang w:val="es-VE"/>
        </w:rPr>
        <w:t>exp</w:t>
      </w:r>
      <w:proofErr w:type="spellEnd"/>
      <w:r w:rsidRPr="006001C8">
        <w:rPr>
          <w:rFonts w:ascii="Verdana" w:hAnsi="Verdana"/>
          <w:spacing w:val="-12"/>
          <w:sz w:val="16"/>
          <w:szCs w:val="16"/>
          <w:lang w:val="es-VE"/>
        </w:rPr>
        <w:t xml:space="preserve">. prueba, </w:t>
      </w:r>
      <w:r w:rsidRPr="00D55480">
        <w:rPr>
          <w:rFonts w:ascii="Verdana" w:hAnsi="Verdana"/>
          <w:spacing w:val="-12"/>
          <w:sz w:val="16"/>
          <w:szCs w:val="16"/>
          <w:lang w:val="es-VE"/>
        </w:rPr>
        <w:t>f</w:t>
      </w:r>
      <w:r w:rsidRPr="009E7E48">
        <w:rPr>
          <w:rFonts w:ascii="Verdana" w:hAnsi="Verdana"/>
          <w:spacing w:val="-12"/>
          <w:sz w:val="16"/>
          <w:szCs w:val="16"/>
          <w:lang w:val="es-VE"/>
        </w:rPr>
        <w:t>olio</w:t>
      </w:r>
      <w:r w:rsidRPr="008B6122">
        <w:rPr>
          <w:rFonts w:ascii="Verdana" w:hAnsi="Verdana"/>
          <w:spacing w:val="-12"/>
          <w:sz w:val="16"/>
          <w:szCs w:val="16"/>
          <w:lang w:val="es-VE"/>
        </w:rPr>
        <w:t xml:space="preserve"> 3192).</w:t>
      </w:r>
    </w:p>
  </w:footnote>
  <w:footnote w:id="64">
    <w:p w14:paraId="0C4C9F98" w14:textId="349A1F41" w:rsidR="00837BB9" w:rsidRPr="00CF3AED"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2B103B">
        <w:rPr>
          <w:rFonts w:ascii="Verdana" w:hAnsi="Verdana"/>
          <w:i/>
          <w:spacing w:val="-12"/>
          <w:sz w:val="16"/>
          <w:szCs w:val="16"/>
          <w:lang w:val="es-VE"/>
        </w:rPr>
        <w:t>Cfr</w:t>
      </w:r>
      <w:r w:rsidRPr="002B103B">
        <w:rPr>
          <w:rFonts w:ascii="Verdana" w:hAnsi="Verdana"/>
          <w:spacing w:val="-12"/>
          <w:sz w:val="16"/>
          <w:szCs w:val="16"/>
          <w:lang w:val="es-VE"/>
        </w:rPr>
        <w:t xml:space="preserve">. Súmate, Informe de Avance “El Referendo Revocatorio Presidencial”, </w:t>
      </w:r>
      <w:r>
        <w:rPr>
          <w:rFonts w:ascii="Verdana" w:hAnsi="Verdana"/>
          <w:i/>
          <w:spacing w:val="-12"/>
          <w:sz w:val="16"/>
          <w:szCs w:val="16"/>
          <w:lang w:val="es-VE"/>
        </w:rPr>
        <w:t>supra</w:t>
      </w:r>
      <w:r w:rsidRPr="002B103B">
        <w:rPr>
          <w:rFonts w:ascii="Verdana" w:hAnsi="Verdana"/>
          <w:spacing w:val="-12"/>
          <w:sz w:val="16"/>
          <w:szCs w:val="16"/>
          <w:lang w:val="es-VE"/>
        </w:rPr>
        <w:t>.</w:t>
      </w:r>
    </w:p>
  </w:footnote>
  <w:footnote w:id="65">
    <w:p w14:paraId="7293366C" w14:textId="38326B12" w:rsidR="00837BB9" w:rsidRPr="000536CF"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6203B0">
        <w:rPr>
          <w:rFonts w:ascii="Verdana" w:hAnsi="Verdana"/>
          <w:i/>
          <w:spacing w:val="-12"/>
          <w:sz w:val="16"/>
          <w:szCs w:val="16"/>
          <w:lang w:val="es-VE"/>
        </w:rPr>
        <w:t xml:space="preserve">Cfr. </w:t>
      </w:r>
      <w:r w:rsidRPr="00FC1D38">
        <w:rPr>
          <w:rFonts w:ascii="Verdana" w:hAnsi="Verdana"/>
          <w:spacing w:val="-12"/>
          <w:sz w:val="16"/>
          <w:szCs w:val="16"/>
          <w:lang w:val="es-VE"/>
        </w:rPr>
        <w:t xml:space="preserve">El País, La oposición canta victoria en el </w:t>
      </w:r>
      <w:proofErr w:type="spellStart"/>
      <w:r w:rsidRPr="00FC1D38">
        <w:rPr>
          <w:rFonts w:ascii="Verdana" w:hAnsi="Verdana"/>
          <w:spacing w:val="-12"/>
          <w:sz w:val="16"/>
          <w:szCs w:val="16"/>
          <w:lang w:val="es-VE"/>
        </w:rPr>
        <w:t>firmazo</w:t>
      </w:r>
      <w:proofErr w:type="spellEnd"/>
      <w:r w:rsidRPr="00FC1D38">
        <w:rPr>
          <w:rFonts w:ascii="Verdana" w:hAnsi="Verdana"/>
          <w:spacing w:val="-12"/>
          <w:sz w:val="16"/>
          <w:szCs w:val="16"/>
          <w:lang w:val="es-VE"/>
        </w:rPr>
        <w:t xml:space="preserve"> contra Chávez, 3 de diciembre de 2003, disponible en: </w:t>
      </w:r>
      <w:hyperlink r:id="rId12" w:history="1">
        <w:r w:rsidRPr="001F0CE6">
          <w:rPr>
            <w:rStyle w:val="Hyperlink"/>
            <w:rFonts w:ascii="Verdana" w:hAnsi="Verdana"/>
            <w:spacing w:val="-12"/>
            <w:sz w:val="16"/>
            <w:szCs w:val="16"/>
            <w:lang w:val="es-VE"/>
          </w:rPr>
          <w:t>http://elpais.com/diario/2003/12/03/internacional/1070406013_850215.html</w:t>
        </w:r>
      </w:hyperlink>
      <w:r>
        <w:rPr>
          <w:rFonts w:ascii="Verdana" w:hAnsi="Verdana"/>
          <w:spacing w:val="-12"/>
          <w:sz w:val="16"/>
          <w:szCs w:val="16"/>
          <w:u w:val="single"/>
          <w:lang w:val="es-VE"/>
        </w:rPr>
        <w:t xml:space="preserve"> </w:t>
      </w:r>
      <w:r w:rsidRPr="000536CF">
        <w:rPr>
          <w:rFonts w:ascii="Verdana" w:hAnsi="Verdana"/>
          <w:spacing w:val="-12"/>
          <w:sz w:val="16"/>
          <w:szCs w:val="16"/>
          <w:u w:val="single"/>
          <w:lang w:val="es-VE"/>
        </w:rPr>
        <w:t xml:space="preserve"> </w:t>
      </w:r>
    </w:p>
  </w:footnote>
  <w:footnote w:id="66">
    <w:p w14:paraId="149BD3E2" w14:textId="003B8242" w:rsidR="00837BB9" w:rsidRPr="008B6122" w:rsidRDefault="00837BB9" w:rsidP="008349B1">
      <w:pPr>
        <w:pStyle w:val="FootnoteText"/>
        <w:spacing w:before="120" w:after="120"/>
        <w:jc w:val="both"/>
        <w:rPr>
          <w:rFonts w:ascii="Verdana" w:hAnsi="Verdana"/>
          <w:spacing w:val="-12"/>
          <w:sz w:val="16"/>
          <w:szCs w:val="16"/>
          <w:lang w:val="es-VE"/>
        </w:rPr>
      </w:pPr>
      <w:r w:rsidRPr="001C16AC">
        <w:rPr>
          <w:rStyle w:val="FootnoteReference"/>
          <w:rFonts w:ascii="Verdana" w:hAnsi="Verdana"/>
          <w:spacing w:val="-12"/>
          <w:sz w:val="16"/>
          <w:szCs w:val="16"/>
        </w:rPr>
        <w:footnoteRef/>
      </w:r>
      <w:r w:rsidRPr="006001C8">
        <w:rPr>
          <w:rFonts w:ascii="Verdana" w:hAnsi="Verdana"/>
          <w:spacing w:val="-12"/>
          <w:sz w:val="16"/>
          <w:szCs w:val="16"/>
          <w:lang w:val="es-VE"/>
        </w:rPr>
        <w:t xml:space="preserve"> </w:t>
      </w:r>
      <w:r w:rsidRPr="006001C8">
        <w:rPr>
          <w:rFonts w:ascii="Verdana" w:hAnsi="Verdana"/>
          <w:spacing w:val="-12"/>
          <w:sz w:val="16"/>
          <w:szCs w:val="16"/>
          <w:lang w:val="es-VE"/>
        </w:rPr>
        <w:tab/>
      </w:r>
      <w:r w:rsidRPr="00D55480">
        <w:rPr>
          <w:rFonts w:ascii="Verdana" w:hAnsi="Verdana"/>
          <w:i/>
          <w:spacing w:val="-12"/>
          <w:sz w:val="16"/>
          <w:szCs w:val="16"/>
          <w:lang w:val="es-VE"/>
        </w:rPr>
        <w:t xml:space="preserve">Cfr. </w:t>
      </w:r>
      <w:r w:rsidRPr="00D55480">
        <w:rPr>
          <w:rFonts w:ascii="Verdana" w:hAnsi="Verdana"/>
          <w:spacing w:val="-12"/>
          <w:sz w:val="16"/>
          <w:szCs w:val="16"/>
          <w:lang w:val="es-VE"/>
        </w:rPr>
        <w:t xml:space="preserve">El Universal, Ordenan entrega de firmas después del 19A, 14 de agosto de 2003, disponible en: </w:t>
      </w:r>
      <w:hyperlink r:id="rId13" w:history="1">
        <w:r w:rsidRPr="001F0CE6">
          <w:rPr>
            <w:rStyle w:val="Hyperlink"/>
            <w:rFonts w:ascii="Verdana" w:hAnsi="Verdana"/>
            <w:spacing w:val="-12"/>
            <w:sz w:val="16"/>
            <w:szCs w:val="16"/>
            <w:lang w:val="es-VE"/>
          </w:rPr>
          <w:t>http://www.eluniversal.com/2003/08/14/pol_art_14104AA.shtml</w:t>
        </w:r>
      </w:hyperlink>
      <w:r>
        <w:rPr>
          <w:rFonts w:ascii="Verdana" w:hAnsi="Verdana"/>
          <w:spacing w:val="-12"/>
          <w:sz w:val="16"/>
          <w:szCs w:val="16"/>
          <w:u w:val="single"/>
          <w:lang w:val="es-VE"/>
        </w:rPr>
        <w:t xml:space="preserve"> </w:t>
      </w:r>
    </w:p>
  </w:footnote>
  <w:footnote w:id="67">
    <w:p w14:paraId="0D0EFC48" w14:textId="6172561D" w:rsidR="00837BB9" w:rsidRPr="00CF3AED" w:rsidRDefault="00837BB9" w:rsidP="008349B1">
      <w:pPr>
        <w:pStyle w:val="FootnoteText"/>
        <w:spacing w:before="120" w:after="120"/>
        <w:jc w:val="both"/>
        <w:rPr>
          <w:rFonts w:ascii="Verdana" w:hAnsi="Verdana"/>
          <w:spacing w:val="-12"/>
          <w:sz w:val="16"/>
          <w:szCs w:val="16"/>
          <w:lang w:val="es-VE"/>
        </w:rPr>
      </w:pPr>
      <w:r w:rsidRPr="008B6122">
        <w:rPr>
          <w:rStyle w:val="FootnoteReference"/>
          <w:rFonts w:ascii="Verdana" w:hAnsi="Verdana"/>
          <w:spacing w:val="-12"/>
          <w:sz w:val="16"/>
          <w:szCs w:val="16"/>
        </w:rPr>
        <w:footnoteRef/>
      </w:r>
      <w:r w:rsidRPr="0012407E">
        <w:rPr>
          <w:rFonts w:ascii="Verdana" w:hAnsi="Verdana"/>
          <w:spacing w:val="-12"/>
          <w:sz w:val="16"/>
          <w:szCs w:val="16"/>
          <w:lang w:val="es-VE"/>
        </w:rPr>
        <w:t xml:space="preserve"> </w:t>
      </w:r>
      <w:r w:rsidRPr="0012407E">
        <w:rPr>
          <w:rFonts w:ascii="Verdana" w:hAnsi="Verdana"/>
          <w:spacing w:val="-12"/>
          <w:sz w:val="16"/>
          <w:szCs w:val="16"/>
          <w:lang w:val="es-VE"/>
        </w:rPr>
        <w:tab/>
      </w:r>
      <w:r w:rsidRPr="00D63578">
        <w:rPr>
          <w:rFonts w:ascii="Verdana" w:hAnsi="Verdana"/>
          <w:i/>
          <w:spacing w:val="-12"/>
          <w:sz w:val="16"/>
          <w:szCs w:val="16"/>
          <w:lang w:val="es-VE"/>
        </w:rPr>
        <w:t xml:space="preserve">Cfr. </w:t>
      </w:r>
      <w:r w:rsidRPr="00D63578">
        <w:rPr>
          <w:rFonts w:ascii="Verdana" w:hAnsi="Verdana"/>
          <w:spacing w:val="-12"/>
          <w:sz w:val="16"/>
          <w:szCs w:val="16"/>
          <w:lang w:val="es-VE"/>
        </w:rPr>
        <w:t>Súmate, Informe de Avance “El Referen</w:t>
      </w:r>
      <w:r>
        <w:rPr>
          <w:rFonts w:ascii="Verdana" w:hAnsi="Verdana"/>
          <w:spacing w:val="-12"/>
          <w:sz w:val="16"/>
          <w:szCs w:val="16"/>
          <w:lang w:val="es-VE"/>
        </w:rPr>
        <w:t xml:space="preserve">do Revocatorio Presidencial”, </w:t>
      </w:r>
      <w:r>
        <w:rPr>
          <w:rFonts w:ascii="Verdana" w:hAnsi="Verdana"/>
          <w:i/>
          <w:spacing w:val="-12"/>
          <w:sz w:val="16"/>
          <w:szCs w:val="16"/>
          <w:lang w:val="es-VE"/>
        </w:rPr>
        <w:t>supra</w:t>
      </w:r>
      <w:r w:rsidRPr="00D63578">
        <w:rPr>
          <w:rFonts w:ascii="Verdana" w:hAnsi="Verdana"/>
          <w:spacing w:val="-12"/>
          <w:sz w:val="16"/>
          <w:szCs w:val="16"/>
          <w:lang w:val="es-VE"/>
        </w:rPr>
        <w:t>.</w:t>
      </w:r>
    </w:p>
  </w:footnote>
  <w:footnote w:id="68">
    <w:p w14:paraId="47CDD8AE" w14:textId="06D5BE98" w:rsidR="00837BB9" w:rsidRPr="00CF3AED" w:rsidRDefault="00837BB9" w:rsidP="008349B1">
      <w:pPr>
        <w:pStyle w:val="FootnoteText"/>
        <w:spacing w:before="120" w:after="120"/>
        <w:jc w:val="both"/>
        <w:rPr>
          <w:rFonts w:ascii="Verdana" w:hAnsi="Verdana"/>
          <w:i/>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6203B0">
        <w:rPr>
          <w:rFonts w:ascii="Verdana" w:hAnsi="Verdana"/>
          <w:i/>
          <w:spacing w:val="-12"/>
          <w:sz w:val="16"/>
          <w:szCs w:val="16"/>
          <w:lang w:val="es-VE"/>
        </w:rPr>
        <w:t xml:space="preserve">Cfr. </w:t>
      </w:r>
      <w:r w:rsidRPr="00FC1D38">
        <w:rPr>
          <w:rFonts w:ascii="Verdana" w:hAnsi="Verdana"/>
          <w:spacing w:val="-12"/>
          <w:sz w:val="16"/>
          <w:szCs w:val="16"/>
          <w:lang w:val="es-VE"/>
        </w:rPr>
        <w:t>Consejo Nacional Electoral, Resolución No. 030912</w:t>
      </w:r>
      <w:r w:rsidRPr="00FC1D38">
        <w:rPr>
          <w:rFonts w:ascii="Verdana" w:hAnsi="Verdana"/>
          <w:spacing w:val="-12"/>
          <w:sz w:val="16"/>
          <w:szCs w:val="16"/>
          <w:lang w:val="es-VE"/>
        </w:rPr>
        <w:noBreakHyphen/>
        <w:t xml:space="preserve">461, 12 de septiembre de 2003, disponible en: </w:t>
      </w:r>
      <w:hyperlink r:id="rId14" w:history="1">
        <w:r w:rsidRPr="00CF3AED">
          <w:rPr>
            <w:rStyle w:val="Hyperlink"/>
            <w:rFonts w:ascii="Verdana" w:hAnsi="Verdana"/>
            <w:spacing w:val="-12"/>
            <w:sz w:val="16"/>
            <w:szCs w:val="16"/>
            <w:lang w:val="es-VE"/>
          </w:rPr>
          <w:t>http://www.cne.gob.ve/web/sala_prensa/noticia_detallada.php?id=1629</w:t>
        </w:r>
      </w:hyperlink>
      <w:r w:rsidRPr="00C7142E">
        <w:rPr>
          <w:rFonts w:ascii="Verdana" w:hAnsi="Verdana"/>
          <w:spacing w:val="-12"/>
          <w:sz w:val="16"/>
          <w:szCs w:val="16"/>
          <w:lang w:val="es-VE"/>
        </w:rPr>
        <w:t xml:space="preserve">.  </w:t>
      </w:r>
    </w:p>
  </w:footnote>
  <w:footnote w:id="69">
    <w:p w14:paraId="4F925766" w14:textId="63FC72E5"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 xml:space="preserve">Cfr. </w:t>
      </w:r>
      <w:r w:rsidRPr="0069409D">
        <w:rPr>
          <w:rFonts w:ascii="Verdana" w:hAnsi="Verdana"/>
          <w:spacing w:val="-12"/>
          <w:sz w:val="16"/>
          <w:szCs w:val="16"/>
          <w:lang w:val="es-VE"/>
        </w:rPr>
        <w:t>Consejo Nacional Electoral, Resolución 030925</w:t>
      </w:r>
      <w:r w:rsidRPr="0069409D">
        <w:rPr>
          <w:rFonts w:ascii="Verdana" w:hAnsi="Verdana"/>
          <w:spacing w:val="-12"/>
          <w:sz w:val="16"/>
          <w:szCs w:val="16"/>
          <w:lang w:val="es-VE"/>
        </w:rPr>
        <w:noBreakHyphen/>
        <w:t>465, 25 de septiembre de 2003</w:t>
      </w:r>
      <w:r w:rsidRPr="006C24C0">
        <w:rPr>
          <w:rFonts w:ascii="Verdana" w:hAnsi="Verdana"/>
          <w:spacing w:val="-12"/>
          <w:sz w:val="16"/>
          <w:szCs w:val="16"/>
          <w:lang w:val="es-VE"/>
        </w:rPr>
        <w:t xml:space="preserve"> (Gaceta oficial del CNE N</w:t>
      </w:r>
      <w:r w:rsidRPr="003100FE">
        <w:rPr>
          <w:rFonts w:ascii="Verdana" w:hAnsi="Verdana"/>
          <w:spacing w:val="-12"/>
          <w:sz w:val="16"/>
          <w:szCs w:val="16"/>
          <w:lang w:val="es-VE"/>
        </w:rPr>
        <w:t>°</w:t>
      </w:r>
      <w:r w:rsidRPr="0003211A">
        <w:rPr>
          <w:rFonts w:ascii="Verdana" w:hAnsi="Verdana"/>
          <w:spacing w:val="-12"/>
          <w:sz w:val="16"/>
          <w:szCs w:val="16"/>
          <w:lang w:val="es-VE"/>
        </w:rPr>
        <w:t xml:space="preserve"> </w:t>
      </w:r>
      <w:r w:rsidRPr="00CE7020">
        <w:rPr>
          <w:rFonts w:ascii="Verdana" w:hAnsi="Verdana"/>
          <w:spacing w:val="-12"/>
          <w:sz w:val="16"/>
          <w:szCs w:val="16"/>
          <w:lang w:val="es-VE"/>
        </w:rPr>
        <w:t>175 del 26 de septiembre de 2003),</w:t>
      </w:r>
      <w:r>
        <w:rPr>
          <w:rFonts w:ascii="Verdana" w:hAnsi="Verdana"/>
          <w:spacing w:val="-12"/>
          <w:sz w:val="16"/>
          <w:szCs w:val="16"/>
          <w:lang w:val="es-VE"/>
        </w:rPr>
        <w:t xml:space="preserve"> disponible en:</w:t>
      </w:r>
      <w:r w:rsidRPr="00290E0C">
        <w:rPr>
          <w:rFonts w:ascii="Verdana" w:hAnsi="Verdana"/>
          <w:spacing w:val="-12"/>
          <w:sz w:val="16"/>
          <w:szCs w:val="16"/>
          <w:lang w:val="es-VE"/>
        </w:rPr>
        <w:t xml:space="preserve"> </w:t>
      </w:r>
      <w:r w:rsidRPr="000F1A31">
        <w:rPr>
          <w:rStyle w:val="Hyperlink"/>
          <w:rFonts w:ascii="Verdana" w:hAnsi="Verdana"/>
          <w:spacing w:val="-12"/>
          <w:sz w:val="16"/>
          <w:szCs w:val="16"/>
          <w:lang w:val="es-VE"/>
        </w:rPr>
        <w:t>http://www.cne.gob.ve/web/gaceta_electoral/gaceta_electoral_detallado.php?tg=1&amp;num_gac=</w:t>
      </w:r>
      <w:proofErr w:type="gramStart"/>
      <w:r w:rsidRPr="000F1A31">
        <w:rPr>
          <w:rStyle w:val="Hyperlink"/>
          <w:rFonts w:ascii="Verdana" w:hAnsi="Verdana"/>
          <w:spacing w:val="-12"/>
          <w:sz w:val="16"/>
          <w:szCs w:val="16"/>
          <w:lang w:val="es-VE"/>
        </w:rPr>
        <w:t>175</w:t>
      </w:r>
      <w:r w:rsidRPr="00C7142E">
        <w:rPr>
          <w:rFonts w:ascii="Verdana" w:eastAsiaTheme="minorHAnsi" w:hAnsi="Verdana" w:cstheme="minorBidi"/>
          <w:spacing w:val="-12"/>
          <w:sz w:val="16"/>
          <w:szCs w:val="16"/>
          <w:lang w:val="es-VE"/>
        </w:rPr>
        <w:t xml:space="preserve"> .</w:t>
      </w:r>
      <w:proofErr w:type="gramEnd"/>
      <w:r w:rsidRPr="00C7142E">
        <w:rPr>
          <w:rFonts w:ascii="Verdana" w:eastAsiaTheme="minorHAnsi" w:hAnsi="Verdana" w:cstheme="minorBidi"/>
          <w:spacing w:val="-12"/>
          <w:sz w:val="16"/>
          <w:szCs w:val="16"/>
          <w:lang w:val="es-VE"/>
        </w:rPr>
        <w:t xml:space="preserve"> </w:t>
      </w:r>
      <w:r w:rsidRPr="00C7142E">
        <w:rPr>
          <w:rFonts w:ascii="Verdana" w:hAnsi="Verdana"/>
          <w:spacing w:val="-12"/>
          <w:sz w:val="16"/>
          <w:szCs w:val="16"/>
          <w:lang w:val="es-VE"/>
        </w:rPr>
        <w:t>Según el perito Luis Salamanca, las normas regulatorias estaban llenas de requisitos adicionales que entrababan el ejercicio de</w:t>
      </w:r>
      <w:r>
        <w:rPr>
          <w:rFonts w:ascii="Verdana" w:hAnsi="Verdana"/>
          <w:spacing w:val="-12"/>
          <w:sz w:val="16"/>
          <w:szCs w:val="16"/>
          <w:lang w:val="es-VE"/>
        </w:rPr>
        <w:t>l derecho, tales como</w:t>
      </w:r>
      <w:r w:rsidRPr="00C7142E">
        <w:rPr>
          <w:rFonts w:ascii="Verdana" w:hAnsi="Verdana"/>
          <w:spacing w:val="-12"/>
          <w:sz w:val="16"/>
          <w:szCs w:val="16"/>
          <w:lang w:val="es-VE"/>
        </w:rPr>
        <w:t xml:space="preserve"> que las firmas deberían ser recogidas en una planilla de seguridad con sellos de agua y</w:t>
      </w:r>
      <w:r w:rsidRPr="006C24C0">
        <w:rPr>
          <w:rFonts w:ascii="Verdana" w:hAnsi="Verdana"/>
          <w:spacing w:val="-12"/>
          <w:sz w:val="16"/>
          <w:szCs w:val="16"/>
          <w:lang w:val="es-VE"/>
        </w:rPr>
        <w:t xml:space="preserve"> códigos de barra, diseñada por el CNE, en lugares y horarios establecidos por el ente rector, durante 4 días </w:t>
      </w:r>
      <w:r w:rsidRPr="0003211A">
        <w:rPr>
          <w:rFonts w:ascii="Verdana" w:hAnsi="Verdana"/>
          <w:spacing w:val="-12"/>
          <w:sz w:val="16"/>
          <w:szCs w:val="16"/>
          <w:lang w:val="es-VE"/>
        </w:rPr>
        <w:t>(</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 xml:space="preserve">. prueba,  </w:t>
      </w:r>
      <w:r w:rsidRPr="00773F82">
        <w:rPr>
          <w:rFonts w:ascii="Verdana" w:hAnsi="Verdana"/>
          <w:spacing w:val="-12"/>
          <w:sz w:val="16"/>
          <w:szCs w:val="16"/>
          <w:lang w:val="es-VE"/>
        </w:rPr>
        <w:t>f</w:t>
      </w:r>
      <w:r w:rsidRPr="00290E0C">
        <w:rPr>
          <w:rFonts w:ascii="Verdana" w:hAnsi="Verdana"/>
          <w:spacing w:val="-12"/>
          <w:sz w:val="16"/>
          <w:szCs w:val="16"/>
          <w:lang w:val="es-VE"/>
        </w:rPr>
        <w:t>olio</w:t>
      </w:r>
      <w:r w:rsidRPr="0054215F">
        <w:rPr>
          <w:rFonts w:ascii="Verdana" w:hAnsi="Verdana"/>
          <w:spacing w:val="-12"/>
          <w:sz w:val="16"/>
          <w:szCs w:val="16"/>
          <w:lang w:val="es-VE"/>
        </w:rPr>
        <w:t xml:space="preserve"> 3129).</w:t>
      </w:r>
    </w:p>
  </w:footnote>
  <w:footnote w:id="70">
    <w:p w14:paraId="4ED4C12E" w14:textId="67572F7D" w:rsidR="00837BB9" w:rsidRPr="00C7142E" w:rsidRDefault="00837BB9" w:rsidP="008349B1">
      <w:pPr>
        <w:pStyle w:val="FootnoteText"/>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VE"/>
        </w:rPr>
        <w:tab/>
        <w:t xml:space="preserve">El artículo 29 de la Resolución 030925-465 establecía que: </w:t>
      </w:r>
    </w:p>
    <w:p w14:paraId="583DE88C" w14:textId="77777777" w:rsidR="00837BB9" w:rsidRPr="003100FE" w:rsidRDefault="00837BB9" w:rsidP="008349B1">
      <w:pPr>
        <w:pStyle w:val="FootnoteText"/>
        <w:ind w:left="284"/>
        <w:jc w:val="both"/>
        <w:rPr>
          <w:rFonts w:ascii="Verdana" w:hAnsi="Verdana"/>
          <w:spacing w:val="-12"/>
          <w:sz w:val="16"/>
          <w:szCs w:val="16"/>
          <w:lang w:val="es-VE"/>
        </w:rPr>
      </w:pPr>
      <w:r w:rsidRPr="006C24C0">
        <w:rPr>
          <w:rFonts w:ascii="Verdana" w:hAnsi="Verdana"/>
          <w:spacing w:val="-12"/>
          <w:sz w:val="16"/>
          <w:szCs w:val="16"/>
          <w:lang w:val="es-VE"/>
        </w:rPr>
        <w:t>“Las firmas o solicitudes no se considerarán fi</w:t>
      </w:r>
      <w:r w:rsidRPr="003100FE">
        <w:rPr>
          <w:rFonts w:ascii="Verdana" w:hAnsi="Verdana"/>
          <w:spacing w:val="-12"/>
          <w:sz w:val="16"/>
          <w:szCs w:val="16"/>
          <w:lang w:val="es-VE"/>
        </w:rPr>
        <w:t>dedignas y en consecuencia se estimarán como solicitudes inválidas, en cualquiera de los siguientes supuestos:</w:t>
      </w:r>
    </w:p>
    <w:p w14:paraId="5A0F1A26" w14:textId="77777777" w:rsidR="00837BB9" w:rsidRPr="0003211A" w:rsidRDefault="00837BB9" w:rsidP="008349B1">
      <w:pPr>
        <w:pStyle w:val="FootnoteText"/>
        <w:ind w:left="426"/>
        <w:jc w:val="both"/>
        <w:rPr>
          <w:rFonts w:ascii="Verdana" w:hAnsi="Verdana"/>
          <w:spacing w:val="-12"/>
          <w:sz w:val="16"/>
          <w:szCs w:val="16"/>
          <w:lang w:val="es-VE"/>
        </w:rPr>
      </w:pPr>
      <w:r w:rsidRPr="0003211A">
        <w:rPr>
          <w:rFonts w:ascii="Verdana" w:hAnsi="Verdana"/>
          <w:spacing w:val="-12"/>
          <w:sz w:val="16"/>
          <w:szCs w:val="16"/>
          <w:lang w:val="es-VE"/>
        </w:rPr>
        <w:t>1. Si existe incongruencia entre el nombre, apellido, fecha de nacimiento y cédula de identidad del firmante.</w:t>
      </w:r>
    </w:p>
    <w:p w14:paraId="106B1519" w14:textId="77777777" w:rsidR="00837BB9" w:rsidRPr="00CE7020" w:rsidRDefault="00837BB9" w:rsidP="008349B1">
      <w:pPr>
        <w:pStyle w:val="FootnoteText"/>
        <w:ind w:left="426"/>
        <w:jc w:val="both"/>
        <w:rPr>
          <w:rFonts w:ascii="Verdana" w:hAnsi="Verdana"/>
          <w:spacing w:val="-12"/>
          <w:sz w:val="16"/>
          <w:szCs w:val="16"/>
          <w:lang w:val="es-VE"/>
        </w:rPr>
      </w:pPr>
      <w:r w:rsidRPr="00CE7020">
        <w:rPr>
          <w:rFonts w:ascii="Verdana" w:hAnsi="Verdana"/>
          <w:spacing w:val="-12"/>
          <w:sz w:val="16"/>
          <w:szCs w:val="16"/>
          <w:lang w:val="es-VE"/>
        </w:rPr>
        <w:t>2. Si el firmante no está inscrito en la circunscripción electoral correspondiente al referendo de que se trate.</w:t>
      </w:r>
    </w:p>
    <w:p w14:paraId="77152C22" w14:textId="77777777" w:rsidR="00837BB9" w:rsidRPr="00773F82" w:rsidRDefault="00837BB9" w:rsidP="008349B1">
      <w:pPr>
        <w:pStyle w:val="FootnoteText"/>
        <w:ind w:left="426"/>
        <w:jc w:val="both"/>
        <w:rPr>
          <w:rFonts w:ascii="Verdana" w:hAnsi="Verdana"/>
          <w:spacing w:val="-12"/>
          <w:sz w:val="16"/>
          <w:szCs w:val="16"/>
          <w:lang w:val="es-VE"/>
        </w:rPr>
      </w:pPr>
      <w:r w:rsidRPr="00773F82">
        <w:rPr>
          <w:rFonts w:ascii="Verdana" w:hAnsi="Verdana"/>
          <w:spacing w:val="-12"/>
          <w:sz w:val="16"/>
          <w:szCs w:val="16"/>
          <w:lang w:val="es-VE"/>
        </w:rPr>
        <w:t>3. Si la firma no es manuscrita.</w:t>
      </w:r>
    </w:p>
    <w:p w14:paraId="024AFC35" w14:textId="77777777" w:rsidR="00837BB9" w:rsidRPr="00290E0C" w:rsidRDefault="00837BB9" w:rsidP="008349B1">
      <w:pPr>
        <w:pStyle w:val="FootnoteText"/>
        <w:ind w:left="426"/>
        <w:jc w:val="both"/>
        <w:rPr>
          <w:rFonts w:ascii="Verdana" w:hAnsi="Verdana"/>
          <w:spacing w:val="-12"/>
          <w:sz w:val="16"/>
          <w:szCs w:val="16"/>
          <w:lang w:val="es-VE"/>
        </w:rPr>
      </w:pPr>
      <w:r w:rsidRPr="00290E0C">
        <w:rPr>
          <w:rFonts w:ascii="Verdana" w:hAnsi="Verdana"/>
          <w:spacing w:val="-12"/>
          <w:sz w:val="16"/>
          <w:szCs w:val="16"/>
          <w:lang w:val="es-VE"/>
        </w:rPr>
        <w:t>4. Si la firma es producto de fotocopias o cualquier otro medio de reproducción.</w:t>
      </w:r>
    </w:p>
    <w:p w14:paraId="3225ADE2" w14:textId="11BA2771" w:rsidR="00837BB9" w:rsidRPr="0054215F" w:rsidRDefault="00837BB9" w:rsidP="008349B1">
      <w:pPr>
        <w:pStyle w:val="FootnoteText"/>
        <w:ind w:left="426"/>
        <w:jc w:val="both"/>
        <w:rPr>
          <w:rFonts w:ascii="Verdana" w:hAnsi="Verdana"/>
          <w:spacing w:val="-12"/>
          <w:sz w:val="16"/>
          <w:szCs w:val="16"/>
          <w:lang w:val="es-CR"/>
        </w:rPr>
      </w:pPr>
      <w:r w:rsidRPr="00B252EB">
        <w:rPr>
          <w:rFonts w:ascii="Verdana" w:hAnsi="Verdana"/>
          <w:spacing w:val="-12"/>
          <w:sz w:val="16"/>
          <w:szCs w:val="16"/>
          <w:lang w:val="es-VE"/>
        </w:rPr>
        <w:t>5. Si se determina que más de una firma proviene de la misma persona.”</w:t>
      </w:r>
    </w:p>
  </w:footnote>
  <w:footnote w:id="71">
    <w:p w14:paraId="6C83FA5B" w14:textId="77777777" w:rsidR="00837BB9" w:rsidRPr="0069409D" w:rsidRDefault="00837BB9" w:rsidP="008349B1">
      <w:pPr>
        <w:pStyle w:val="FootnoteText"/>
        <w:spacing w:before="120" w:after="120"/>
        <w:jc w:val="both"/>
        <w:rPr>
          <w:rFonts w:ascii="Verdana" w:hAnsi="Verdana"/>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Consejo Nacional Electoral, Resolución 030925</w:t>
      </w:r>
      <w:r w:rsidRPr="0069409D">
        <w:rPr>
          <w:rFonts w:ascii="Verdana" w:hAnsi="Verdana"/>
          <w:spacing w:val="-12"/>
          <w:sz w:val="16"/>
          <w:szCs w:val="16"/>
          <w:lang w:val="es-VE"/>
        </w:rPr>
        <w:noBreakHyphen/>
        <w:t xml:space="preserve">465, 25 de septiembre de 2003, artículos 7.3, 28 y 31.  </w:t>
      </w:r>
    </w:p>
  </w:footnote>
  <w:footnote w:id="72">
    <w:p w14:paraId="3C2FBB32" w14:textId="544075D9" w:rsidR="00837BB9" w:rsidRPr="00CE7020" w:rsidRDefault="00837BB9" w:rsidP="008349B1">
      <w:pPr>
        <w:pStyle w:val="FootnoteText"/>
        <w:spacing w:before="120" w:after="120"/>
        <w:jc w:val="both"/>
        <w:rPr>
          <w:rFonts w:ascii="Verdana" w:hAnsi="Verdana"/>
          <w:i/>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 xml:space="preserve">Cfr. </w:t>
      </w:r>
      <w:r w:rsidRPr="0069409D">
        <w:rPr>
          <w:rFonts w:ascii="Verdana" w:hAnsi="Verdana"/>
          <w:spacing w:val="-12"/>
          <w:sz w:val="16"/>
          <w:szCs w:val="16"/>
          <w:lang w:val="es-VE"/>
        </w:rPr>
        <w:t>Consejo Nacional Electoral, Resolución 031015</w:t>
      </w:r>
      <w:r w:rsidRPr="0069409D">
        <w:rPr>
          <w:rFonts w:ascii="Verdana" w:hAnsi="Verdana"/>
          <w:spacing w:val="-12"/>
          <w:sz w:val="16"/>
          <w:szCs w:val="16"/>
          <w:lang w:val="es-VE"/>
        </w:rPr>
        <w:noBreakHyphen/>
        <w:t xml:space="preserve">529, 15 de octubre de 2003 </w:t>
      </w:r>
      <w:r w:rsidRPr="006C24C0">
        <w:rPr>
          <w:rFonts w:ascii="Verdana" w:hAnsi="Verdana"/>
          <w:i/>
          <w:spacing w:val="-12"/>
          <w:sz w:val="16"/>
          <w:szCs w:val="16"/>
          <w:lang w:val="es-VE"/>
        </w:rPr>
        <w:t>(</w:t>
      </w:r>
      <w:r w:rsidRPr="003100FE">
        <w:rPr>
          <w:rFonts w:ascii="Verdana" w:hAnsi="Verdana"/>
          <w:spacing w:val="-12"/>
          <w:sz w:val="16"/>
          <w:szCs w:val="16"/>
          <w:lang w:val="es-VE"/>
        </w:rPr>
        <w:t>Gaceta oficial del CNE N° 178 del 24 de octubre de 2003)</w:t>
      </w:r>
      <w:r w:rsidRPr="0003211A">
        <w:rPr>
          <w:rFonts w:ascii="Verdana" w:hAnsi="Verdana"/>
          <w:spacing w:val="-12"/>
          <w:sz w:val="16"/>
          <w:szCs w:val="16"/>
          <w:lang w:val="es-VE"/>
        </w:rPr>
        <w:t xml:space="preserve">. </w:t>
      </w:r>
    </w:p>
  </w:footnote>
  <w:footnote w:id="73">
    <w:p w14:paraId="0E2D5086" w14:textId="3266818D" w:rsidR="00837BB9" w:rsidRPr="00290E0C"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Consejo Nacio</w:t>
      </w:r>
      <w:r>
        <w:rPr>
          <w:rFonts w:ascii="Verdana" w:hAnsi="Verdana"/>
          <w:spacing w:val="-12"/>
          <w:sz w:val="16"/>
          <w:szCs w:val="16"/>
          <w:lang w:val="es-VE"/>
        </w:rPr>
        <w:t>nal Electoral, Resolución No. 031027</w:t>
      </w:r>
      <w:r>
        <w:rPr>
          <w:rFonts w:ascii="Verdana" w:hAnsi="Verdana"/>
          <w:spacing w:val="-12"/>
          <w:sz w:val="16"/>
          <w:szCs w:val="16"/>
          <w:lang w:val="es-VE"/>
        </w:rPr>
        <w:noBreakHyphen/>
        <w:t>710,</w:t>
      </w:r>
      <w:r w:rsidRPr="0069409D">
        <w:rPr>
          <w:rFonts w:ascii="Verdana" w:hAnsi="Verdana"/>
          <w:spacing w:val="-12"/>
          <w:sz w:val="16"/>
          <w:szCs w:val="16"/>
          <w:lang w:val="es-VE"/>
        </w:rPr>
        <w:t xml:space="preserve"> 27 de octubre de 2003 (</w:t>
      </w:r>
      <w:proofErr w:type="spellStart"/>
      <w:r w:rsidRPr="006C24C0">
        <w:rPr>
          <w:rFonts w:ascii="Verdana" w:hAnsi="Verdana"/>
          <w:spacing w:val="-12"/>
          <w:sz w:val="16"/>
          <w:szCs w:val="16"/>
          <w:lang w:val="es-VE"/>
        </w:rPr>
        <w:t>exp</w:t>
      </w:r>
      <w:proofErr w:type="spellEnd"/>
      <w:r w:rsidRPr="006C24C0">
        <w:rPr>
          <w:rFonts w:ascii="Verdana" w:hAnsi="Verdana"/>
          <w:spacing w:val="-12"/>
          <w:sz w:val="16"/>
          <w:szCs w:val="16"/>
          <w:lang w:val="es-VE"/>
        </w:rPr>
        <w:t>. prueba</w:t>
      </w:r>
      <w:r w:rsidRPr="00CE7020">
        <w:rPr>
          <w:rFonts w:ascii="Verdana" w:hAnsi="Verdana"/>
          <w:spacing w:val="-12"/>
          <w:sz w:val="16"/>
          <w:szCs w:val="16"/>
          <w:lang w:val="es-VE"/>
        </w:rPr>
        <w:t xml:space="preserve"> folio</w:t>
      </w:r>
      <w:r w:rsidRPr="00290E0C">
        <w:rPr>
          <w:rFonts w:ascii="Verdana" w:hAnsi="Verdana"/>
          <w:spacing w:val="-12"/>
          <w:sz w:val="16"/>
          <w:szCs w:val="16"/>
          <w:lang w:val="es-VE"/>
        </w:rPr>
        <w:t xml:space="preserve"> 8). </w:t>
      </w:r>
    </w:p>
  </w:footnote>
  <w:footnote w:id="74">
    <w:p w14:paraId="7B76D29C" w14:textId="1A2164D6"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Resolución del Consejo Nacional Electoral No. 031120</w:t>
      </w:r>
      <w:r w:rsidRPr="0069409D">
        <w:rPr>
          <w:rFonts w:ascii="Verdana" w:hAnsi="Verdana"/>
          <w:spacing w:val="-12"/>
          <w:sz w:val="16"/>
          <w:szCs w:val="16"/>
          <w:lang w:val="es-VE"/>
        </w:rPr>
        <w:noBreakHyphen/>
        <w:t>794 del 20 de noviembre de 2003 (</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prueba</w:t>
      </w:r>
      <w:r w:rsidRPr="00CE7020">
        <w:rPr>
          <w:rFonts w:ascii="Verdana" w:hAnsi="Verdana"/>
          <w:spacing w:val="-12"/>
          <w:sz w:val="16"/>
          <w:szCs w:val="16"/>
          <w:lang w:val="es-VE"/>
        </w:rPr>
        <w:t xml:space="preserve"> </w:t>
      </w:r>
      <w:r w:rsidRPr="00773F82">
        <w:rPr>
          <w:rFonts w:ascii="Verdana" w:hAnsi="Verdana"/>
          <w:spacing w:val="-12"/>
          <w:sz w:val="16"/>
          <w:szCs w:val="16"/>
          <w:lang w:val="es-VE"/>
        </w:rPr>
        <w:t>folios</w:t>
      </w:r>
      <w:r w:rsidRPr="00B252EB">
        <w:rPr>
          <w:rFonts w:ascii="Verdana" w:hAnsi="Verdana"/>
          <w:spacing w:val="-12"/>
          <w:sz w:val="16"/>
          <w:szCs w:val="16"/>
          <w:lang w:val="es-VE"/>
        </w:rPr>
        <w:t xml:space="preserve"> 12</w:t>
      </w:r>
      <w:r w:rsidRPr="0054215F">
        <w:rPr>
          <w:rFonts w:ascii="Verdana" w:hAnsi="Verdana"/>
          <w:spacing w:val="-12"/>
          <w:sz w:val="16"/>
          <w:szCs w:val="16"/>
          <w:lang w:val="es-VE"/>
        </w:rPr>
        <w:t xml:space="preserve"> a </w:t>
      </w:r>
      <w:r w:rsidRPr="00CF3AED">
        <w:rPr>
          <w:rFonts w:ascii="Verdana" w:hAnsi="Verdana"/>
          <w:spacing w:val="-12"/>
          <w:sz w:val="16"/>
          <w:szCs w:val="16"/>
          <w:lang w:val="es-VE"/>
        </w:rPr>
        <w:t>13).</w:t>
      </w:r>
    </w:p>
  </w:footnote>
  <w:footnote w:id="75">
    <w:p w14:paraId="2118AACF" w14:textId="25B001E7" w:rsidR="00837BB9" w:rsidRPr="00C7142E" w:rsidRDefault="00837BB9" w:rsidP="008349B1">
      <w:pPr>
        <w:pStyle w:val="FootnoteText"/>
        <w:jc w:val="both"/>
        <w:rPr>
          <w:rFonts w:ascii="Verdana" w:hAnsi="Verdana"/>
          <w:spacing w:val="-12"/>
          <w:sz w:val="16"/>
          <w:szCs w:val="16"/>
          <w:shd w:val="clear" w:color="auto" w:fill="FFFFFF"/>
          <w:lang w:val="es-ES"/>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shd w:val="clear" w:color="auto" w:fill="FFFFFF"/>
          <w:lang w:val="es-ES"/>
        </w:rPr>
        <w:tab/>
        <w:t>Los artículos 2 y 3 de la Resolución 031120-794 establecían:</w:t>
      </w:r>
    </w:p>
    <w:p w14:paraId="55425ADE" w14:textId="069BC681" w:rsidR="00837BB9" w:rsidRPr="0003211A" w:rsidRDefault="00837BB9" w:rsidP="008349B1">
      <w:pPr>
        <w:pStyle w:val="FootnoteText"/>
        <w:ind w:left="284"/>
        <w:jc w:val="both"/>
        <w:rPr>
          <w:rFonts w:ascii="Verdana" w:hAnsi="Verdana"/>
          <w:spacing w:val="-12"/>
          <w:sz w:val="16"/>
          <w:szCs w:val="16"/>
          <w:shd w:val="clear" w:color="auto" w:fill="FFFFFF"/>
          <w:lang w:val="es-ES"/>
        </w:rPr>
      </w:pPr>
      <w:r w:rsidRPr="006C24C0">
        <w:rPr>
          <w:rFonts w:ascii="Verdana" w:hAnsi="Verdana"/>
          <w:spacing w:val="-12"/>
          <w:sz w:val="16"/>
          <w:szCs w:val="16"/>
          <w:shd w:val="clear" w:color="auto" w:fill="FFFFFF"/>
          <w:lang w:val="es-ES"/>
        </w:rPr>
        <w:t>“ARTÍCULO 2: Para el proceso de verificación de firmas, se tomará en cuenta los criterios de validación establecidos en el artículo 29 de las</w:t>
      </w:r>
      <w:r w:rsidRPr="003100FE">
        <w:rPr>
          <w:rFonts w:ascii="Verdana" w:hAnsi="Verdana"/>
          <w:spacing w:val="-12"/>
          <w:sz w:val="16"/>
          <w:szCs w:val="16"/>
          <w:shd w:val="clear" w:color="auto" w:fill="FFFFFF"/>
          <w:lang w:val="es-ES"/>
        </w:rPr>
        <w:t xml:space="preserve"> Normas para Regular los Procesos de Referendos Revocatorios de Mandatos de Cargos de Elección Popular, en concatenación con la Resolución 031030-716, dictada por el Consejo Nacional Electoral en fecha 30 de octubre de 2003 y publicada en la Gaceta Elector</w:t>
      </w:r>
      <w:r w:rsidRPr="0003211A">
        <w:rPr>
          <w:rFonts w:ascii="Verdana" w:hAnsi="Verdana"/>
          <w:spacing w:val="-12"/>
          <w:sz w:val="16"/>
          <w:szCs w:val="16"/>
          <w:shd w:val="clear" w:color="auto" w:fill="FFFFFF"/>
          <w:lang w:val="es-ES"/>
        </w:rPr>
        <w:t>al de la República Bolivariana de Venezuela No. 179, de fecha 13 de noviembre de 2003.”</w:t>
      </w:r>
    </w:p>
    <w:p w14:paraId="0384FEFE" w14:textId="5AF2F36C" w:rsidR="00837BB9" w:rsidRPr="00CE7020" w:rsidRDefault="00837BB9" w:rsidP="008349B1">
      <w:pPr>
        <w:pStyle w:val="FootnoteText"/>
        <w:ind w:left="284"/>
        <w:jc w:val="both"/>
        <w:rPr>
          <w:rFonts w:ascii="Verdana" w:hAnsi="Verdana"/>
          <w:spacing w:val="-12"/>
          <w:sz w:val="16"/>
          <w:szCs w:val="16"/>
          <w:shd w:val="clear" w:color="auto" w:fill="FFFFFF"/>
          <w:lang w:val="es-ES"/>
        </w:rPr>
      </w:pPr>
      <w:r w:rsidRPr="00CE7020">
        <w:rPr>
          <w:rFonts w:ascii="Verdana" w:hAnsi="Verdana"/>
          <w:spacing w:val="-12"/>
          <w:sz w:val="16"/>
          <w:szCs w:val="16"/>
          <w:shd w:val="clear" w:color="auto" w:fill="FFFFFF"/>
          <w:lang w:val="es-ES"/>
        </w:rPr>
        <w:t>ARTÍCULO 3: Sin perjuicio de lo previsto en el artículo anterior, una firma no se considerará válida en cualquiera de los siguientes supuestos:</w:t>
      </w:r>
    </w:p>
    <w:p w14:paraId="203703D5" w14:textId="77777777" w:rsidR="00837BB9" w:rsidRPr="00773F82" w:rsidRDefault="00837BB9" w:rsidP="008349B1">
      <w:pPr>
        <w:pStyle w:val="FootnoteText"/>
        <w:ind w:left="426"/>
        <w:jc w:val="both"/>
        <w:rPr>
          <w:rFonts w:ascii="Verdana" w:hAnsi="Verdana"/>
          <w:spacing w:val="-12"/>
          <w:sz w:val="16"/>
          <w:szCs w:val="16"/>
          <w:shd w:val="clear" w:color="auto" w:fill="FFFFFF"/>
          <w:lang w:val="es-ES"/>
        </w:rPr>
      </w:pPr>
      <w:r w:rsidRPr="00CE7020">
        <w:rPr>
          <w:rFonts w:ascii="Verdana" w:hAnsi="Verdana"/>
          <w:spacing w:val="-12"/>
          <w:sz w:val="16"/>
          <w:szCs w:val="16"/>
          <w:shd w:val="clear" w:color="auto" w:fill="FFFFFF"/>
          <w:lang w:val="es-ES"/>
        </w:rPr>
        <w:t>1. Cuando no contenga po</w:t>
      </w:r>
      <w:r w:rsidRPr="00773F82">
        <w:rPr>
          <w:rFonts w:ascii="Verdana" w:hAnsi="Verdana"/>
          <w:spacing w:val="-12"/>
          <w:sz w:val="16"/>
          <w:szCs w:val="16"/>
          <w:shd w:val="clear" w:color="auto" w:fill="FFFFFF"/>
          <w:lang w:val="es-ES"/>
        </w:rPr>
        <w:t>r lo menos uno de los nombres y uno de los apellidos; no contenga el número de cédula de identidad y de la fecha de nacimiento o si los datos antes indicados son ilegibles.</w:t>
      </w:r>
    </w:p>
    <w:p w14:paraId="799AC6A3" w14:textId="77777777" w:rsidR="00837BB9" w:rsidRPr="00290E0C" w:rsidRDefault="00837BB9" w:rsidP="008349B1">
      <w:pPr>
        <w:pStyle w:val="FootnoteText"/>
        <w:ind w:left="426"/>
        <w:jc w:val="both"/>
        <w:rPr>
          <w:rFonts w:ascii="Verdana" w:hAnsi="Verdana"/>
          <w:spacing w:val="-12"/>
          <w:sz w:val="16"/>
          <w:szCs w:val="16"/>
          <w:shd w:val="clear" w:color="auto" w:fill="FFFFFF"/>
          <w:lang w:val="es-ES"/>
        </w:rPr>
      </w:pPr>
      <w:r w:rsidRPr="00290E0C">
        <w:rPr>
          <w:rFonts w:ascii="Verdana" w:hAnsi="Verdana"/>
          <w:spacing w:val="-12"/>
          <w:sz w:val="16"/>
          <w:szCs w:val="16"/>
          <w:shd w:val="clear" w:color="auto" w:fill="FFFFFF"/>
          <w:lang w:val="es-ES"/>
        </w:rPr>
        <w:t>2. Cuando carezca de la firma o de la huella dactilar del elector.</w:t>
      </w:r>
    </w:p>
    <w:p w14:paraId="41C34743" w14:textId="77777777" w:rsidR="00837BB9" w:rsidRPr="0054215F" w:rsidRDefault="00837BB9" w:rsidP="008349B1">
      <w:pPr>
        <w:pStyle w:val="FootnoteText"/>
        <w:ind w:left="426"/>
        <w:jc w:val="both"/>
        <w:rPr>
          <w:rFonts w:ascii="Verdana" w:hAnsi="Verdana"/>
          <w:spacing w:val="-12"/>
          <w:sz w:val="16"/>
          <w:szCs w:val="16"/>
          <w:shd w:val="clear" w:color="auto" w:fill="FFFFFF"/>
          <w:lang w:val="es-ES"/>
        </w:rPr>
      </w:pPr>
      <w:r w:rsidRPr="00B252EB">
        <w:rPr>
          <w:rFonts w:ascii="Verdana" w:hAnsi="Verdana"/>
          <w:spacing w:val="-12"/>
          <w:sz w:val="16"/>
          <w:szCs w:val="16"/>
          <w:shd w:val="clear" w:color="auto" w:fill="FFFFFF"/>
          <w:lang w:val="es-ES"/>
        </w:rPr>
        <w:t>3. Cuando el renglón en el cual está estampada la firma y la huella dactilar presenta tachaduras o enmend</w:t>
      </w:r>
      <w:r w:rsidRPr="0054215F">
        <w:rPr>
          <w:rFonts w:ascii="Verdana" w:hAnsi="Verdana"/>
          <w:spacing w:val="-12"/>
          <w:sz w:val="16"/>
          <w:szCs w:val="16"/>
          <w:shd w:val="clear" w:color="auto" w:fill="FFFFFF"/>
          <w:lang w:val="es-ES"/>
        </w:rPr>
        <w:t>aduras o la huella haya sido estampada indebidamente, según criterios técnicos.</w:t>
      </w:r>
    </w:p>
    <w:p w14:paraId="7B91AC7A" w14:textId="77777777" w:rsidR="00837BB9" w:rsidRPr="00D758B5" w:rsidRDefault="00837BB9" w:rsidP="008349B1">
      <w:pPr>
        <w:pStyle w:val="FootnoteText"/>
        <w:ind w:left="426"/>
        <w:jc w:val="both"/>
        <w:rPr>
          <w:rFonts w:ascii="Verdana" w:hAnsi="Verdana"/>
          <w:spacing w:val="-12"/>
          <w:sz w:val="16"/>
          <w:szCs w:val="16"/>
          <w:shd w:val="clear" w:color="auto" w:fill="FFFFFF"/>
          <w:lang w:val="es-ES"/>
        </w:rPr>
      </w:pPr>
      <w:r w:rsidRPr="00D758B5">
        <w:rPr>
          <w:rFonts w:ascii="Verdana" w:hAnsi="Verdana"/>
          <w:spacing w:val="-12"/>
          <w:sz w:val="16"/>
          <w:szCs w:val="16"/>
          <w:shd w:val="clear" w:color="auto" w:fill="FFFFFF"/>
          <w:lang w:val="es-ES"/>
        </w:rPr>
        <w:t>4. Cuando los datos y las firmas aparezcan repetidas, caso en el cual quedarán todas invalidadas</w:t>
      </w:r>
    </w:p>
    <w:p w14:paraId="1E92CE0A" w14:textId="77777777" w:rsidR="00837BB9" w:rsidRPr="00CF3AED" w:rsidRDefault="00837BB9" w:rsidP="008349B1">
      <w:pPr>
        <w:pStyle w:val="FootnoteText"/>
        <w:ind w:left="426"/>
        <w:jc w:val="both"/>
        <w:rPr>
          <w:rFonts w:ascii="Verdana" w:hAnsi="Verdana"/>
          <w:spacing w:val="-12"/>
          <w:sz w:val="16"/>
          <w:szCs w:val="16"/>
          <w:shd w:val="clear" w:color="auto" w:fill="FFFFFF"/>
          <w:lang w:val="es-ES"/>
        </w:rPr>
      </w:pPr>
      <w:r w:rsidRPr="00CF3AED">
        <w:rPr>
          <w:rFonts w:ascii="Verdana" w:hAnsi="Verdana"/>
          <w:spacing w:val="-12"/>
          <w:sz w:val="16"/>
          <w:szCs w:val="16"/>
          <w:shd w:val="clear" w:color="auto" w:fill="FFFFFF"/>
          <w:lang w:val="es-ES"/>
        </w:rPr>
        <w:t>5. Cuando las huellas hayan sido superpuestas totalmente, y no en forma tangencial o unidas por los extremos de los bordes.</w:t>
      </w:r>
    </w:p>
    <w:p w14:paraId="04EE0C41" w14:textId="4B930415" w:rsidR="00837BB9" w:rsidRPr="00CF3AED" w:rsidRDefault="00837BB9" w:rsidP="008349B1">
      <w:pPr>
        <w:pStyle w:val="FootnoteText"/>
        <w:ind w:left="284"/>
        <w:jc w:val="both"/>
        <w:rPr>
          <w:rFonts w:ascii="Verdana" w:hAnsi="Verdana"/>
          <w:spacing w:val="-12"/>
          <w:sz w:val="16"/>
          <w:szCs w:val="16"/>
          <w:shd w:val="clear" w:color="auto" w:fill="FFFFFF"/>
          <w:lang w:val="es-ES"/>
        </w:rPr>
      </w:pPr>
      <w:r w:rsidRPr="00CF3AED">
        <w:rPr>
          <w:rFonts w:ascii="Verdana" w:hAnsi="Verdana"/>
          <w:spacing w:val="-12"/>
          <w:sz w:val="16"/>
          <w:szCs w:val="16"/>
          <w:shd w:val="clear" w:color="auto" w:fill="FFFFFF"/>
          <w:lang w:val="es-ES"/>
        </w:rPr>
        <w:t xml:space="preserve">PARÁGRAFO UNICO: Por decisión del Directorio, se podrá establecer un mecanismo de estudio </w:t>
      </w:r>
      <w:proofErr w:type="spellStart"/>
      <w:r w:rsidRPr="00CF3AED">
        <w:rPr>
          <w:rFonts w:ascii="Verdana" w:hAnsi="Verdana"/>
          <w:spacing w:val="-12"/>
          <w:sz w:val="16"/>
          <w:szCs w:val="16"/>
          <w:shd w:val="clear" w:color="auto" w:fill="FFFFFF"/>
          <w:lang w:val="es-ES"/>
        </w:rPr>
        <w:t>muestral</w:t>
      </w:r>
      <w:proofErr w:type="spellEnd"/>
      <w:r w:rsidRPr="00CF3AED">
        <w:rPr>
          <w:rFonts w:ascii="Verdana" w:hAnsi="Verdana"/>
          <w:spacing w:val="-12"/>
          <w:sz w:val="16"/>
          <w:szCs w:val="16"/>
          <w:shd w:val="clear" w:color="auto" w:fill="FFFFFF"/>
          <w:lang w:val="es-ES"/>
        </w:rPr>
        <w:t xml:space="preserve"> [sic] de las huellas dactilares, según parámetros técnicos aceptados.”</w:t>
      </w:r>
    </w:p>
  </w:footnote>
  <w:footnote w:id="76">
    <w:p w14:paraId="187A91C7" w14:textId="0F2F36E5" w:rsidR="00837BB9" w:rsidRPr="00CF3AED" w:rsidRDefault="00837BB9" w:rsidP="008349B1">
      <w:pPr>
        <w:pStyle w:val="FootnoteText"/>
        <w:spacing w:before="120" w:after="120"/>
        <w:jc w:val="both"/>
        <w:rPr>
          <w:rFonts w:ascii="Verdana" w:hAnsi="Verdana"/>
          <w:spacing w:val="-12"/>
          <w:sz w:val="16"/>
          <w:szCs w:val="16"/>
          <w:shd w:val="clear" w:color="auto" w:fill="FFFFFF"/>
          <w:lang w:val="es-ES"/>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 xml:space="preserve">En su Informe Anual de 2004, la </w:t>
      </w:r>
      <w:r>
        <w:rPr>
          <w:rFonts w:ascii="Verdana" w:hAnsi="Verdana"/>
          <w:spacing w:val="-12"/>
          <w:sz w:val="16"/>
          <w:szCs w:val="16"/>
          <w:lang w:val="es-VE"/>
        </w:rPr>
        <w:t>Comisión IDH</w:t>
      </w:r>
      <w:r w:rsidRPr="00C7142E">
        <w:rPr>
          <w:rFonts w:ascii="Verdana" w:hAnsi="Verdana"/>
          <w:spacing w:val="-12"/>
          <w:sz w:val="16"/>
          <w:szCs w:val="16"/>
          <w:lang w:val="es-VE"/>
        </w:rPr>
        <w:t xml:space="preserve"> indicó que fue informada sobre la “creciente tensión y polarización </w:t>
      </w:r>
      <w:r w:rsidRPr="00C7142E">
        <w:rPr>
          <w:rFonts w:ascii="Verdana" w:hAnsi="Verdana"/>
          <w:spacing w:val="-12"/>
          <w:sz w:val="16"/>
          <w:szCs w:val="16"/>
          <w:shd w:val="clear" w:color="auto" w:fill="FFFFFF"/>
          <w:lang w:val="es-ES"/>
        </w:rPr>
        <w:t>entre los sectores de oposición y el Gobierno.  Esto se ha puesto en evidencia en hechos acontecidos</w:t>
      </w:r>
      <w:r w:rsidRPr="006C24C0">
        <w:rPr>
          <w:rFonts w:ascii="Verdana" w:hAnsi="Verdana"/>
          <w:spacing w:val="-12"/>
          <w:sz w:val="16"/>
          <w:szCs w:val="16"/>
          <w:shd w:val="clear" w:color="auto" w:fill="FFFFFF"/>
          <w:lang w:val="es-ES"/>
        </w:rPr>
        <w:t xml:space="preserve"> durante el proceso de verificación y validación de firmas recogidas por el Co</w:t>
      </w:r>
      <w:r>
        <w:rPr>
          <w:rFonts w:ascii="Verdana" w:hAnsi="Verdana"/>
          <w:spacing w:val="-12"/>
          <w:sz w:val="16"/>
          <w:szCs w:val="16"/>
          <w:shd w:val="clear" w:color="auto" w:fill="FFFFFF"/>
          <w:lang w:val="es-ES"/>
        </w:rPr>
        <w:t>nsejo Nacional Electoral (</w:t>
      </w:r>
      <w:r w:rsidRPr="006C24C0">
        <w:rPr>
          <w:rFonts w:ascii="Verdana" w:hAnsi="Verdana"/>
          <w:spacing w:val="-12"/>
          <w:sz w:val="16"/>
          <w:szCs w:val="16"/>
          <w:shd w:val="clear" w:color="auto" w:fill="FFFFFF"/>
          <w:lang w:val="es-ES"/>
        </w:rPr>
        <w:t>CNE), así como en la denuncia por parte de altos funcionarios del Gobierno y del propio Presidente sobre un “</w:t>
      </w:r>
      <w:proofErr w:type="spellStart"/>
      <w:r w:rsidRPr="006C24C0">
        <w:rPr>
          <w:rFonts w:ascii="Verdana" w:hAnsi="Verdana"/>
          <w:spacing w:val="-12"/>
          <w:sz w:val="16"/>
          <w:szCs w:val="16"/>
          <w:shd w:val="clear" w:color="auto" w:fill="FFFFFF"/>
          <w:lang w:val="es-ES"/>
        </w:rPr>
        <w:t>megafraude</w:t>
      </w:r>
      <w:proofErr w:type="spellEnd"/>
      <w:r w:rsidRPr="006C24C0">
        <w:rPr>
          <w:rFonts w:ascii="Verdana" w:hAnsi="Verdana"/>
          <w:spacing w:val="-12"/>
          <w:sz w:val="16"/>
          <w:szCs w:val="16"/>
          <w:shd w:val="clear" w:color="auto" w:fill="FFFFFF"/>
          <w:lang w:val="es-ES"/>
        </w:rPr>
        <w:t>” y en la ola de protestas call</w:t>
      </w:r>
      <w:r w:rsidRPr="003100FE">
        <w:rPr>
          <w:rFonts w:ascii="Verdana" w:hAnsi="Verdana"/>
          <w:spacing w:val="-12"/>
          <w:sz w:val="16"/>
          <w:szCs w:val="16"/>
          <w:shd w:val="clear" w:color="auto" w:fill="FFFFFF"/>
          <w:lang w:val="es-ES"/>
        </w:rPr>
        <w:t xml:space="preserve">ejeras pacificas en algunas de las cuales se registraron hechos de violencia por el uso desproporcionado de la fuerza por parte de los aparatos de seguridad a </w:t>
      </w:r>
      <w:bookmarkStart w:id="21" w:name="_ftnref71"/>
      <w:r w:rsidRPr="003100FE">
        <w:rPr>
          <w:rFonts w:ascii="Verdana" w:hAnsi="Verdana"/>
          <w:spacing w:val="-12"/>
          <w:sz w:val="16"/>
          <w:szCs w:val="16"/>
          <w:shd w:val="clear" w:color="auto" w:fill="FFFFFF"/>
          <w:lang w:val="es-ES"/>
        </w:rPr>
        <w:t>cargo de la seguridad ciudadana</w:t>
      </w:r>
      <w:bookmarkEnd w:id="21"/>
      <w:r w:rsidRPr="0003211A">
        <w:rPr>
          <w:rFonts w:ascii="Verdana" w:hAnsi="Verdana"/>
          <w:spacing w:val="-12"/>
          <w:sz w:val="16"/>
          <w:szCs w:val="16"/>
          <w:shd w:val="clear" w:color="auto" w:fill="FFFFFF"/>
          <w:lang w:val="es-ES"/>
        </w:rPr>
        <w:t>”</w:t>
      </w:r>
      <w:r w:rsidRPr="00CE7020">
        <w:rPr>
          <w:rFonts w:ascii="Verdana" w:hAnsi="Verdana"/>
          <w:spacing w:val="-12"/>
          <w:sz w:val="16"/>
          <w:szCs w:val="16"/>
          <w:shd w:val="clear" w:color="auto" w:fill="FFFFFF"/>
          <w:lang w:val="es-ES"/>
        </w:rPr>
        <w:t>. Ver</w:t>
      </w:r>
      <w:r w:rsidRPr="00773F82">
        <w:rPr>
          <w:rFonts w:ascii="Verdana" w:hAnsi="Verdana"/>
          <w:spacing w:val="-12"/>
          <w:sz w:val="16"/>
          <w:szCs w:val="16"/>
          <w:shd w:val="clear" w:color="auto" w:fill="FFFFFF"/>
          <w:lang w:val="es-ES"/>
        </w:rPr>
        <w:t>,</w:t>
      </w:r>
      <w:r w:rsidRPr="00290E0C">
        <w:rPr>
          <w:rFonts w:ascii="Verdana" w:hAnsi="Verdana"/>
          <w:spacing w:val="-12"/>
          <w:sz w:val="16"/>
          <w:szCs w:val="16"/>
          <w:shd w:val="clear" w:color="auto" w:fill="FFFFFF"/>
          <w:lang w:val="es-ES"/>
        </w:rPr>
        <w:t xml:space="preserve"> </w:t>
      </w:r>
      <w:r w:rsidRPr="00B252EB">
        <w:rPr>
          <w:rFonts w:ascii="Verdana" w:hAnsi="Verdana"/>
          <w:spacing w:val="-12"/>
          <w:sz w:val="16"/>
          <w:szCs w:val="16"/>
          <w:shd w:val="clear" w:color="auto" w:fill="FFFFFF"/>
          <w:lang w:val="es-ES"/>
        </w:rPr>
        <w:t>CIDH. Informe de Seguimiento sobre el cumplimiento por el Estado de la República Bolivariana de Venezuela de las recomendaciones efectuadas por l</w:t>
      </w:r>
      <w:r w:rsidRPr="0054215F">
        <w:rPr>
          <w:rFonts w:ascii="Verdana" w:hAnsi="Verdana"/>
          <w:spacing w:val="-12"/>
          <w:sz w:val="16"/>
          <w:szCs w:val="16"/>
          <w:shd w:val="clear" w:color="auto" w:fill="FFFFFF"/>
          <w:lang w:val="es-ES"/>
        </w:rPr>
        <w:t xml:space="preserve">a CIDH en el Informe sobre la situación de los derechos humanos en Venezuela, 23 de febrero de 2005, disponible en: </w:t>
      </w:r>
      <w:hyperlink r:id="rId15" w:history="1">
        <w:r w:rsidRPr="001F0CE6">
          <w:rPr>
            <w:rStyle w:val="Hyperlink"/>
            <w:rFonts w:ascii="Verdana" w:hAnsi="Verdana"/>
            <w:spacing w:val="-12"/>
            <w:sz w:val="16"/>
            <w:szCs w:val="16"/>
            <w:shd w:val="clear" w:color="auto" w:fill="FFFFFF"/>
            <w:lang w:val="es-ES"/>
          </w:rPr>
          <w:t>http://www.cidh.oas.org/annualrep/2004sp/cap.5d.htm</w:t>
        </w:r>
      </w:hyperlink>
      <w:r>
        <w:rPr>
          <w:rFonts w:ascii="Verdana" w:hAnsi="Verdana"/>
          <w:spacing w:val="-12"/>
          <w:sz w:val="16"/>
          <w:szCs w:val="16"/>
          <w:u w:val="single"/>
          <w:shd w:val="clear" w:color="auto" w:fill="FFFFFF"/>
          <w:lang w:val="es-ES"/>
        </w:rPr>
        <w:t xml:space="preserve"> </w:t>
      </w:r>
      <w:r w:rsidRPr="00CF3AED">
        <w:rPr>
          <w:rFonts w:ascii="Verdana" w:hAnsi="Verdana"/>
          <w:spacing w:val="-12"/>
          <w:sz w:val="16"/>
          <w:szCs w:val="16"/>
          <w:shd w:val="clear" w:color="auto" w:fill="FFFFFF"/>
          <w:lang w:val="es-ES"/>
        </w:rPr>
        <w:t>.</w:t>
      </w:r>
    </w:p>
  </w:footnote>
  <w:footnote w:id="77">
    <w:p w14:paraId="3137305F" w14:textId="7798F070" w:rsidR="00837BB9" w:rsidRPr="00773F82" w:rsidRDefault="00837BB9" w:rsidP="008349B1">
      <w:pPr>
        <w:pStyle w:val="FootnoteText"/>
        <w:tabs>
          <w:tab w:val="left" w:pos="709"/>
          <w:tab w:val="left" w:pos="851"/>
        </w:tabs>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Documental “La Lista un pueblo bajo sospecha, disponible en: </w:t>
      </w:r>
      <w:hyperlink r:id="rId16" w:history="1">
        <w:r w:rsidRPr="001F0CE6">
          <w:rPr>
            <w:rStyle w:val="Hyperlink"/>
            <w:rFonts w:ascii="Verdana" w:hAnsi="Verdana"/>
            <w:spacing w:val="-12"/>
            <w:sz w:val="16"/>
            <w:szCs w:val="16"/>
            <w:lang w:val="es-VE"/>
          </w:rPr>
          <w:t>https://www.youtube.com/watch?v=2LuOQjhg8BU</w:t>
        </w:r>
      </w:hyperlink>
      <w:r>
        <w:rPr>
          <w:rFonts w:ascii="Verdana" w:hAnsi="Verdana"/>
          <w:spacing w:val="-12"/>
          <w:sz w:val="16"/>
          <w:szCs w:val="16"/>
          <w:u w:val="single"/>
          <w:lang w:val="es-VE"/>
        </w:rPr>
        <w:t xml:space="preserve"> </w:t>
      </w:r>
    </w:p>
  </w:footnote>
  <w:footnote w:id="78">
    <w:p w14:paraId="01264843" w14:textId="6CB297A1" w:rsidR="00837BB9" w:rsidRPr="00D758B5"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Notas de prensa (</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prueba</w:t>
      </w:r>
      <w:r>
        <w:rPr>
          <w:rFonts w:ascii="Verdana" w:hAnsi="Verdana"/>
          <w:spacing w:val="-12"/>
          <w:sz w:val="16"/>
          <w:szCs w:val="16"/>
          <w:lang w:val="es-VE"/>
        </w:rPr>
        <w:t xml:space="preserve"> </w:t>
      </w:r>
      <w:r w:rsidRPr="00CE7020">
        <w:rPr>
          <w:rFonts w:ascii="Verdana" w:hAnsi="Verdana"/>
          <w:spacing w:val="-12"/>
          <w:sz w:val="16"/>
          <w:szCs w:val="16"/>
          <w:lang w:val="es-VE"/>
        </w:rPr>
        <w:t>f</w:t>
      </w:r>
      <w:r w:rsidRPr="00773F82">
        <w:rPr>
          <w:rFonts w:ascii="Verdana" w:hAnsi="Verdana"/>
          <w:spacing w:val="-12"/>
          <w:sz w:val="16"/>
          <w:szCs w:val="16"/>
          <w:lang w:val="es-VE"/>
        </w:rPr>
        <w:t>olios</w:t>
      </w:r>
      <w:r w:rsidRPr="00B252EB">
        <w:rPr>
          <w:rFonts w:ascii="Verdana" w:hAnsi="Verdana"/>
          <w:spacing w:val="-12"/>
          <w:sz w:val="16"/>
          <w:szCs w:val="16"/>
          <w:lang w:val="es-VE"/>
        </w:rPr>
        <w:t xml:space="preserve"> 21 y 24)</w:t>
      </w:r>
      <w:r w:rsidRPr="0054215F">
        <w:rPr>
          <w:rFonts w:ascii="Verdana" w:hAnsi="Verdana"/>
          <w:spacing w:val="-12"/>
          <w:sz w:val="16"/>
          <w:szCs w:val="16"/>
          <w:lang w:val="es-VE"/>
        </w:rPr>
        <w:t>.</w:t>
      </w:r>
    </w:p>
  </w:footnote>
  <w:footnote w:id="79">
    <w:p w14:paraId="2BD49E0D" w14:textId="68243A8E" w:rsidR="00837BB9" w:rsidRPr="0069409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CR"/>
        </w:rPr>
        <w:t xml:space="preserve"> </w:t>
      </w:r>
      <w:r w:rsidRPr="00C7142E">
        <w:rPr>
          <w:rFonts w:ascii="Verdana" w:hAnsi="Verdana"/>
          <w:spacing w:val="-12"/>
          <w:sz w:val="16"/>
          <w:szCs w:val="16"/>
          <w:lang w:val="es-CR"/>
        </w:rPr>
        <w:tab/>
      </w:r>
      <w:r w:rsidRPr="00C7142E">
        <w:rPr>
          <w:rFonts w:ascii="Verdana" w:hAnsi="Verdana"/>
          <w:i/>
          <w:spacing w:val="-12"/>
          <w:sz w:val="16"/>
          <w:szCs w:val="16"/>
          <w:lang w:val="es-CR"/>
        </w:rPr>
        <w:t>Cfr</w:t>
      </w:r>
      <w:r w:rsidRPr="0069409D">
        <w:rPr>
          <w:rFonts w:ascii="Verdana" w:hAnsi="Verdana"/>
          <w:spacing w:val="-12"/>
          <w:sz w:val="16"/>
          <w:szCs w:val="16"/>
          <w:lang w:val="es-CR"/>
        </w:rPr>
        <w:t xml:space="preserve">. </w:t>
      </w:r>
      <w:r w:rsidRPr="0069409D">
        <w:rPr>
          <w:rFonts w:ascii="Verdana" w:hAnsi="Verdana"/>
          <w:spacing w:val="-12"/>
          <w:sz w:val="16"/>
          <w:szCs w:val="16"/>
          <w:lang w:val="es-VE"/>
        </w:rPr>
        <w:t>Ciudadanía  Activa, Documental “La Lista, un pueblo bajo sospecha”</w:t>
      </w:r>
      <w:r w:rsidRPr="006C24C0">
        <w:rPr>
          <w:rFonts w:ascii="Verdana" w:hAnsi="Verdana"/>
          <w:spacing w:val="-12"/>
          <w:sz w:val="16"/>
          <w:szCs w:val="16"/>
          <w:lang w:val="es-VE"/>
        </w:rPr>
        <w:t xml:space="preserve">, Parte </w:t>
      </w:r>
      <w:r w:rsidRPr="003100FE">
        <w:rPr>
          <w:rFonts w:ascii="Verdana" w:hAnsi="Verdana"/>
          <w:spacing w:val="-12"/>
          <w:sz w:val="16"/>
          <w:szCs w:val="16"/>
          <w:lang w:val="es-VE"/>
        </w:rPr>
        <w:t>2,</w:t>
      </w:r>
      <w:r w:rsidRPr="0003211A">
        <w:rPr>
          <w:rFonts w:ascii="Verdana" w:hAnsi="Verdana"/>
          <w:spacing w:val="-12"/>
          <w:sz w:val="16"/>
          <w:szCs w:val="16"/>
          <w:lang w:val="es-VE"/>
        </w:rPr>
        <w:t xml:space="preserve"> disponible en: </w:t>
      </w:r>
      <w:hyperlink r:id="rId17" w:history="1">
        <w:r w:rsidRPr="00CF3AED">
          <w:rPr>
            <w:rStyle w:val="Hyperlink"/>
            <w:rFonts w:ascii="Verdana" w:hAnsi="Verdana"/>
            <w:spacing w:val="-12"/>
            <w:sz w:val="16"/>
            <w:szCs w:val="16"/>
            <w:lang w:val="es-VE"/>
          </w:rPr>
          <w:t>https://ciudadaniaactivavzla.wordpress.com/2015/03/26/documental</w:t>
        </w:r>
        <w:r w:rsidRPr="00CF3AED">
          <w:rPr>
            <w:rStyle w:val="Hyperlink"/>
            <w:rFonts w:ascii="Verdana" w:hAnsi="Verdana"/>
            <w:spacing w:val="-12"/>
            <w:sz w:val="16"/>
            <w:szCs w:val="16"/>
            <w:lang w:val="es-VE"/>
          </w:rPr>
          <w:noBreakHyphen/>
          <w:t>la</w:t>
        </w:r>
        <w:r w:rsidRPr="00CF3AED">
          <w:rPr>
            <w:rStyle w:val="Hyperlink"/>
            <w:rFonts w:ascii="Verdana" w:hAnsi="Verdana"/>
            <w:spacing w:val="-12"/>
            <w:sz w:val="16"/>
            <w:szCs w:val="16"/>
            <w:lang w:val="es-VE"/>
          </w:rPr>
          <w:noBreakHyphen/>
          <w:t>lista</w:t>
        </w:r>
        <w:r w:rsidRPr="00CF3AED">
          <w:rPr>
            <w:rStyle w:val="Hyperlink"/>
            <w:rFonts w:ascii="Verdana" w:hAnsi="Verdana"/>
            <w:spacing w:val="-12"/>
            <w:sz w:val="16"/>
            <w:szCs w:val="16"/>
            <w:lang w:val="es-VE"/>
          </w:rPr>
          <w:noBreakHyphen/>
          <w:t>tascon/</w:t>
        </w:r>
      </w:hyperlink>
      <w:r w:rsidRPr="00C7142E">
        <w:rPr>
          <w:rStyle w:val="Hyperlink"/>
          <w:rFonts w:ascii="Verdana" w:hAnsi="Verdana"/>
          <w:spacing w:val="-12"/>
          <w:sz w:val="16"/>
          <w:szCs w:val="16"/>
          <w:lang w:val="es-VE"/>
        </w:rPr>
        <w:t>.</w:t>
      </w:r>
      <w:r w:rsidRPr="00C7142E">
        <w:rPr>
          <w:rFonts w:ascii="Verdana" w:hAnsi="Verdana"/>
          <w:spacing w:val="-12"/>
          <w:sz w:val="16"/>
          <w:szCs w:val="16"/>
          <w:u w:val="single"/>
          <w:lang w:val="es-VE"/>
        </w:rPr>
        <w:t xml:space="preserve"> </w:t>
      </w:r>
    </w:p>
  </w:footnote>
  <w:footnote w:id="80">
    <w:p w14:paraId="293F15D8" w14:textId="7C100D51"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VE"/>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Notas de prensa (</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prueba</w:t>
      </w:r>
      <w:r>
        <w:rPr>
          <w:rFonts w:ascii="Verdana" w:hAnsi="Verdana"/>
          <w:spacing w:val="-12"/>
          <w:sz w:val="16"/>
          <w:szCs w:val="16"/>
          <w:lang w:val="es-VE"/>
        </w:rPr>
        <w:t xml:space="preserve"> </w:t>
      </w:r>
      <w:r w:rsidRPr="00CE7020">
        <w:rPr>
          <w:rFonts w:ascii="Verdana" w:hAnsi="Verdana"/>
          <w:spacing w:val="-12"/>
          <w:sz w:val="16"/>
          <w:szCs w:val="16"/>
          <w:lang w:val="es-VE"/>
        </w:rPr>
        <w:t>f</w:t>
      </w:r>
      <w:r w:rsidRPr="00773F82">
        <w:rPr>
          <w:rFonts w:ascii="Verdana" w:hAnsi="Verdana"/>
          <w:spacing w:val="-12"/>
          <w:sz w:val="16"/>
          <w:szCs w:val="16"/>
          <w:lang w:val="es-VE"/>
        </w:rPr>
        <w:t>olios</w:t>
      </w:r>
      <w:r>
        <w:rPr>
          <w:rFonts w:ascii="Verdana" w:hAnsi="Verdana"/>
          <w:spacing w:val="-12"/>
          <w:sz w:val="16"/>
          <w:szCs w:val="16"/>
          <w:lang w:val="es-VE"/>
        </w:rPr>
        <w:t xml:space="preserve"> 14</w:t>
      </w:r>
      <w:r w:rsidRPr="00B252EB">
        <w:rPr>
          <w:rFonts w:ascii="Verdana" w:hAnsi="Verdana"/>
          <w:spacing w:val="-12"/>
          <w:sz w:val="16"/>
          <w:szCs w:val="16"/>
          <w:lang w:val="es-VE"/>
        </w:rPr>
        <w:t xml:space="preserve"> y </w:t>
      </w:r>
      <w:proofErr w:type="spellStart"/>
      <w:r>
        <w:rPr>
          <w:rFonts w:ascii="Verdana" w:hAnsi="Verdana"/>
          <w:spacing w:val="-12"/>
          <w:sz w:val="16"/>
          <w:szCs w:val="16"/>
          <w:lang w:val="es-VE"/>
        </w:rPr>
        <w:t>ss</w:t>
      </w:r>
      <w:proofErr w:type="spellEnd"/>
      <w:r w:rsidRPr="00B252EB">
        <w:rPr>
          <w:rFonts w:ascii="Verdana" w:hAnsi="Verdana"/>
          <w:spacing w:val="-12"/>
          <w:sz w:val="16"/>
          <w:szCs w:val="16"/>
          <w:lang w:val="es-VE"/>
        </w:rPr>
        <w:t>)</w:t>
      </w:r>
      <w:r>
        <w:rPr>
          <w:rFonts w:ascii="Verdana" w:hAnsi="Verdana"/>
          <w:spacing w:val="-12"/>
          <w:sz w:val="16"/>
          <w:szCs w:val="16"/>
          <w:lang w:val="es-VE"/>
        </w:rPr>
        <w:t>.</w:t>
      </w:r>
    </w:p>
  </w:footnote>
  <w:footnote w:id="81">
    <w:p w14:paraId="16C01AF6" w14:textId="2D6A7003"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Ciudadanía  Activa, Documental “La Lista, un pueblo bajo sospecha”, Parte 2,</w:t>
      </w:r>
      <w:r w:rsidRPr="0069409D">
        <w:rPr>
          <w:rFonts w:ascii="Verdana" w:hAnsi="Verdana"/>
          <w:spacing w:val="-12"/>
          <w:sz w:val="16"/>
          <w:szCs w:val="16"/>
          <w:lang w:val="es-VE"/>
        </w:rPr>
        <w:t xml:space="preserve"> </w:t>
      </w:r>
      <w:r w:rsidRPr="00CF3AED">
        <w:rPr>
          <w:rFonts w:ascii="Verdana" w:hAnsi="Verdana"/>
          <w:i/>
          <w:spacing w:val="-12"/>
          <w:sz w:val="16"/>
          <w:szCs w:val="16"/>
          <w:lang w:val="es-VE"/>
        </w:rPr>
        <w:t>supra</w:t>
      </w:r>
      <w:r w:rsidRPr="00CF3AED">
        <w:rPr>
          <w:rFonts w:ascii="Verdana" w:hAnsi="Verdana"/>
          <w:spacing w:val="-12"/>
          <w:sz w:val="16"/>
          <w:szCs w:val="16"/>
          <w:u w:val="single"/>
          <w:lang w:val="es-VE"/>
        </w:rPr>
        <w:t>.</w:t>
      </w:r>
    </w:p>
  </w:footnote>
  <w:footnote w:id="82">
    <w:p w14:paraId="62D718B8" w14:textId="6757F788" w:rsidR="00837BB9" w:rsidRPr="00C7142E" w:rsidRDefault="00837BB9" w:rsidP="008349B1">
      <w:pPr>
        <w:pStyle w:val="FootnoteText"/>
        <w:spacing w:before="120" w:after="120"/>
        <w:jc w:val="both"/>
        <w:rPr>
          <w:rFonts w:ascii="Verdana" w:hAnsi="Verdana"/>
          <w:spacing w:val="-12"/>
          <w:sz w:val="16"/>
          <w:szCs w:val="16"/>
          <w:lang w:val="es-VE"/>
        </w:rPr>
      </w:pPr>
      <w:r w:rsidRPr="006203B0">
        <w:rPr>
          <w:rStyle w:val="FootnoteReference"/>
          <w:rFonts w:ascii="Verdana" w:hAnsi="Verdana"/>
          <w:spacing w:val="-12"/>
          <w:sz w:val="16"/>
          <w:szCs w:val="16"/>
        </w:rPr>
        <w:footnoteRef/>
      </w:r>
      <w:r w:rsidRPr="00FC1D38">
        <w:rPr>
          <w:rFonts w:ascii="Verdana" w:hAnsi="Verdana"/>
          <w:spacing w:val="-12"/>
          <w:sz w:val="16"/>
          <w:szCs w:val="16"/>
          <w:lang w:val="es-VE"/>
        </w:rPr>
        <w:t xml:space="preserve"> </w:t>
      </w:r>
      <w:r w:rsidRPr="00FC1D38">
        <w:rPr>
          <w:rFonts w:ascii="Verdana" w:hAnsi="Verdana"/>
          <w:spacing w:val="-12"/>
          <w:sz w:val="16"/>
          <w:szCs w:val="16"/>
          <w:lang w:val="es-VE"/>
        </w:rPr>
        <w:tab/>
      </w:r>
      <w:r w:rsidRPr="000536CF">
        <w:rPr>
          <w:rFonts w:ascii="Verdana" w:hAnsi="Verdana"/>
          <w:i/>
          <w:spacing w:val="-12"/>
          <w:sz w:val="16"/>
          <w:szCs w:val="16"/>
          <w:lang w:val="es-VE"/>
        </w:rPr>
        <w:t>Cfr.</w:t>
      </w:r>
      <w:r w:rsidRPr="000536CF">
        <w:rPr>
          <w:rFonts w:ascii="Verdana" w:hAnsi="Verdana"/>
          <w:spacing w:val="-12"/>
          <w:sz w:val="16"/>
          <w:szCs w:val="16"/>
          <w:lang w:val="es-VE"/>
        </w:rPr>
        <w:t xml:space="preserve"> </w:t>
      </w:r>
      <w:proofErr w:type="spellStart"/>
      <w:r w:rsidRPr="000536CF">
        <w:rPr>
          <w:rFonts w:ascii="Verdana" w:hAnsi="Verdana"/>
          <w:i/>
          <w:spacing w:val="-12"/>
          <w:sz w:val="16"/>
          <w:szCs w:val="16"/>
          <w:lang w:val="es-VE"/>
        </w:rPr>
        <w:t>The</w:t>
      </w:r>
      <w:proofErr w:type="spellEnd"/>
      <w:r w:rsidRPr="000536CF">
        <w:rPr>
          <w:rFonts w:ascii="Verdana" w:hAnsi="Verdana"/>
          <w:i/>
          <w:spacing w:val="-12"/>
          <w:sz w:val="16"/>
          <w:szCs w:val="16"/>
          <w:lang w:val="es-VE"/>
        </w:rPr>
        <w:t xml:space="preserve"> Carter Center</w:t>
      </w:r>
      <w:r w:rsidRPr="001C16AC">
        <w:rPr>
          <w:rFonts w:ascii="Verdana" w:hAnsi="Verdana"/>
          <w:spacing w:val="-12"/>
          <w:sz w:val="16"/>
          <w:szCs w:val="16"/>
          <w:lang w:val="es-VE"/>
        </w:rPr>
        <w:t>, Observación del Referendo Revocatorio P</w:t>
      </w:r>
      <w:r w:rsidRPr="006001C8">
        <w:rPr>
          <w:rFonts w:ascii="Verdana" w:hAnsi="Verdana"/>
          <w:spacing w:val="-12"/>
          <w:sz w:val="16"/>
          <w:szCs w:val="16"/>
          <w:lang w:val="es-VE"/>
        </w:rPr>
        <w:t xml:space="preserve">residencial en Venezuela, febrero de 2005, página </w:t>
      </w:r>
      <w:r w:rsidRPr="00D55480">
        <w:rPr>
          <w:rFonts w:ascii="Verdana" w:hAnsi="Verdana"/>
          <w:spacing w:val="-12"/>
          <w:sz w:val="16"/>
          <w:szCs w:val="16"/>
          <w:lang w:val="es-VE"/>
        </w:rPr>
        <w:t>29</w:t>
      </w:r>
      <w:r w:rsidRPr="009E7E48">
        <w:rPr>
          <w:rFonts w:ascii="Verdana" w:hAnsi="Verdana"/>
          <w:spacing w:val="-12"/>
          <w:sz w:val="16"/>
          <w:szCs w:val="16"/>
          <w:lang w:val="es-VE"/>
        </w:rPr>
        <w:t xml:space="preserve">, disponible en: </w:t>
      </w:r>
      <w:hyperlink r:id="rId18" w:history="1">
        <w:r w:rsidRPr="00CF3AED">
          <w:rPr>
            <w:rStyle w:val="Hyperlink"/>
            <w:rFonts w:ascii="Verdana" w:hAnsi="Verdana"/>
            <w:spacing w:val="-12"/>
            <w:sz w:val="16"/>
            <w:szCs w:val="16"/>
            <w:lang w:val="es-VE"/>
          </w:rPr>
          <w:t>https://www.cartercenter.org/documents/2021.pdf</w:t>
        </w:r>
      </w:hyperlink>
      <w:r w:rsidRPr="00C7142E">
        <w:rPr>
          <w:rFonts w:ascii="Verdana" w:hAnsi="Verdana"/>
          <w:spacing w:val="-12"/>
          <w:sz w:val="16"/>
          <w:szCs w:val="16"/>
          <w:lang w:val="es-VE"/>
        </w:rPr>
        <w:t>.</w:t>
      </w:r>
    </w:p>
    <w:p w14:paraId="7EB364B4" w14:textId="20448BF9" w:rsidR="00837BB9" w:rsidRPr="00CF3AED" w:rsidRDefault="00837BB9" w:rsidP="008349B1">
      <w:pPr>
        <w:autoSpaceDE w:val="0"/>
        <w:autoSpaceDN w:val="0"/>
        <w:adjustRightInd w:val="0"/>
        <w:spacing w:before="120" w:after="120" w:line="240" w:lineRule="auto"/>
        <w:jc w:val="both"/>
        <w:rPr>
          <w:rFonts w:ascii="Verdana" w:hAnsi="Verdana"/>
          <w:spacing w:val="-12"/>
          <w:sz w:val="16"/>
          <w:szCs w:val="16"/>
          <w:lang w:val="es-VE"/>
        </w:rPr>
      </w:pPr>
      <w:r w:rsidRPr="00C7142E">
        <w:rPr>
          <w:rFonts w:ascii="Verdana" w:hAnsi="Verdana"/>
          <w:spacing w:val="-12"/>
          <w:sz w:val="16"/>
          <w:szCs w:val="16"/>
          <w:lang w:val="es-VE"/>
        </w:rPr>
        <w:t>Según el perito Luis Salamanca: “las firmas comenzaron a revisarse en en</w:t>
      </w:r>
      <w:r w:rsidRPr="0069409D">
        <w:rPr>
          <w:rFonts w:ascii="Verdana" w:hAnsi="Verdana"/>
          <w:spacing w:val="-12"/>
          <w:sz w:val="16"/>
          <w:szCs w:val="16"/>
          <w:lang w:val="es-VE"/>
        </w:rPr>
        <w:t>ero de 2004 […] los datos de los firmante</w:t>
      </w:r>
      <w:r>
        <w:rPr>
          <w:rFonts w:ascii="Verdana" w:hAnsi="Verdana"/>
          <w:spacing w:val="-12"/>
          <w:sz w:val="16"/>
          <w:szCs w:val="16"/>
          <w:lang w:val="es-VE"/>
        </w:rPr>
        <w:t>s</w:t>
      </w:r>
      <w:r w:rsidRPr="0069409D">
        <w:rPr>
          <w:rFonts w:ascii="Verdana" w:hAnsi="Verdana"/>
          <w:spacing w:val="-12"/>
          <w:sz w:val="16"/>
          <w:szCs w:val="16"/>
          <w:lang w:val="es-VE"/>
        </w:rPr>
        <w:t xml:space="preserve"> fueron recogidos por funcionarios del CNE, en muchos casos por uno solo, cuya caligrafía aparecía repetidas veces en las planillas ya que las normas no excluían tal proceder y sólo exigía del solicitante su firma m</w:t>
      </w:r>
      <w:r w:rsidRPr="006C24C0">
        <w:rPr>
          <w:rFonts w:ascii="Verdana" w:hAnsi="Verdana"/>
          <w:spacing w:val="-12"/>
          <w:sz w:val="16"/>
          <w:szCs w:val="16"/>
          <w:lang w:val="es-VE"/>
        </w:rPr>
        <w:t>anuscrita. Más de 800 mil firmantes estaban en esta situación. A las firmas recogidas de esta manera Chávez las llamó “firmas planas”, concepto inexistente en el reglamento, que generó un nuevo retraso en la convocatoria del referendo. De todo esto se desp</w:t>
      </w:r>
      <w:r w:rsidRPr="003100FE">
        <w:rPr>
          <w:rFonts w:ascii="Verdana" w:hAnsi="Verdana"/>
          <w:spacing w:val="-12"/>
          <w:sz w:val="16"/>
          <w:szCs w:val="16"/>
          <w:lang w:val="es-VE"/>
        </w:rPr>
        <w:t>rende que no hubo dilación del CNE del ejercicio del derecho a revocar el mandato presidencial hasta septiembre de 2003, cuando la nueva directiva del CNE rechazó las firmas recogidas autónomamente por la oposición. A partir de este momento, la solicitud d</w:t>
      </w:r>
      <w:r w:rsidRPr="0003211A">
        <w:rPr>
          <w:rFonts w:ascii="Verdana" w:hAnsi="Verdana"/>
          <w:spacing w:val="-12"/>
          <w:sz w:val="16"/>
          <w:szCs w:val="16"/>
          <w:lang w:val="es-VE"/>
        </w:rPr>
        <w:t>el referendo revocatorio fue sometida a exigencias reglamentarias y extra-reglamentarias del CNE, y políticas, retrasándose su convocatoria desde agosto de 2003, fecha en la que debió celebrarse, hasta el 15 de agosto de 2004, fecha en la que finalmente se</w:t>
      </w:r>
      <w:r w:rsidRPr="00CE7020">
        <w:rPr>
          <w:rFonts w:ascii="Verdana" w:hAnsi="Verdana"/>
          <w:spacing w:val="-12"/>
          <w:sz w:val="16"/>
          <w:szCs w:val="16"/>
          <w:lang w:val="es-VE"/>
        </w:rPr>
        <w:t xml:space="preserve"> celebró</w:t>
      </w:r>
      <w:r>
        <w:rPr>
          <w:rFonts w:ascii="Verdana" w:hAnsi="Verdana"/>
          <w:spacing w:val="-12"/>
          <w:sz w:val="16"/>
          <w:szCs w:val="16"/>
          <w:lang w:val="es-VE"/>
        </w:rPr>
        <w:t>”</w:t>
      </w:r>
      <w:r w:rsidRPr="00773F82">
        <w:rPr>
          <w:rFonts w:ascii="Verdana" w:hAnsi="Verdana"/>
          <w:spacing w:val="-12"/>
          <w:sz w:val="16"/>
          <w:szCs w:val="16"/>
          <w:lang w:val="es-VE"/>
        </w:rPr>
        <w:t xml:space="preserve"> (</w:t>
      </w:r>
      <w:proofErr w:type="spellStart"/>
      <w:r w:rsidRPr="00773F82">
        <w:rPr>
          <w:rFonts w:ascii="Verdana" w:hAnsi="Verdana"/>
          <w:spacing w:val="-12"/>
          <w:sz w:val="16"/>
          <w:szCs w:val="16"/>
          <w:lang w:val="es-VE"/>
        </w:rPr>
        <w:t>exp</w:t>
      </w:r>
      <w:proofErr w:type="spellEnd"/>
      <w:r w:rsidRPr="00773F82">
        <w:rPr>
          <w:rFonts w:ascii="Verdana" w:hAnsi="Verdana"/>
          <w:spacing w:val="-12"/>
          <w:sz w:val="16"/>
          <w:szCs w:val="16"/>
          <w:lang w:val="es-VE"/>
        </w:rPr>
        <w:t>.</w:t>
      </w:r>
      <w:r>
        <w:rPr>
          <w:rFonts w:ascii="Verdana" w:hAnsi="Verdana"/>
          <w:spacing w:val="-12"/>
          <w:sz w:val="16"/>
          <w:szCs w:val="16"/>
          <w:lang w:val="es-VE"/>
        </w:rPr>
        <w:t xml:space="preserve"> </w:t>
      </w:r>
      <w:r w:rsidRPr="00773F82">
        <w:rPr>
          <w:rFonts w:ascii="Verdana" w:hAnsi="Verdana"/>
          <w:spacing w:val="-12"/>
          <w:sz w:val="16"/>
          <w:szCs w:val="16"/>
          <w:lang w:val="es-VE"/>
        </w:rPr>
        <w:t>p</w:t>
      </w:r>
      <w:r>
        <w:rPr>
          <w:rFonts w:ascii="Verdana" w:hAnsi="Verdana"/>
          <w:spacing w:val="-12"/>
          <w:sz w:val="16"/>
          <w:szCs w:val="16"/>
          <w:lang w:val="es-VE"/>
        </w:rPr>
        <w:t>rueba</w:t>
      </w:r>
      <w:r w:rsidRPr="00773F82">
        <w:rPr>
          <w:rFonts w:ascii="Verdana" w:hAnsi="Verdana"/>
          <w:spacing w:val="-12"/>
          <w:sz w:val="16"/>
          <w:szCs w:val="16"/>
          <w:lang w:val="es-VE"/>
        </w:rPr>
        <w:t xml:space="preserve"> </w:t>
      </w:r>
      <w:r w:rsidRPr="00290E0C">
        <w:rPr>
          <w:rFonts w:ascii="Verdana" w:hAnsi="Verdana"/>
          <w:spacing w:val="-12"/>
          <w:sz w:val="16"/>
          <w:szCs w:val="16"/>
          <w:lang w:val="es-VE"/>
        </w:rPr>
        <w:t>f</w:t>
      </w:r>
      <w:r w:rsidRPr="00B252EB">
        <w:rPr>
          <w:rFonts w:ascii="Verdana" w:hAnsi="Verdana"/>
          <w:spacing w:val="-12"/>
          <w:sz w:val="16"/>
          <w:szCs w:val="16"/>
          <w:lang w:val="es-VE"/>
        </w:rPr>
        <w:t>olios</w:t>
      </w:r>
      <w:r w:rsidRPr="00D758B5">
        <w:rPr>
          <w:rFonts w:ascii="Verdana" w:hAnsi="Verdana"/>
          <w:spacing w:val="-12"/>
          <w:sz w:val="16"/>
          <w:szCs w:val="16"/>
          <w:lang w:val="es-VE"/>
        </w:rPr>
        <w:t xml:space="preserve"> 3192 a 3193).</w:t>
      </w:r>
    </w:p>
  </w:footnote>
  <w:footnote w:id="83">
    <w:p w14:paraId="70DC4460" w14:textId="2D1B0750"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 xml:space="preserve">Cfr. </w:t>
      </w:r>
      <w:r w:rsidRPr="0069409D">
        <w:rPr>
          <w:rFonts w:ascii="Verdana" w:hAnsi="Verdana"/>
          <w:spacing w:val="-12"/>
          <w:sz w:val="16"/>
          <w:szCs w:val="16"/>
          <w:lang w:val="es-VE"/>
        </w:rPr>
        <w:t xml:space="preserve">El Universal, 42 organismos públicos incurrieron en discriminación, 11 de noviembre de 2006, disponible en: </w:t>
      </w:r>
      <w:hyperlink r:id="rId19" w:history="1">
        <w:r w:rsidRPr="00CF3AED">
          <w:rPr>
            <w:rStyle w:val="Hyperlink"/>
            <w:rFonts w:ascii="Verdana" w:hAnsi="Verdana"/>
            <w:spacing w:val="-12"/>
            <w:sz w:val="16"/>
            <w:szCs w:val="16"/>
            <w:lang w:val="es-VE"/>
          </w:rPr>
          <w:t>http://www.eluniversal.com/2006/11/11/imp_pol_art_65474.shtml</w:t>
        </w:r>
      </w:hyperlink>
      <w:r w:rsidRPr="00C7142E">
        <w:rPr>
          <w:rFonts w:ascii="Verdana" w:hAnsi="Verdana"/>
          <w:spacing w:val="-12"/>
          <w:sz w:val="16"/>
          <w:szCs w:val="16"/>
          <w:u w:val="single"/>
          <w:lang w:val="es-VE"/>
        </w:rPr>
        <w:t xml:space="preserve"> </w:t>
      </w:r>
      <w:r w:rsidRPr="00C7142E">
        <w:rPr>
          <w:rFonts w:ascii="Verdana" w:hAnsi="Verdana"/>
          <w:spacing w:val="-12"/>
          <w:sz w:val="16"/>
          <w:szCs w:val="16"/>
          <w:lang w:val="es-VE"/>
        </w:rPr>
        <w:t xml:space="preserve">. </w:t>
      </w:r>
    </w:p>
  </w:footnote>
  <w:footnote w:id="84">
    <w:p w14:paraId="4D38088A" w14:textId="121D8FE2"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Pr>
          <w:rFonts w:ascii="Verdana" w:hAnsi="Verdana"/>
          <w:spacing w:val="-12"/>
          <w:sz w:val="16"/>
          <w:szCs w:val="16"/>
          <w:lang w:val="es-VE"/>
        </w:rPr>
        <w:t xml:space="preserve"> Ciudadanía</w:t>
      </w:r>
      <w:r w:rsidRPr="0069409D">
        <w:rPr>
          <w:rFonts w:ascii="Verdana" w:hAnsi="Verdana"/>
          <w:spacing w:val="-12"/>
          <w:sz w:val="16"/>
          <w:szCs w:val="16"/>
          <w:lang w:val="es-VE"/>
        </w:rPr>
        <w:t xml:space="preserve"> Activa, Documental “La Lista, un pueblo bajo sospecha”, Parte 2,</w:t>
      </w:r>
      <w:r w:rsidRPr="006C24C0">
        <w:rPr>
          <w:rFonts w:ascii="Verdana" w:hAnsi="Verdana"/>
          <w:spacing w:val="-12"/>
          <w:sz w:val="16"/>
          <w:szCs w:val="16"/>
          <w:lang w:val="es-VE"/>
        </w:rPr>
        <w:t xml:space="preserve"> </w:t>
      </w:r>
      <w:r w:rsidRPr="003100FE">
        <w:rPr>
          <w:rFonts w:ascii="Verdana" w:hAnsi="Verdana"/>
          <w:i/>
          <w:spacing w:val="-12"/>
          <w:sz w:val="16"/>
          <w:szCs w:val="16"/>
          <w:lang w:val="es-VE"/>
        </w:rPr>
        <w:t>supra.</w:t>
      </w:r>
    </w:p>
  </w:footnote>
  <w:footnote w:id="85">
    <w:p w14:paraId="79AC8519" w14:textId="20F1A3BA"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Ciudadanía  Activa, Documental “La Lista, un pueblo bajo sospecha”,</w:t>
      </w:r>
      <w:r w:rsidRPr="006C24C0">
        <w:rPr>
          <w:rFonts w:ascii="Verdana" w:hAnsi="Verdana"/>
          <w:spacing w:val="-12"/>
          <w:sz w:val="16"/>
          <w:szCs w:val="16"/>
          <w:lang w:val="es-VE"/>
        </w:rPr>
        <w:t xml:space="preserve"> </w:t>
      </w:r>
      <w:r w:rsidRPr="0003211A">
        <w:rPr>
          <w:rFonts w:ascii="Verdana" w:hAnsi="Verdana"/>
          <w:i/>
          <w:spacing w:val="-12"/>
          <w:sz w:val="16"/>
          <w:szCs w:val="16"/>
          <w:lang w:val="es-VE"/>
        </w:rPr>
        <w:t>supra</w:t>
      </w:r>
      <w:r w:rsidRPr="00CE7020">
        <w:rPr>
          <w:rFonts w:ascii="Verdana" w:hAnsi="Verdana"/>
          <w:spacing w:val="-12"/>
          <w:sz w:val="16"/>
          <w:szCs w:val="16"/>
          <w:lang w:val="es-VE"/>
        </w:rPr>
        <w:t>.</w:t>
      </w:r>
      <w:r w:rsidRPr="00773F82">
        <w:rPr>
          <w:rFonts w:ascii="Verdana" w:hAnsi="Verdana"/>
          <w:spacing w:val="-12"/>
          <w:sz w:val="16"/>
          <w:szCs w:val="16"/>
          <w:lang w:val="es-VE"/>
        </w:rPr>
        <w:t xml:space="preserve"> </w:t>
      </w:r>
      <w:r w:rsidRPr="00290E0C">
        <w:rPr>
          <w:rFonts w:ascii="Verdana" w:hAnsi="Verdana"/>
          <w:spacing w:val="-12"/>
          <w:sz w:val="16"/>
          <w:szCs w:val="16"/>
          <w:lang w:val="es-VE"/>
        </w:rPr>
        <w:t>E</w:t>
      </w:r>
      <w:r>
        <w:rPr>
          <w:rFonts w:ascii="Verdana" w:hAnsi="Verdana"/>
          <w:spacing w:val="-12"/>
          <w:sz w:val="16"/>
          <w:szCs w:val="16"/>
          <w:lang w:val="es-VE"/>
        </w:rPr>
        <w:t>l representante señaló que e</w:t>
      </w:r>
      <w:r w:rsidRPr="00290E0C">
        <w:rPr>
          <w:rFonts w:ascii="Verdana" w:hAnsi="Verdana"/>
          <w:spacing w:val="-12"/>
          <w:sz w:val="16"/>
          <w:szCs w:val="16"/>
          <w:lang w:val="es-VE"/>
        </w:rPr>
        <w:t>sta página fue creada en el mes de febrero de 2004 y se le incorporó un “buscador global de</w:t>
      </w:r>
      <w:r w:rsidRPr="00B252EB">
        <w:rPr>
          <w:rFonts w:ascii="Verdana" w:hAnsi="Verdana"/>
          <w:spacing w:val="-12"/>
          <w:sz w:val="16"/>
          <w:szCs w:val="16"/>
          <w:lang w:val="es-VE"/>
        </w:rPr>
        <w:t xml:space="preserve"> firmas”, que permitía investigar los nombres de aquellos ciudadanos venezolanos firmante</w:t>
      </w:r>
      <w:r w:rsidRPr="0054215F">
        <w:rPr>
          <w:rFonts w:ascii="Verdana" w:hAnsi="Verdana"/>
          <w:spacing w:val="-12"/>
          <w:sz w:val="16"/>
          <w:szCs w:val="16"/>
          <w:lang w:val="es-VE"/>
        </w:rPr>
        <w:t>s, para lo cual bastaba ingresar el número de cédula de identidad del usuario y el buscador desplegaba la información necesaria para saber si el ciudadano en cuestión había firmado o no la solicitud. El buscador, además, contaba con un formulario para impr</w:t>
      </w:r>
      <w:r w:rsidRPr="00D758B5">
        <w:rPr>
          <w:rFonts w:ascii="Verdana" w:hAnsi="Verdana"/>
          <w:spacing w:val="-12"/>
          <w:sz w:val="16"/>
          <w:szCs w:val="16"/>
          <w:lang w:val="es-VE"/>
        </w:rPr>
        <w:t>imir y realizar las correcciones necesarias e, incluso, denunciar a través de un teléfono 0800-372833-1 (0800-372833-1), la indebida inclusión del nombre del usuario entre los firmantes del referéndum</w:t>
      </w:r>
      <w:r>
        <w:rPr>
          <w:rFonts w:ascii="Verdana" w:hAnsi="Verdana"/>
          <w:spacing w:val="-12"/>
          <w:sz w:val="16"/>
          <w:szCs w:val="16"/>
          <w:lang w:val="es-VE"/>
        </w:rPr>
        <w:t>. Lo anterior no fue controvertido.</w:t>
      </w:r>
    </w:p>
  </w:footnote>
  <w:footnote w:id="86">
    <w:p w14:paraId="6A7B10A8" w14:textId="60A95934" w:rsidR="00837BB9" w:rsidRPr="006001C8" w:rsidRDefault="00837BB9" w:rsidP="008349B1">
      <w:pPr>
        <w:pStyle w:val="FootnoteText"/>
        <w:spacing w:before="120" w:after="120"/>
        <w:jc w:val="both"/>
        <w:rPr>
          <w:rFonts w:ascii="Verdana" w:hAnsi="Verdana"/>
          <w:spacing w:val="-12"/>
          <w:sz w:val="16"/>
          <w:szCs w:val="16"/>
          <w:u w:val="single"/>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6203B0">
        <w:rPr>
          <w:rFonts w:ascii="Verdana" w:hAnsi="Verdana"/>
          <w:i/>
          <w:spacing w:val="-12"/>
          <w:sz w:val="16"/>
          <w:szCs w:val="16"/>
          <w:lang w:val="es-VE"/>
        </w:rPr>
        <w:t>Cfr.</w:t>
      </w:r>
      <w:r>
        <w:rPr>
          <w:rFonts w:ascii="Verdana" w:hAnsi="Verdana"/>
          <w:spacing w:val="-12"/>
          <w:sz w:val="16"/>
          <w:szCs w:val="16"/>
          <w:lang w:val="es-VE"/>
        </w:rPr>
        <w:t xml:space="preserve"> Ciudadanía </w:t>
      </w:r>
      <w:r w:rsidRPr="00FC1D38">
        <w:rPr>
          <w:rFonts w:ascii="Verdana" w:hAnsi="Verdana"/>
          <w:spacing w:val="-12"/>
          <w:sz w:val="16"/>
          <w:szCs w:val="16"/>
          <w:lang w:val="es-VE"/>
        </w:rPr>
        <w:t>Activa, Documental “La Lista, un pueblo bajo sospecha”</w:t>
      </w:r>
      <w:r>
        <w:rPr>
          <w:rFonts w:ascii="Verdana" w:hAnsi="Verdana"/>
          <w:spacing w:val="-12"/>
          <w:sz w:val="16"/>
          <w:szCs w:val="16"/>
          <w:lang w:val="es-VE"/>
        </w:rPr>
        <w:t xml:space="preserve">, </w:t>
      </w:r>
      <w:r w:rsidRPr="000536CF">
        <w:rPr>
          <w:rFonts w:ascii="Verdana" w:hAnsi="Verdana"/>
          <w:i/>
          <w:spacing w:val="-12"/>
          <w:sz w:val="16"/>
          <w:szCs w:val="16"/>
          <w:lang w:val="es-VE"/>
        </w:rPr>
        <w:t>supra</w:t>
      </w:r>
      <w:r>
        <w:rPr>
          <w:rFonts w:ascii="Verdana" w:hAnsi="Verdana"/>
          <w:i/>
          <w:spacing w:val="-12"/>
          <w:sz w:val="16"/>
          <w:szCs w:val="16"/>
          <w:lang w:val="es-VE"/>
        </w:rPr>
        <w:t>.</w:t>
      </w:r>
      <w:r w:rsidRPr="001C16AC">
        <w:rPr>
          <w:rFonts w:ascii="Verdana" w:hAnsi="Verdana"/>
          <w:spacing w:val="-12"/>
          <w:sz w:val="16"/>
          <w:szCs w:val="16"/>
          <w:lang w:val="es-VE"/>
        </w:rPr>
        <w:t xml:space="preserve"> </w:t>
      </w:r>
    </w:p>
  </w:footnote>
  <w:footnote w:id="87">
    <w:p w14:paraId="6132920A" w14:textId="79D7F90D" w:rsidR="00837BB9" w:rsidRPr="007C51D0" w:rsidRDefault="00837BB9" w:rsidP="008349B1">
      <w:pPr>
        <w:pStyle w:val="FootnoteText"/>
        <w:spacing w:before="120" w:after="120"/>
        <w:jc w:val="both"/>
        <w:rPr>
          <w:rFonts w:ascii="Verdana" w:hAnsi="Verdana"/>
          <w:spacing w:val="-12"/>
          <w:sz w:val="16"/>
          <w:szCs w:val="16"/>
          <w:lang w:val="es-CR"/>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9E7E48">
        <w:rPr>
          <w:rFonts w:ascii="Verdana" w:hAnsi="Verdana"/>
          <w:i/>
          <w:spacing w:val="-12"/>
          <w:sz w:val="16"/>
          <w:szCs w:val="16"/>
          <w:lang w:val="es-VE"/>
        </w:rPr>
        <w:t>Cfr.</w:t>
      </w:r>
      <w:r w:rsidRPr="008B6122">
        <w:rPr>
          <w:rFonts w:ascii="Verdana" w:hAnsi="Verdana"/>
          <w:spacing w:val="-12"/>
          <w:sz w:val="16"/>
          <w:szCs w:val="16"/>
          <w:lang w:val="es-VE"/>
        </w:rPr>
        <w:t xml:space="preserve">  Resolución del Consejo Nacional Electoral No. 040302</w:t>
      </w:r>
      <w:r w:rsidRPr="008B6122">
        <w:rPr>
          <w:rFonts w:ascii="Verdana" w:hAnsi="Verdana"/>
          <w:spacing w:val="-12"/>
          <w:sz w:val="16"/>
          <w:szCs w:val="16"/>
          <w:lang w:val="es-VE"/>
        </w:rPr>
        <w:noBreakHyphen/>
        <w:t>131 del 2 de marzo de 2004 (</w:t>
      </w:r>
      <w:proofErr w:type="spellStart"/>
      <w:r w:rsidRPr="0012407E">
        <w:rPr>
          <w:rFonts w:ascii="Verdana" w:hAnsi="Verdana"/>
          <w:spacing w:val="-12"/>
          <w:sz w:val="16"/>
          <w:szCs w:val="16"/>
          <w:lang w:val="es-VE"/>
        </w:rPr>
        <w:t>exp</w:t>
      </w:r>
      <w:proofErr w:type="spellEnd"/>
      <w:r w:rsidRPr="0012407E">
        <w:rPr>
          <w:rFonts w:ascii="Verdana" w:hAnsi="Verdana"/>
          <w:spacing w:val="-12"/>
          <w:sz w:val="16"/>
          <w:szCs w:val="16"/>
          <w:lang w:val="es-VE"/>
        </w:rPr>
        <w:t>. prue</w:t>
      </w:r>
      <w:r w:rsidRPr="00C7142E">
        <w:rPr>
          <w:rFonts w:ascii="Verdana" w:hAnsi="Verdana"/>
          <w:spacing w:val="-12"/>
          <w:sz w:val="16"/>
          <w:szCs w:val="16"/>
          <w:lang w:val="es-VE"/>
        </w:rPr>
        <w:t>ba</w:t>
      </w:r>
      <w:r w:rsidRPr="0069409D">
        <w:rPr>
          <w:rFonts w:ascii="Verdana" w:hAnsi="Verdana"/>
          <w:spacing w:val="-12"/>
          <w:sz w:val="16"/>
          <w:szCs w:val="16"/>
          <w:lang w:val="es-VE"/>
        </w:rPr>
        <w:t xml:space="preserve"> f</w:t>
      </w:r>
      <w:r w:rsidRPr="006C24C0">
        <w:rPr>
          <w:rFonts w:ascii="Verdana" w:hAnsi="Verdana"/>
          <w:spacing w:val="-12"/>
          <w:sz w:val="16"/>
          <w:szCs w:val="16"/>
          <w:lang w:val="es-VE"/>
        </w:rPr>
        <w:t>olios</w:t>
      </w:r>
      <w:r w:rsidRPr="0003211A">
        <w:rPr>
          <w:rFonts w:ascii="Verdana" w:hAnsi="Verdana"/>
          <w:spacing w:val="-12"/>
          <w:sz w:val="16"/>
          <w:szCs w:val="16"/>
          <w:lang w:val="es-VE"/>
        </w:rPr>
        <w:t xml:space="preserve"> 173</w:t>
      </w:r>
      <w:r w:rsidRPr="00CE7020">
        <w:rPr>
          <w:rFonts w:ascii="Verdana" w:hAnsi="Verdana"/>
          <w:spacing w:val="-12"/>
          <w:sz w:val="16"/>
          <w:szCs w:val="16"/>
          <w:lang w:val="es-VE"/>
        </w:rPr>
        <w:t xml:space="preserve"> a</w:t>
      </w:r>
      <w:r w:rsidRPr="00773F82">
        <w:rPr>
          <w:rFonts w:ascii="Verdana" w:hAnsi="Verdana"/>
          <w:spacing w:val="-12"/>
          <w:sz w:val="16"/>
          <w:szCs w:val="16"/>
          <w:lang w:val="es-VE"/>
        </w:rPr>
        <w:t>175). En dicha resolución se informó de los siguientes resultados: a)</w:t>
      </w:r>
      <w:r w:rsidRPr="00290E0C">
        <w:rPr>
          <w:rFonts w:ascii="Verdana" w:hAnsi="Verdana"/>
          <w:spacing w:val="-12"/>
          <w:sz w:val="16"/>
          <w:szCs w:val="16"/>
          <w:lang w:val="es-VE"/>
        </w:rPr>
        <w:t xml:space="preserve"> </w:t>
      </w:r>
      <w:r w:rsidRPr="00B252EB">
        <w:rPr>
          <w:rFonts w:ascii="Verdana" w:hAnsi="Verdana"/>
          <w:spacing w:val="-12"/>
          <w:sz w:val="16"/>
          <w:szCs w:val="16"/>
          <w:lang w:val="es-VE"/>
        </w:rPr>
        <w:t>Total de planillas procesadas sometidas a la verificación física por este organismo: trescientas ochenta y ocho mil ciento ocho (388108)</w:t>
      </w:r>
      <w:r w:rsidRPr="0054215F">
        <w:rPr>
          <w:rFonts w:ascii="Verdana" w:hAnsi="Verdana"/>
          <w:spacing w:val="-12"/>
          <w:sz w:val="16"/>
          <w:szCs w:val="16"/>
          <w:lang w:val="es-VE"/>
        </w:rPr>
        <w:t>;</w:t>
      </w:r>
      <w:r w:rsidRPr="00CF3AED">
        <w:rPr>
          <w:rFonts w:ascii="Verdana" w:hAnsi="Verdana"/>
          <w:spacing w:val="-12"/>
          <w:sz w:val="16"/>
          <w:szCs w:val="16"/>
          <w:lang w:val="es-VE"/>
        </w:rPr>
        <w:t xml:space="preserve"> b) Planillas vacías y/o inutilizadas en la jornada de recolección de firmas: siete mil doscientos noventa y siete (7297) planillas; c) Planillas invalidadas en razón del incumplimiento de las “Normas sobre los Criterios de Validación de las Firmas y de las Planillas de recolección de firmas para los procesos de Referendo Revocatorio de Mandatos de Cargos de Elección Popular”, en especial, los numerales 2, 3, 4 y 5: treinta y nueve mil sesenta (39060) planillas; d) Total de solicitudes procesadas del universo de planillas validadas según actas: tres millones ochenta y seis mil trece (3086013) solicitudes;</w:t>
      </w:r>
      <w:r w:rsidRPr="007C51D0">
        <w:rPr>
          <w:rFonts w:ascii="Verdana" w:hAnsi="Verdana" w:cs="Arial"/>
          <w:sz w:val="16"/>
          <w:szCs w:val="16"/>
        </w:rPr>
        <w:t xml:space="preserve"> </w:t>
      </w:r>
      <w:r w:rsidRPr="00CF3AED">
        <w:rPr>
          <w:rFonts w:ascii="Verdana" w:hAnsi="Verdana"/>
          <w:spacing w:val="-12"/>
          <w:sz w:val="16"/>
          <w:szCs w:val="16"/>
          <w:lang w:val="es-CR"/>
        </w:rPr>
        <w:t xml:space="preserve">e) Solicitudes validadas para la convocatoria del referendo revocatorio: Un millón ochocientas treinta y dos mil cuatrocientos noventa y </w:t>
      </w:r>
      <w:r w:rsidRPr="006203B0">
        <w:rPr>
          <w:rFonts w:ascii="Verdana" w:hAnsi="Verdana"/>
          <w:spacing w:val="-12"/>
          <w:sz w:val="16"/>
          <w:szCs w:val="16"/>
          <w:lang w:val="es-CR"/>
        </w:rPr>
        <w:t xml:space="preserve">tres (1.832.493) solicitudes; </w:t>
      </w:r>
      <w:r w:rsidRPr="00FC1D38">
        <w:rPr>
          <w:rFonts w:ascii="Verdana" w:hAnsi="Verdana"/>
          <w:spacing w:val="-12"/>
          <w:sz w:val="16"/>
          <w:szCs w:val="16"/>
          <w:lang w:val="es-CR"/>
        </w:rPr>
        <w:t>f) Soli</w:t>
      </w:r>
      <w:r w:rsidRPr="000536CF">
        <w:rPr>
          <w:rFonts w:ascii="Verdana" w:hAnsi="Verdana"/>
          <w:spacing w:val="-12"/>
          <w:sz w:val="16"/>
          <w:szCs w:val="16"/>
          <w:lang w:val="es-CR"/>
        </w:rPr>
        <w:t>citudes rechazadas en razón del Registro Electoral (no inscritos; menores de edad; extranjeros; fallecidos; inhabilitación electoral e incongruencia de datos de la solicitud con el regi</w:t>
      </w:r>
      <w:r w:rsidRPr="001C16AC">
        <w:rPr>
          <w:rFonts w:ascii="Verdana" w:hAnsi="Verdana"/>
          <w:spacing w:val="-12"/>
          <w:sz w:val="16"/>
          <w:szCs w:val="16"/>
          <w:lang w:val="es-CR"/>
        </w:rPr>
        <w:t xml:space="preserve">stro): Ciento cuarenta </w:t>
      </w:r>
      <w:r w:rsidRPr="006001C8">
        <w:rPr>
          <w:rFonts w:ascii="Verdana" w:hAnsi="Verdana"/>
          <w:spacing w:val="-12"/>
          <w:sz w:val="16"/>
          <w:szCs w:val="16"/>
          <w:lang w:val="es-CR"/>
        </w:rPr>
        <w:t>y tres mil noveciento</w:t>
      </w:r>
      <w:r w:rsidRPr="00D55480">
        <w:rPr>
          <w:rFonts w:ascii="Verdana" w:hAnsi="Verdana"/>
          <w:spacing w:val="-12"/>
          <w:sz w:val="16"/>
          <w:szCs w:val="16"/>
          <w:lang w:val="es-CR"/>
        </w:rPr>
        <w:t xml:space="preserve">s treinta (143.930) solicitudes; </w:t>
      </w:r>
      <w:r w:rsidRPr="009E7E48">
        <w:rPr>
          <w:rFonts w:ascii="Verdana" w:hAnsi="Verdana"/>
          <w:spacing w:val="-12"/>
          <w:sz w:val="16"/>
          <w:szCs w:val="16"/>
          <w:lang w:val="es-CR"/>
        </w:rPr>
        <w:t xml:space="preserve">g) Solicitudes rechazadas en razón del artículo 3 y los numerales 1, 6 y </w:t>
      </w:r>
      <w:r w:rsidRPr="008B6122">
        <w:rPr>
          <w:rFonts w:ascii="Verdana" w:hAnsi="Verdana"/>
          <w:spacing w:val="-12"/>
          <w:sz w:val="16"/>
          <w:szCs w:val="16"/>
          <w:lang w:val="es-CR"/>
        </w:rPr>
        <w:t>7 de las "Normas sobre los Criterios de Validación de las Firmas y de las Planillas de recolección de firm</w:t>
      </w:r>
      <w:r w:rsidRPr="0012407E">
        <w:rPr>
          <w:rFonts w:ascii="Verdana" w:hAnsi="Verdana"/>
          <w:spacing w:val="-12"/>
          <w:sz w:val="16"/>
          <w:szCs w:val="16"/>
          <w:lang w:val="es-CR"/>
        </w:rPr>
        <w:t xml:space="preserve">as para los proceso de </w:t>
      </w:r>
      <w:r w:rsidRPr="00C7142E">
        <w:rPr>
          <w:rFonts w:ascii="Verdana" w:hAnsi="Verdana"/>
          <w:spacing w:val="-12"/>
          <w:sz w:val="16"/>
          <w:szCs w:val="16"/>
          <w:lang w:val="es-CR"/>
        </w:rPr>
        <w:t>Referendo Revocatorio de Mandatos de Cargos de Elección Popular", rat</w:t>
      </w:r>
      <w:r w:rsidRPr="0069409D">
        <w:rPr>
          <w:rFonts w:ascii="Verdana" w:hAnsi="Verdana"/>
          <w:spacing w:val="-12"/>
          <w:sz w:val="16"/>
          <w:szCs w:val="16"/>
          <w:lang w:val="es-CR"/>
        </w:rPr>
        <w:t xml:space="preserve">ificadas por la opinión unánime </w:t>
      </w:r>
      <w:r w:rsidRPr="006C24C0">
        <w:rPr>
          <w:rFonts w:ascii="Verdana" w:hAnsi="Verdana"/>
          <w:spacing w:val="-12"/>
          <w:sz w:val="16"/>
          <w:szCs w:val="16"/>
          <w:lang w:val="es-CR"/>
        </w:rPr>
        <w:t xml:space="preserve">de los cinco supervisores del Comité Técnico Superior: Doscientas treinta y tres mil quinientas setenta </w:t>
      </w:r>
      <w:r w:rsidRPr="003100FE">
        <w:rPr>
          <w:rFonts w:ascii="Verdana" w:hAnsi="Verdana"/>
          <w:spacing w:val="-12"/>
          <w:sz w:val="16"/>
          <w:szCs w:val="16"/>
          <w:lang w:val="es-CR"/>
        </w:rPr>
        <w:t xml:space="preserve">y </w:t>
      </w:r>
      <w:r w:rsidRPr="0003211A">
        <w:rPr>
          <w:rFonts w:ascii="Verdana" w:hAnsi="Verdana"/>
          <w:spacing w:val="-12"/>
          <w:sz w:val="16"/>
          <w:szCs w:val="16"/>
          <w:lang w:val="es-CR"/>
        </w:rPr>
        <w:t>tres (233.573) solicitudes</w:t>
      </w:r>
      <w:r w:rsidRPr="00CE7020">
        <w:rPr>
          <w:rFonts w:ascii="Verdana" w:hAnsi="Verdana"/>
          <w:spacing w:val="-12"/>
          <w:sz w:val="16"/>
          <w:szCs w:val="16"/>
          <w:lang w:val="es-CR"/>
        </w:rPr>
        <w:t>; h) Solicitudes bajo observación, calificadas por la opinión unánime d</w:t>
      </w:r>
      <w:r w:rsidRPr="00773F82">
        <w:rPr>
          <w:rFonts w:ascii="Verdana" w:hAnsi="Verdana"/>
          <w:spacing w:val="-12"/>
          <w:sz w:val="16"/>
          <w:szCs w:val="16"/>
          <w:lang w:val="es-CR"/>
        </w:rPr>
        <w:t>e lo</w:t>
      </w:r>
      <w:r w:rsidRPr="00290E0C">
        <w:rPr>
          <w:rFonts w:ascii="Verdana" w:hAnsi="Verdana"/>
          <w:spacing w:val="-12"/>
          <w:sz w:val="16"/>
          <w:szCs w:val="16"/>
          <w:lang w:val="es-CR"/>
        </w:rPr>
        <w:t xml:space="preserve">s cinco supervisores del Comité </w:t>
      </w:r>
      <w:r w:rsidRPr="00B252EB">
        <w:rPr>
          <w:rFonts w:ascii="Verdana" w:hAnsi="Verdana"/>
          <w:spacing w:val="-12"/>
          <w:sz w:val="16"/>
          <w:szCs w:val="16"/>
          <w:lang w:val="es-CR"/>
        </w:rPr>
        <w:t>Técnico Superior, susceptibles de ser ratificadas por</w:t>
      </w:r>
      <w:r w:rsidRPr="0054215F">
        <w:rPr>
          <w:rFonts w:ascii="Verdana" w:hAnsi="Verdana"/>
          <w:spacing w:val="-12"/>
          <w:sz w:val="16"/>
          <w:szCs w:val="16"/>
          <w:lang w:val="es-CR"/>
        </w:rPr>
        <w:t xml:space="preserve"> la vía del reparo, en razón de constituir solicitudes o firmas de similar caligrafía, de acuerdo a lo previsto en el artículo 31, Capítulo V, de las Normas para regular los Procesos de Referendos Revocatorios de Mandatos de Cargos de Elección Popular, ins</w:t>
      </w:r>
      <w:r w:rsidRPr="00D758B5">
        <w:rPr>
          <w:rFonts w:ascii="Verdana" w:hAnsi="Verdana"/>
          <w:spacing w:val="-12"/>
          <w:sz w:val="16"/>
          <w:szCs w:val="16"/>
          <w:lang w:val="es-CR"/>
        </w:rPr>
        <w:t>trumento publicado en la Gaceta Electoral Nro. 181, de fecha 20 de noviembre de 2003: Ochocientas setenta y seis mil diecisiete (876.017) solicitudes</w:t>
      </w:r>
      <w:r w:rsidRPr="00CF3AED">
        <w:rPr>
          <w:rFonts w:ascii="Verdana" w:hAnsi="Verdana"/>
          <w:spacing w:val="-12"/>
          <w:sz w:val="16"/>
          <w:szCs w:val="16"/>
          <w:lang w:val="es-VE"/>
        </w:rPr>
        <w:t>. El Registro Electoral superaba los catorce millones de electores.</w:t>
      </w:r>
    </w:p>
  </w:footnote>
  <w:footnote w:id="88">
    <w:p w14:paraId="71D5F8EF" w14:textId="73780EDE" w:rsidR="00837BB9" w:rsidRPr="0054215F"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CF3AED">
        <w:rPr>
          <w:rFonts w:ascii="Verdana" w:hAnsi="Verdana"/>
          <w:i/>
          <w:spacing w:val="-12"/>
          <w:sz w:val="16"/>
          <w:szCs w:val="16"/>
          <w:lang w:val="es-VE"/>
        </w:rPr>
        <w:t>Cfr.</w:t>
      </w:r>
      <w:r w:rsidRPr="006203B0">
        <w:rPr>
          <w:rFonts w:ascii="Verdana" w:hAnsi="Verdana"/>
          <w:spacing w:val="-12"/>
          <w:sz w:val="16"/>
          <w:szCs w:val="16"/>
          <w:lang w:val="es-VE"/>
        </w:rPr>
        <w:t xml:space="preserve"> Consejo Nacional Electoral</w:t>
      </w:r>
      <w:r>
        <w:rPr>
          <w:rFonts w:ascii="Verdana" w:hAnsi="Verdana"/>
          <w:spacing w:val="-12"/>
          <w:sz w:val="16"/>
          <w:szCs w:val="16"/>
          <w:lang w:val="es-VE"/>
        </w:rPr>
        <w:t>,</w:t>
      </w:r>
      <w:r w:rsidRPr="006203B0">
        <w:rPr>
          <w:rFonts w:ascii="Verdana" w:hAnsi="Verdana"/>
          <w:spacing w:val="-12"/>
          <w:sz w:val="16"/>
          <w:szCs w:val="16"/>
          <w:lang w:val="es-VE"/>
        </w:rPr>
        <w:t xml:space="preserve"> Resolución </w:t>
      </w:r>
      <w:r>
        <w:rPr>
          <w:rFonts w:ascii="Verdana" w:hAnsi="Verdana"/>
          <w:spacing w:val="-12"/>
          <w:sz w:val="16"/>
          <w:szCs w:val="16"/>
          <w:lang w:val="es-VE"/>
        </w:rPr>
        <w:t>No. 040420</w:t>
      </w:r>
      <w:r>
        <w:rPr>
          <w:rFonts w:ascii="Verdana" w:hAnsi="Verdana"/>
          <w:spacing w:val="-12"/>
          <w:sz w:val="16"/>
          <w:szCs w:val="16"/>
          <w:lang w:val="es-VE"/>
        </w:rPr>
        <w:noBreakHyphen/>
        <w:t xml:space="preserve">563, </w:t>
      </w:r>
      <w:r w:rsidRPr="000536CF">
        <w:rPr>
          <w:rFonts w:ascii="Verdana" w:hAnsi="Verdana"/>
          <w:spacing w:val="-12"/>
          <w:sz w:val="16"/>
          <w:szCs w:val="16"/>
          <w:lang w:val="es-VE"/>
        </w:rPr>
        <w:t xml:space="preserve">20 </w:t>
      </w:r>
      <w:r w:rsidRPr="001C16AC">
        <w:rPr>
          <w:rFonts w:ascii="Verdana" w:hAnsi="Verdana"/>
          <w:spacing w:val="-12"/>
          <w:sz w:val="16"/>
          <w:szCs w:val="16"/>
          <w:lang w:val="es-VE"/>
        </w:rPr>
        <w:t xml:space="preserve">de </w:t>
      </w:r>
      <w:r w:rsidRPr="00D55480">
        <w:rPr>
          <w:rFonts w:ascii="Verdana" w:hAnsi="Verdana"/>
          <w:spacing w:val="-12"/>
          <w:sz w:val="16"/>
          <w:szCs w:val="16"/>
          <w:lang w:val="es-VE"/>
        </w:rPr>
        <w:t xml:space="preserve">abril </w:t>
      </w:r>
      <w:r w:rsidRPr="009E7E48">
        <w:rPr>
          <w:rFonts w:ascii="Verdana" w:hAnsi="Verdana"/>
          <w:spacing w:val="-12"/>
          <w:sz w:val="16"/>
          <w:szCs w:val="16"/>
          <w:lang w:val="es-VE"/>
        </w:rPr>
        <w:t xml:space="preserve">de </w:t>
      </w:r>
      <w:r w:rsidRPr="008B6122">
        <w:rPr>
          <w:rFonts w:ascii="Verdana" w:hAnsi="Verdana"/>
          <w:spacing w:val="-12"/>
          <w:sz w:val="16"/>
          <w:szCs w:val="16"/>
          <w:lang w:val="es-VE"/>
        </w:rPr>
        <w:t>200</w:t>
      </w:r>
      <w:r w:rsidRPr="0012407E">
        <w:rPr>
          <w:rFonts w:ascii="Verdana" w:hAnsi="Verdana"/>
          <w:spacing w:val="-12"/>
          <w:sz w:val="16"/>
          <w:szCs w:val="16"/>
          <w:lang w:val="es-VE"/>
        </w:rPr>
        <w:t>4</w:t>
      </w:r>
      <w:r w:rsidRPr="00C7142E">
        <w:rPr>
          <w:rFonts w:ascii="Verdana" w:hAnsi="Verdana"/>
          <w:spacing w:val="-12"/>
          <w:sz w:val="16"/>
          <w:szCs w:val="16"/>
          <w:lang w:val="es-VE"/>
        </w:rPr>
        <w:t xml:space="preserve"> (</w:t>
      </w:r>
      <w:proofErr w:type="spellStart"/>
      <w:r>
        <w:rPr>
          <w:rFonts w:ascii="Verdana" w:hAnsi="Verdana"/>
          <w:spacing w:val="-12"/>
          <w:sz w:val="16"/>
          <w:szCs w:val="16"/>
          <w:lang w:val="es-VE"/>
        </w:rPr>
        <w:t>exp</w:t>
      </w:r>
      <w:proofErr w:type="spellEnd"/>
      <w:r>
        <w:rPr>
          <w:rFonts w:ascii="Verdana" w:hAnsi="Verdana"/>
          <w:spacing w:val="-12"/>
          <w:sz w:val="16"/>
          <w:szCs w:val="16"/>
          <w:lang w:val="es-VE"/>
        </w:rPr>
        <w:t>. prueba,</w:t>
      </w:r>
      <w:r w:rsidRPr="003100FE">
        <w:rPr>
          <w:rFonts w:ascii="Verdana" w:hAnsi="Verdana"/>
          <w:spacing w:val="-12"/>
          <w:sz w:val="16"/>
          <w:szCs w:val="16"/>
          <w:lang w:val="es-VE"/>
        </w:rPr>
        <w:t xml:space="preserve"> </w:t>
      </w:r>
      <w:r w:rsidRPr="0003211A">
        <w:rPr>
          <w:rFonts w:ascii="Verdana" w:hAnsi="Verdana"/>
          <w:spacing w:val="-12"/>
          <w:sz w:val="16"/>
          <w:szCs w:val="16"/>
          <w:lang w:val="es-VE"/>
        </w:rPr>
        <w:t>f</w:t>
      </w:r>
      <w:r w:rsidRPr="00CE7020">
        <w:rPr>
          <w:rFonts w:ascii="Verdana" w:hAnsi="Verdana"/>
          <w:spacing w:val="-12"/>
          <w:sz w:val="16"/>
          <w:szCs w:val="16"/>
          <w:lang w:val="es-VE"/>
        </w:rPr>
        <w:t>olios</w:t>
      </w:r>
      <w:r w:rsidRPr="00773F82">
        <w:rPr>
          <w:rFonts w:ascii="Verdana" w:hAnsi="Verdana"/>
          <w:spacing w:val="-12"/>
          <w:sz w:val="16"/>
          <w:szCs w:val="16"/>
          <w:lang w:val="es-VE"/>
        </w:rPr>
        <w:t xml:space="preserve"> 178</w:t>
      </w:r>
      <w:r w:rsidRPr="00290E0C">
        <w:rPr>
          <w:rFonts w:ascii="Verdana" w:hAnsi="Verdana"/>
          <w:spacing w:val="-12"/>
          <w:sz w:val="16"/>
          <w:szCs w:val="16"/>
          <w:lang w:val="es-VE"/>
        </w:rPr>
        <w:t xml:space="preserve"> a</w:t>
      </w:r>
      <w:r>
        <w:rPr>
          <w:rFonts w:ascii="Verdana" w:hAnsi="Verdana"/>
          <w:spacing w:val="-12"/>
          <w:sz w:val="16"/>
          <w:szCs w:val="16"/>
          <w:lang w:val="es-VE"/>
        </w:rPr>
        <w:t xml:space="preserve"> </w:t>
      </w:r>
      <w:r w:rsidRPr="0054215F">
        <w:rPr>
          <w:rFonts w:ascii="Verdana" w:hAnsi="Verdana"/>
          <w:spacing w:val="-12"/>
          <w:sz w:val="16"/>
          <w:szCs w:val="16"/>
          <w:lang w:val="es-VE"/>
        </w:rPr>
        <w:t xml:space="preserve">184). </w:t>
      </w:r>
    </w:p>
  </w:footnote>
  <w:footnote w:id="89">
    <w:p w14:paraId="33214175" w14:textId="3D0C91AE" w:rsidR="00837BB9" w:rsidRPr="0003211A"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Declaración de Rocío San Miguel durante la audiencia pública ante la Corte</w:t>
      </w:r>
      <w:r w:rsidRPr="003100FE">
        <w:rPr>
          <w:rFonts w:ascii="Verdana" w:hAnsi="Verdana"/>
          <w:spacing w:val="-12"/>
          <w:sz w:val="16"/>
          <w:szCs w:val="16"/>
          <w:lang w:val="es-VE"/>
        </w:rPr>
        <w:t>.</w:t>
      </w:r>
    </w:p>
  </w:footnote>
  <w:footnote w:id="90">
    <w:p w14:paraId="5AD18313" w14:textId="2B12E487"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Súmate, Informe de avance “El Referendo Revocatorio Presidencial”, Anexos</w:t>
      </w:r>
      <w:r w:rsidRPr="006C24C0">
        <w:rPr>
          <w:rFonts w:ascii="Verdana" w:hAnsi="Verdana"/>
          <w:spacing w:val="-12"/>
          <w:sz w:val="16"/>
          <w:szCs w:val="16"/>
          <w:lang w:val="es-VE"/>
        </w:rPr>
        <w:t>,</w:t>
      </w:r>
      <w:r w:rsidRPr="003100FE">
        <w:rPr>
          <w:rFonts w:ascii="Verdana" w:hAnsi="Verdana"/>
          <w:spacing w:val="-12"/>
          <w:sz w:val="16"/>
          <w:szCs w:val="16"/>
          <w:lang w:val="es-VE"/>
        </w:rPr>
        <w:t xml:space="preserve"> </w:t>
      </w:r>
      <w:r w:rsidRPr="007C51D0">
        <w:rPr>
          <w:rFonts w:ascii="Verdana" w:hAnsi="Verdana"/>
          <w:spacing w:val="-12"/>
          <w:sz w:val="16"/>
          <w:szCs w:val="16"/>
          <w:lang w:val="es-VE"/>
        </w:rPr>
        <w:t>7 de septiembre de 2004</w:t>
      </w:r>
      <w:r w:rsidRPr="00CF3AED">
        <w:rPr>
          <w:rFonts w:ascii="Verdana" w:hAnsi="Verdana"/>
          <w:i/>
          <w:spacing w:val="-12"/>
          <w:sz w:val="16"/>
          <w:szCs w:val="16"/>
          <w:lang w:val="es-VE"/>
        </w:rPr>
        <w:t>supra</w:t>
      </w:r>
      <w:r w:rsidRPr="00CF3AED">
        <w:rPr>
          <w:rFonts w:ascii="Verdana" w:hAnsi="Verdana"/>
          <w:spacing w:val="-12"/>
          <w:sz w:val="16"/>
          <w:szCs w:val="16"/>
          <w:lang w:val="es-VE"/>
        </w:rPr>
        <w:t>, p</w:t>
      </w:r>
      <w:r w:rsidRPr="006203B0">
        <w:rPr>
          <w:rFonts w:ascii="Verdana" w:hAnsi="Verdana"/>
          <w:spacing w:val="-12"/>
          <w:sz w:val="16"/>
          <w:szCs w:val="16"/>
          <w:lang w:val="es-VE"/>
        </w:rPr>
        <w:t>ág. 45</w:t>
      </w:r>
      <w:r w:rsidRPr="000536CF">
        <w:rPr>
          <w:rFonts w:ascii="Verdana" w:hAnsi="Verdana"/>
          <w:spacing w:val="-12"/>
          <w:sz w:val="16"/>
          <w:szCs w:val="16"/>
          <w:lang w:val="es-VE"/>
        </w:rPr>
        <w:t xml:space="preserve">; </w:t>
      </w:r>
      <w:r w:rsidRPr="00D0656B">
        <w:rPr>
          <w:rFonts w:ascii="Verdana" w:hAnsi="Verdana"/>
          <w:spacing w:val="-12"/>
          <w:sz w:val="16"/>
          <w:szCs w:val="16"/>
          <w:lang w:val="es-VE"/>
        </w:rPr>
        <w:t>Consejo Nacional Electoral</w:t>
      </w:r>
      <w:r w:rsidRPr="000536CF">
        <w:rPr>
          <w:rFonts w:ascii="Verdana" w:hAnsi="Verdana"/>
          <w:spacing w:val="-12"/>
          <w:sz w:val="16"/>
          <w:szCs w:val="16"/>
          <w:lang w:val="es-VE"/>
        </w:rPr>
        <w:t>, Resolución No. 040615</w:t>
      </w:r>
      <w:r w:rsidRPr="000536CF">
        <w:rPr>
          <w:rFonts w:ascii="Verdana" w:hAnsi="Verdana"/>
          <w:spacing w:val="-12"/>
          <w:sz w:val="16"/>
          <w:szCs w:val="16"/>
          <w:lang w:val="es-VE"/>
        </w:rPr>
        <w:noBreakHyphen/>
        <w:t xml:space="preserve">852 de 25 de junio de 2004, disponible en: </w:t>
      </w:r>
      <w:hyperlink r:id="rId20" w:history="1">
        <w:r w:rsidRPr="00CF3AED">
          <w:rPr>
            <w:rStyle w:val="Hyperlink"/>
            <w:rFonts w:ascii="Verdana" w:hAnsi="Verdana"/>
            <w:spacing w:val="-12"/>
            <w:sz w:val="16"/>
            <w:szCs w:val="16"/>
            <w:lang w:val="es-VE"/>
          </w:rPr>
          <w:t>http://www.cne.gob.ve/web/gaceta_electoral/gaceta_electoral_detallado.php?tg=1&amp;num_gac=202</w:t>
        </w:r>
      </w:hyperlink>
      <w:r w:rsidRPr="00C7142E">
        <w:rPr>
          <w:rFonts w:ascii="Verdana" w:hAnsi="Verdana"/>
          <w:spacing w:val="-12"/>
          <w:sz w:val="16"/>
          <w:szCs w:val="16"/>
          <w:lang w:val="es-VE"/>
        </w:rPr>
        <w:t xml:space="preserve">. </w:t>
      </w:r>
    </w:p>
  </w:footnote>
  <w:footnote w:id="91">
    <w:p w14:paraId="329E6790" w14:textId="259F7337"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w:t>
      </w:r>
      <w:r w:rsidRPr="00D0656B">
        <w:rPr>
          <w:rFonts w:ascii="Verdana" w:hAnsi="Verdana"/>
          <w:spacing w:val="-12"/>
          <w:sz w:val="16"/>
          <w:szCs w:val="16"/>
          <w:lang w:val="es-VE"/>
        </w:rPr>
        <w:t>Consejo Nacional Electoral</w:t>
      </w:r>
      <w:r w:rsidRPr="0069409D">
        <w:rPr>
          <w:rFonts w:ascii="Verdana" w:hAnsi="Verdana"/>
          <w:spacing w:val="-12"/>
          <w:sz w:val="16"/>
          <w:szCs w:val="16"/>
          <w:lang w:val="es-VE"/>
        </w:rPr>
        <w:t>, Resolución No. 040826</w:t>
      </w:r>
      <w:r w:rsidRPr="0069409D">
        <w:rPr>
          <w:rFonts w:ascii="Verdana" w:hAnsi="Verdana"/>
          <w:spacing w:val="-12"/>
          <w:sz w:val="16"/>
          <w:szCs w:val="16"/>
          <w:lang w:val="es-VE"/>
        </w:rPr>
        <w:noBreakHyphen/>
        <w:t xml:space="preserve">1118, 30 de agosto de 2004, disponible en: </w:t>
      </w:r>
      <w:hyperlink r:id="rId21" w:history="1">
        <w:r w:rsidRPr="00CF3AED">
          <w:rPr>
            <w:rStyle w:val="Hyperlink"/>
            <w:rFonts w:ascii="Verdana" w:hAnsi="Verdana"/>
            <w:spacing w:val="-12"/>
            <w:sz w:val="16"/>
            <w:szCs w:val="16"/>
            <w:lang w:val="es-VE"/>
          </w:rPr>
          <w:t>http://www.cne.gob.ve/web/gaceta_electoral/gaceta_electoral_detallado.php?tg=1&amp;num_gac=210</w:t>
        </w:r>
      </w:hyperlink>
      <w:r w:rsidRPr="00C7142E">
        <w:rPr>
          <w:rFonts w:ascii="Verdana" w:hAnsi="Verdana"/>
          <w:spacing w:val="-12"/>
          <w:sz w:val="16"/>
          <w:szCs w:val="16"/>
          <w:lang w:val="es-VE"/>
        </w:rPr>
        <w:t xml:space="preserve">. </w:t>
      </w:r>
    </w:p>
  </w:footnote>
  <w:footnote w:id="92">
    <w:p w14:paraId="01F7DC3A" w14:textId="6180AE80"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 xml:space="preserve">Cfr. OEA, Declaración de la Misión de Observación Electoral de la OEA sobre el Referendo Presidencial de Venezuela,  18 de agosto de 2004, disponible  en: </w:t>
      </w:r>
      <w:hyperlink r:id="rId22" w:history="1">
        <w:r w:rsidRPr="00CF3AED">
          <w:rPr>
            <w:rStyle w:val="Hyperlink"/>
            <w:rFonts w:ascii="Verdana" w:hAnsi="Verdana"/>
            <w:spacing w:val="-12"/>
            <w:sz w:val="16"/>
            <w:szCs w:val="16"/>
            <w:lang w:val="es-VE"/>
          </w:rPr>
          <w:t>http://www.oas.org/es/centro_noticias/comunicado_prensa.asp?sCodigo=C</w:t>
        </w:r>
        <w:r w:rsidRPr="00CF3AED">
          <w:rPr>
            <w:rStyle w:val="Hyperlink"/>
            <w:rFonts w:ascii="Verdana" w:hAnsi="Verdana"/>
            <w:spacing w:val="-12"/>
            <w:sz w:val="16"/>
            <w:szCs w:val="16"/>
            <w:lang w:val="es-VE"/>
          </w:rPr>
          <w:noBreakHyphen/>
          <w:t>003/04</w:t>
        </w:r>
      </w:hyperlink>
      <w:r w:rsidRPr="00C7142E">
        <w:rPr>
          <w:rFonts w:ascii="Verdana" w:hAnsi="Verdana"/>
          <w:spacing w:val="-12"/>
          <w:sz w:val="16"/>
          <w:szCs w:val="16"/>
          <w:lang w:val="es-VE"/>
        </w:rPr>
        <w:t xml:space="preserve">; OEA, “OEA aprueba resolución sobre  los </w:t>
      </w:r>
      <w:r w:rsidRPr="0069409D">
        <w:rPr>
          <w:rFonts w:ascii="Verdana" w:hAnsi="Verdana"/>
          <w:spacing w:val="-12"/>
          <w:sz w:val="16"/>
          <w:szCs w:val="16"/>
          <w:lang w:val="es-VE"/>
        </w:rPr>
        <w:t xml:space="preserve">resultados del referéndum en Venezuela”, 26 de agosto de 2004, disponible en: </w:t>
      </w:r>
      <w:hyperlink r:id="rId23" w:history="1">
        <w:r w:rsidRPr="00CF3AED">
          <w:rPr>
            <w:rStyle w:val="Hyperlink"/>
            <w:rFonts w:ascii="Verdana" w:hAnsi="Verdana"/>
            <w:spacing w:val="-12"/>
            <w:sz w:val="16"/>
            <w:szCs w:val="16"/>
            <w:lang w:val="es-VE"/>
          </w:rPr>
          <w:t>http://www.oas.org/es/centro_noticias/comunicado_prensa.asp?sCodigo=C</w:t>
        </w:r>
        <w:r w:rsidRPr="00CF3AED">
          <w:rPr>
            <w:rStyle w:val="Hyperlink"/>
            <w:rFonts w:ascii="Verdana" w:hAnsi="Verdana"/>
            <w:spacing w:val="-12"/>
            <w:sz w:val="16"/>
            <w:szCs w:val="16"/>
            <w:lang w:val="es-VE"/>
          </w:rPr>
          <w:noBreakHyphen/>
          <w:t>138/04</w:t>
        </w:r>
      </w:hyperlink>
      <w:r w:rsidRPr="00C7142E">
        <w:rPr>
          <w:rFonts w:ascii="Verdana" w:hAnsi="Verdana"/>
          <w:spacing w:val="-12"/>
          <w:sz w:val="16"/>
          <w:szCs w:val="16"/>
          <w:lang w:val="es-VE"/>
        </w:rPr>
        <w:t xml:space="preserve">. </w:t>
      </w:r>
    </w:p>
  </w:footnote>
  <w:footnote w:id="93">
    <w:p w14:paraId="77F62609" w14:textId="20B33FEA"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Asociación Civil Súmate, Apartheid del </w:t>
      </w:r>
      <w:r w:rsidRPr="006C24C0">
        <w:rPr>
          <w:rFonts w:ascii="Verdana" w:hAnsi="Verdana"/>
          <w:spacing w:val="-12"/>
          <w:sz w:val="16"/>
          <w:szCs w:val="16"/>
          <w:lang w:val="es-VE"/>
        </w:rPr>
        <w:t>Siglo XXI. La informática al servicio de la disc</w:t>
      </w:r>
      <w:r w:rsidRPr="003100FE">
        <w:rPr>
          <w:rFonts w:ascii="Verdana" w:hAnsi="Verdana"/>
          <w:spacing w:val="-12"/>
          <w:sz w:val="16"/>
          <w:szCs w:val="16"/>
          <w:lang w:val="es-VE"/>
        </w:rPr>
        <w:t>riminación política en Ve</w:t>
      </w:r>
      <w:r w:rsidRPr="0003211A">
        <w:rPr>
          <w:rFonts w:ascii="Verdana" w:hAnsi="Verdana"/>
          <w:spacing w:val="-12"/>
          <w:sz w:val="16"/>
          <w:szCs w:val="16"/>
          <w:lang w:val="es-VE"/>
        </w:rPr>
        <w:t xml:space="preserve">nezuela, capítulo </w:t>
      </w:r>
      <w:r w:rsidRPr="00CE7020">
        <w:rPr>
          <w:rFonts w:ascii="Verdana" w:hAnsi="Verdana"/>
          <w:spacing w:val="-12"/>
          <w:sz w:val="16"/>
          <w:szCs w:val="16"/>
          <w:lang w:val="es-VE"/>
        </w:rPr>
        <w:t xml:space="preserve">5. Disponible en: </w:t>
      </w:r>
      <w:hyperlink r:id="rId24" w:history="1">
        <w:r w:rsidRPr="00CF3AED">
          <w:rPr>
            <w:rStyle w:val="Hyperlink"/>
            <w:rFonts w:ascii="Verdana" w:hAnsi="Verdana"/>
            <w:spacing w:val="-12"/>
            <w:sz w:val="16"/>
            <w:szCs w:val="16"/>
            <w:lang w:val="es-VE"/>
          </w:rPr>
          <w:t>https://www.sumate.org/documentos/ApartheidSigloXXI/Apartheid%20del%20Siglo%20XXI%20Capitulo5.pdf</w:t>
        </w:r>
      </w:hyperlink>
      <w:r w:rsidRPr="00C7142E">
        <w:rPr>
          <w:rFonts w:ascii="Verdana" w:hAnsi="Verdana"/>
          <w:spacing w:val="-12"/>
          <w:sz w:val="16"/>
          <w:szCs w:val="16"/>
          <w:lang w:val="es-VE"/>
        </w:rPr>
        <w:t xml:space="preserve"> </w:t>
      </w:r>
    </w:p>
  </w:footnote>
  <w:footnote w:id="94">
    <w:p w14:paraId="391E2E24" w14:textId="1D3EF608" w:rsidR="00837BB9" w:rsidRPr="0069409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El Universal, Firmar contra Chávez es un acto de terrorismo, 21 de marzo de 2004, disponible en: </w:t>
      </w:r>
      <w:hyperlink r:id="rId25" w:history="1">
        <w:r w:rsidRPr="00CF3AED">
          <w:rPr>
            <w:rStyle w:val="Hyperlink"/>
            <w:rFonts w:ascii="Verdana" w:hAnsi="Verdana"/>
            <w:spacing w:val="-12"/>
            <w:sz w:val="16"/>
            <w:szCs w:val="16"/>
            <w:lang w:val="es-VE"/>
          </w:rPr>
          <w:t>http://www.eluniversal.com/2004/03/21/pol_art_21108A.shtml</w:t>
        </w:r>
      </w:hyperlink>
      <w:r w:rsidRPr="00C7142E">
        <w:rPr>
          <w:rFonts w:ascii="Verdana" w:hAnsi="Verdana"/>
          <w:spacing w:val="-12"/>
          <w:sz w:val="16"/>
          <w:szCs w:val="16"/>
          <w:u w:val="single"/>
          <w:lang w:val="es-VE"/>
        </w:rPr>
        <w:t xml:space="preserve"> </w:t>
      </w:r>
      <w:r w:rsidRPr="00C7142E">
        <w:rPr>
          <w:rFonts w:ascii="Verdana" w:hAnsi="Verdana"/>
          <w:spacing w:val="-12"/>
          <w:sz w:val="16"/>
          <w:szCs w:val="16"/>
          <w:highlight w:val="yellow"/>
          <w:lang w:val="es-VE"/>
        </w:rPr>
        <w:t xml:space="preserve"> </w:t>
      </w:r>
    </w:p>
  </w:footnote>
  <w:footnote w:id="95">
    <w:p w14:paraId="1867B026" w14:textId="66BDBBE1" w:rsidR="00837BB9" w:rsidRPr="00CF3AED" w:rsidRDefault="00837BB9" w:rsidP="008349B1">
      <w:pPr>
        <w:pStyle w:val="FootnoteText"/>
        <w:spacing w:before="120" w:after="120"/>
        <w:jc w:val="both"/>
        <w:rPr>
          <w:rFonts w:ascii="Verdana" w:hAnsi="Verdana"/>
          <w:spacing w:val="-12"/>
          <w:sz w:val="16"/>
          <w:szCs w:val="16"/>
          <w:lang w:val="es-CR"/>
        </w:rPr>
      </w:pPr>
      <w:r w:rsidRPr="0012407E">
        <w:rPr>
          <w:rStyle w:val="FootnoteReference"/>
          <w:rFonts w:ascii="Verdana" w:hAnsi="Verdana"/>
          <w:spacing w:val="-12"/>
          <w:sz w:val="16"/>
          <w:szCs w:val="16"/>
        </w:rPr>
        <w:footnoteRef/>
      </w:r>
      <w:r w:rsidRPr="00C7142E">
        <w:rPr>
          <w:rFonts w:ascii="Verdana" w:hAnsi="Verdana"/>
          <w:spacing w:val="-12"/>
          <w:sz w:val="16"/>
          <w:szCs w:val="16"/>
          <w:lang w:val="es-CR"/>
        </w:rPr>
        <w:t xml:space="preserve"> </w:t>
      </w:r>
      <w:r w:rsidRPr="00C7142E">
        <w:rPr>
          <w:rFonts w:ascii="Verdana" w:hAnsi="Verdana"/>
          <w:spacing w:val="-12"/>
          <w:sz w:val="16"/>
          <w:szCs w:val="16"/>
          <w:lang w:val="es-CR"/>
        </w:rPr>
        <w:tab/>
        <w:t xml:space="preserve">Cfr. </w:t>
      </w:r>
      <w:r w:rsidRPr="00C7142E">
        <w:rPr>
          <w:rFonts w:ascii="Verdana" w:hAnsi="Verdana"/>
          <w:spacing w:val="-12"/>
          <w:sz w:val="16"/>
          <w:szCs w:val="16"/>
          <w:lang w:val="es-VE"/>
        </w:rPr>
        <w:t>Nota de prensa, El Universal, 2</w:t>
      </w:r>
      <w:r w:rsidRPr="0069409D">
        <w:rPr>
          <w:rFonts w:ascii="Verdana" w:hAnsi="Verdana"/>
          <w:spacing w:val="-12"/>
          <w:sz w:val="16"/>
          <w:szCs w:val="16"/>
          <w:lang w:val="es-VE"/>
        </w:rPr>
        <w:t>3 de marzo de 2004</w:t>
      </w:r>
      <w:r w:rsidRPr="006C24C0" w:rsidDel="008F3B0A">
        <w:rPr>
          <w:rFonts w:ascii="Verdana" w:hAnsi="Verdana"/>
          <w:spacing w:val="-12"/>
          <w:sz w:val="16"/>
          <w:szCs w:val="16"/>
          <w:lang w:val="es-VE"/>
        </w:rPr>
        <w:t xml:space="preserve"> </w:t>
      </w:r>
      <w:r w:rsidRPr="00CE7020">
        <w:rPr>
          <w:rFonts w:ascii="Verdana" w:hAnsi="Verdana"/>
          <w:spacing w:val="-12"/>
          <w:sz w:val="16"/>
          <w:szCs w:val="16"/>
          <w:lang w:val="es-VE"/>
        </w:rPr>
        <w:t>(</w:t>
      </w:r>
      <w:proofErr w:type="spellStart"/>
      <w:r w:rsidRPr="00773F82">
        <w:rPr>
          <w:rFonts w:ascii="Verdana" w:hAnsi="Verdana"/>
          <w:spacing w:val="-12"/>
          <w:sz w:val="16"/>
          <w:szCs w:val="16"/>
          <w:lang w:val="es-VE"/>
        </w:rPr>
        <w:t>exp</w:t>
      </w:r>
      <w:proofErr w:type="spellEnd"/>
      <w:r w:rsidRPr="00773F82">
        <w:rPr>
          <w:rFonts w:ascii="Verdana" w:hAnsi="Verdana"/>
          <w:spacing w:val="-12"/>
          <w:sz w:val="16"/>
          <w:szCs w:val="16"/>
          <w:lang w:val="es-VE"/>
        </w:rPr>
        <w:t xml:space="preserve">. prueba, </w:t>
      </w:r>
      <w:r w:rsidRPr="00B252EB">
        <w:rPr>
          <w:rFonts w:ascii="Verdana" w:hAnsi="Verdana"/>
          <w:spacing w:val="-12"/>
          <w:sz w:val="16"/>
          <w:szCs w:val="16"/>
          <w:lang w:val="es-VE"/>
        </w:rPr>
        <w:t xml:space="preserve"> f</w:t>
      </w:r>
      <w:r w:rsidRPr="0054215F">
        <w:rPr>
          <w:rFonts w:ascii="Verdana" w:hAnsi="Verdana"/>
          <w:spacing w:val="-12"/>
          <w:sz w:val="16"/>
          <w:szCs w:val="16"/>
          <w:lang w:val="es-VE"/>
        </w:rPr>
        <w:t>olio</w:t>
      </w:r>
      <w:r w:rsidRPr="00CF3AED">
        <w:rPr>
          <w:rFonts w:ascii="Verdana" w:hAnsi="Verdana"/>
          <w:spacing w:val="-12"/>
          <w:sz w:val="16"/>
          <w:szCs w:val="16"/>
          <w:lang w:val="es-VE"/>
        </w:rPr>
        <w:t xml:space="preserve"> 41).</w:t>
      </w:r>
    </w:p>
  </w:footnote>
  <w:footnote w:id="96">
    <w:p w14:paraId="3B2FB275" w14:textId="3CC97E22" w:rsidR="00837BB9" w:rsidRPr="00CE7020"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Nota de prensa, El Universal, 24 de marzo de 2004</w:t>
      </w:r>
      <w:r w:rsidRPr="006C24C0">
        <w:rPr>
          <w:rFonts w:ascii="Verdana" w:hAnsi="Verdana"/>
          <w:spacing w:val="-12"/>
          <w:sz w:val="16"/>
          <w:szCs w:val="16"/>
          <w:lang w:val="es-VE"/>
        </w:rPr>
        <w:t xml:space="preserve"> (</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xml:space="preserve">. prueba, </w:t>
      </w:r>
      <w:r w:rsidRPr="0003211A">
        <w:rPr>
          <w:rFonts w:ascii="Verdana" w:hAnsi="Verdana"/>
          <w:spacing w:val="-12"/>
          <w:sz w:val="16"/>
          <w:szCs w:val="16"/>
          <w:lang w:val="es-VE"/>
        </w:rPr>
        <w:t xml:space="preserve"> folio 38). </w:t>
      </w:r>
    </w:p>
  </w:footnote>
  <w:footnote w:id="97">
    <w:p w14:paraId="5CDD6B02" w14:textId="443B7FD5" w:rsidR="00837BB9" w:rsidRPr="00CF3AED" w:rsidRDefault="00837BB9" w:rsidP="008349B1">
      <w:pPr>
        <w:pStyle w:val="FootnoteText"/>
        <w:spacing w:before="120" w:after="120"/>
        <w:jc w:val="both"/>
        <w:rPr>
          <w:rFonts w:ascii="Verdana" w:hAnsi="Verdana"/>
          <w:i/>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 xml:space="preserve">Cfr. </w:t>
      </w:r>
      <w:r w:rsidRPr="0069409D">
        <w:rPr>
          <w:rFonts w:ascii="Verdana" w:hAnsi="Verdana"/>
          <w:spacing w:val="-12"/>
          <w:sz w:val="16"/>
          <w:szCs w:val="16"/>
          <w:lang w:val="es-ES"/>
        </w:rPr>
        <w:t>CIDH, Informe No. 59/13, Petición 212</w:t>
      </w:r>
      <w:r w:rsidRPr="0069409D">
        <w:rPr>
          <w:rFonts w:ascii="Verdana" w:hAnsi="Verdana"/>
          <w:spacing w:val="-12"/>
          <w:sz w:val="16"/>
          <w:szCs w:val="16"/>
          <w:lang w:val="es-ES"/>
        </w:rPr>
        <w:noBreakHyphen/>
        <w:t xml:space="preserve">06, Admisibilidad, Rocío San Miguel Sosa y otras, Venezuela, 16 de julio de 2013, párr. 16.  </w:t>
      </w:r>
      <w:r w:rsidRPr="00CE7020">
        <w:rPr>
          <w:rFonts w:ascii="Verdana" w:hAnsi="Verdana"/>
          <w:spacing w:val="-12"/>
          <w:sz w:val="16"/>
          <w:szCs w:val="16"/>
          <w:lang w:val="es-ES"/>
        </w:rPr>
        <w:t>En su declaración,</w:t>
      </w:r>
      <w:r>
        <w:rPr>
          <w:rFonts w:ascii="Verdana" w:hAnsi="Verdana"/>
          <w:spacing w:val="-12"/>
          <w:sz w:val="16"/>
          <w:szCs w:val="16"/>
          <w:lang w:val="es-ES"/>
        </w:rPr>
        <w:t xml:space="preserve"> el señor</w:t>
      </w:r>
      <w:r w:rsidRPr="00CE7020">
        <w:rPr>
          <w:rFonts w:ascii="Verdana" w:hAnsi="Verdana"/>
          <w:spacing w:val="-12"/>
          <w:sz w:val="16"/>
          <w:szCs w:val="16"/>
          <w:lang w:val="es-ES"/>
        </w:rPr>
        <w:t xml:space="preserve"> Oscar </w:t>
      </w:r>
      <w:proofErr w:type="spellStart"/>
      <w:r w:rsidRPr="00CE7020">
        <w:rPr>
          <w:rFonts w:ascii="Verdana" w:hAnsi="Verdana"/>
          <w:spacing w:val="-12"/>
          <w:sz w:val="16"/>
          <w:szCs w:val="16"/>
          <w:lang w:val="es-ES"/>
        </w:rPr>
        <w:t>Lucién</w:t>
      </w:r>
      <w:proofErr w:type="spellEnd"/>
      <w:r w:rsidRPr="00CE7020">
        <w:rPr>
          <w:rFonts w:ascii="Verdana" w:hAnsi="Verdana"/>
          <w:spacing w:val="-12"/>
          <w:sz w:val="16"/>
          <w:szCs w:val="16"/>
          <w:lang w:val="es-ES"/>
        </w:rPr>
        <w:t xml:space="preserve"> </w:t>
      </w:r>
      <w:r w:rsidRPr="00773F82">
        <w:rPr>
          <w:rFonts w:ascii="Verdana" w:hAnsi="Verdana"/>
          <w:spacing w:val="-12"/>
          <w:sz w:val="16"/>
          <w:szCs w:val="16"/>
          <w:lang w:val="es-ES"/>
        </w:rPr>
        <w:t xml:space="preserve">refirió </w:t>
      </w:r>
      <w:r w:rsidRPr="00290E0C">
        <w:rPr>
          <w:rFonts w:ascii="Verdana" w:hAnsi="Verdana"/>
          <w:spacing w:val="-12"/>
          <w:sz w:val="16"/>
          <w:szCs w:val="16"/>
          <w:lang w:val="es-ES"/>
        </w:rPr>
        <w:t>que “</w:t>
      </w:r>
      <w:r>
        <w:rPr>
          <w:rFonts w:ascii="Verdana" w:hAnsi="Verdana"/>
          <w:bCs/>
          <w:i/>
          <w:iCs/>
          <w:spacing w:val="-12"/>
          <w:sz w:val="16"/>
          <w:szCs w:val="16"/>
          <w:lang w:val="es-CR"/>
        </w:rPr>
        <w:t>o</w:t>
      </w:r>
      <w:r w:rsidRPr="00B252EB">
        <w:rPr>
          <w:rFonts w:ascii="Verdana" w:hAnsi="Verdana"/>
          <w:bCs/>
          <w:i/>
          <w:iCs/>
          <w:spacing w:val="-12"/>
          <w:sz w:val="16"/>
          <w:szCs w:val="16"/>
          <w:lang w:val="es-CR"/>
        </w:rPr>
        <w:t>tra declaración importante a tenerse en cuenta es la de quien ejercía para ese momento funciones como Ministro de Relaciones Exteriores, Embajador Jesús Ar</w:t>
      </w:r>
      <w:r w:rsidRPr="0054215F">
        <w:rPr>
          <w:rFonts w:ascii="Verdana" w:hAnsi="Verdana"/>
          <w:bCs/>
          <w:i/>
          <w:iCs/>
          <w:spacing w:val="-12"/>
          <w:sz w:val="16"/>
          <w:szCs w:val="16"/>
          <w:lang w:val="es-CR"/>
        </w:rPr>
        <w:t xml:space="preserve">naldo Pérez, quien señaló para marzo de 2004 que serían </w:t>
      </w:r>
      <w:r w:rsidRPr="00D758B5">
        <w:rPr>
          <w:rFonts w:ascii="Verdana" w:hAnsi="Verdana"/>
          <w:bCs/>
          <w:i/>
          <w:iCs/>
          <w:spacing w:val="-12"/>
          <w:sz w:val="16"/>
          <w:szCs w:val="16"/>
        </w:rPr>
        <w:t xml:space="preserve">removidos todos aquellos embajadores y directores generales que “hayan firmado contra el presidente Chávez” (El </w:t>
      </w:r>
      <w:r w:rsidRPr="00CF3AED">
        <w:rPr>
          <w:rFonts w:ascii="Verdana" w:hAnsi="Verdana"/>
          <w:bCs/>
          <w:i/>
          <w:iCs/>
          <w:spacing w:val="-12"/>
          <w:sz w:val="16"/>
          <w:szCs w:val="16"/>
          <w:lang w:val="es-CR"/>
        </w:rPr>
        <w:t>Universal, 30 de marzo de 2004)</w:t>
      </w:r>
      <w:r>
        <w:rPr>
          <w:rFonts w:ascii="Verdana" w:hAnsi="Verdana"/>
          <w:spacing w:val="-12"/>
          <w:sz w:val="16"/>
          <w:szCs w:val="16"/>
          <w:lang w:val="es-ES"/>
        </w:rPr>
        <w:t xml:space="preserve"> (</w:t>
      </w:r>
      <w:proofErr w:type="spellStart"/>
      <w:r>
        <w:rPr>
          <w:rFonts w:ascii="Verdana" w:hAnsi="Verdana"/>
          <w:spacing w:val="-12"/>
          <w:sz w:val="16"/>
          <w:szCs w:val="16"/>
          <w:lang w:val="es-ES"/>
        </w:rPr>
        <w:t>exp</w:t>
      </w:r>
      <w:proofErr w:type="spellEnd"/>
      <w:r>
        <w:rPr>
          <w:rFonts w:ascii="Verdana" w:hAnsi="Verdana"/>
          <w:spacing w:val="-12"/>
          <w:sz w:val="16"/>
          <w:szCs w:val="16"/>
          <w:lang w:val="es-ES"/>
        </w:rPr>
        <w:t xml:space="preserve">. prueba, </w:t>
      </w:r>
      <w:proofErr w:type="spellStart"/>
      <w:r>
        <w:rPr>
          <w:rFonts w:ascii="Verdana" w:hAnsi="Verdana"/>
          <w:spacing w:val="-12"/>
          <w:sz w:val="16"/>
          <w:szCs w:val="16"/>
          <w:lang w:val="es-ES"/>
        </w:rPr>
        <w:t>ff</w:t>
      </w:r>
      <w:proofErr w:type="spellEnd"/>
      <w:r>
        <w:rPr>
          <w:rFonts w:ascii="Verdana" w:hAnsi="Verdana"/>
          <w:spacing w:val="-12"/>
          <w:sz w:val="16"/>
          <w:szCs w:val="16"/>
          <w:lang w:val="es-ES"/>
        </w:rPr>
        <w:t xml:space="preserve">. </w:t>
      </w:r>
      <w:r w:rsidRPr="00CF3AED">
        <w:rPr>
          <w:rFonts w:ascii="Verdana" w:hAnsi="Verdana"/>
          <w:spacing w:val="-12"/>
          <w:sz w:val="16"/>
          <w:szCs w:val="16"/>
          <w:lang w:val="es-ES"/>
        </w:rPr>
        <w:t>3229 a 3230</w:t>
      </w:r>
      <w:r>
        <w:rPr>
          <w:rFonts w:ascii="Verdana" w:hAnsi="Verdana"/>
          <w:spacing w:val="-12"/>
          <w:sz w:val="16"/>
          <w:szCs w:val="16"/>
          <w:lang w:val="es-ES"/>
        </w:rPr>
        <w:t>)</w:t>
      </w:r>
      <w:r w:rsidRPr="00CF3AED">
        <w:rPr>
          <w:rFonts w:ascii="Verdana" w:hAnsi="Verdana"/>
          <w:spacing w:val="-12"/>
          <w:sz w:val="16"/>
          <w:szCs w:val="16"/>
          <w:lang w:val="es-ES"/>
        </w:rPr>
        <w:t>.</w:t>
      </w:r>
    </w:p>
  </w:footnote>
  <w:footnote w:id="98">
    <w:p w14:paraId="355F1753" w14:textId="6A1B86C6" w:rsidR="00837BB9" w:rsidRPr="00C7142E"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6203B0">
        <w:rPr>
          <w:rFonts w:ascii="Verdana" w:hAnsi="Verdana"/>
          <w:i/>
          <w:spacing w:val="-12"/>
          <w:sz w:val="16"/>
          <w:szCs w:val="16"/>
          <w:lang w:val="es-VE"/>
        </w:rPr>
        <w:t>Cfr</w:t>
      </w:r>
      <w:r w:rsidRPr="00FC1D38">
        <w:rPr>
          <w:rFonts w:ascii="Verdana" w:hAnsi="Verdana"/>
          <w:spacing w:val="-12"/>
          <w:sz w:val="16"/>
          <w:szCs w:val="16"/>
          <w:lang w:val="es-VE"/>
        </w:rPr>
        <w:t xml:space="preserve">. </w:t>
      </w:r>
      <w:r w:rsidRPr="000536CF">
        <w:rPr>
          <w:rFonts w:ascii="Verdana" w:hAnsi="Verdana"/>
          <w:i/>
          <w:spacing w:val="-12"/>
          <w:sz w:val="16"/>
          <w:szCs w:val="16"/>
          <w:lang w:val="es-VE"/>
        </w:rPr>
        <w:t xml:space="preserve">Human </w:t>
      </w:r>
      <w:proofErr w:type="spellStart"/>
      <w:r w:rsidRPr="000536CF">
        <w:rPr>
          <w:rFonts w:ascii="Verdana" w:hAnsi="Verdana"/>
          <w:i/>
          <w:spacing w:val="-12"/>
          <w:sz w:val="16"/>
          <w:szCs w:val="16"/>
          <w:lang w:val="es-VE"/>
        </w:rPr>
        <w:t>Rights</w:t>
      </w:r>
      <w:proofErr w:type="spellEnd"/>
      <w:r w:rsidRPr="000536CF">
        <w:rPr>
          <w:rFonts w:ascii="Verdana" w:hAnsi="Verdana"/>
          <w:i/>
          <w:spacing w:val="-12"/>
          <w:sz w:val="16"/>
          <w:szCs w:val="16"/>
          <w:lang w:val="es-VE"/>
        </w:rPr>
        <w:t xml:space="preserve"> </w:t>
      </w:r>
      <w:proofErr w:type="spellStart"/>
      <w:r w:rsidRPr="000536CF">
        <w:rPr>
          <w:rFonts w:ascii="Verdana" w:hAnsi="Verdana"/>
          <w:i/>
          <w:spacing w:val="-12"/>
          <w:sz w:val="16"/>
          <w:szCs w:val="16"/>
          <w:lang w:val="es-VE"/>
        </w:rPr>
        <w:t>Watch</w:t>
      </w:r>
      <w:proofErr w:type="spellEnd"/>
      <w:r w:rsidRPr="000536CF">
        <w:rPr>
          <w:rFonts w:ascii="Verdana" w:hAnsi="Verdana"/>
          <w:spacing w:val="-12"/>
          <w:sz w:val="16"/>
          <w:szCs w:val="16"/>
          <w:lang w:val="es-VE"/>
        </w:rPr>
        <w:t>, “</w:t>
      </w:r>
      <w:r w:rsidRPr="001C16AC">
        <w:rPr>
          <w:rFonts w:ascii="Verdana" w:hAnsi="Verdana"/>
          <w:spacing w:val="-12"/>
          <w:sz w:val="16"/>
          <w:szCs w:val="16"/>
          <w:lang w:val="es-VE"/>
        </w:rPr>
        <w:t>Una década de Chávez, Intolerancia política y oportuni</w:t>
      </w:r>
      <w:r w:rsidRPr="006001C8">
        <w:rPr>
          <w:rFonts w:ascii="Verdana" w:hAnsi="Verdana"/>
          <w:spacing w:val="-12"/>
          <w:sz w:val="16"/>
          <w:szCs w:val="16"/>
          <w:lang w:val="es-VE"/>
        </w:rPr>
        <w:t xml:space="preserve">dades perdidas para el progreso de los derechos humanos en </w:t>
      </w:r>
      <w:r w:rsidRPr="00D55480">
        <w:rPr>
          <w:rFonts w:ascii="Verdana" w:hAnsi="Verdana"/>
          <w:spacing w:val="-12"/>
          <w:sz w:val="16"/>
          <w:szCs w:val="16"/>
          <w:lang w:val="es-VE"/>
        </w:rPr>
        <w:t xml:space="preserve">Venezuela”, </w:t>
      </w:r>
      <w:r w:rsidRPr="0069409D">
        <w:rPr>
          <w:rFonts w:ascii="Verdana" w:hAnsi="Verdana"/>
          <w:spacing w:val="-12"/>
          <w:sz w:val="16"/>
          <w:szCs w:val="16"/>
          <w:lang w:val="es-VE"/>
        </w:rPr>
        <w:t xml:space="preserve">disponible </w:t>
      </w:r>
      <w:r w:rsidRPr="006C24C0">
        <w:rPr>
          <w:rFonts w:ascii="Verdana" w:hAnsi="Verdana"/>
          <w:spacing w:val="-12"/>
          <w:sz w:val="16"/>
          <w:szCs w:val="16"/>
          <w:lang w:val="es-VE"/>
        </w:rPr>
        <w:t>en:</w:t>
      </w:r>
      <w:r w:rsidRPr="003100FE">
        <w:rPr>
          <w:rFonts w:ascii="Verdana" w:hAnsi="Verdana"/>
          <w:spacing w:val="-12"/>
          <w:sz w:val="16"/>
          <w:szCs w:val="16"/>
          <w:lang w:val="es-VE"/>
        </w:rPr>
        <w:t xml:space="preserve"> </w:t>
      </w:r>
      <w:hyperlink r:id="rId26" w:history="1">
        <w:r w:rsidRPr="00CF3AED">
          <w:rPr>
            <w:rStyle w:val="Hyperlink"/>
            <w:rFonts w:ascii="Verdana" w:hAnsi="Verdana"/>
            <w:spacing w:val="-12"/>
            <w:sz w:val="16"/>
            <w:szCs w:val="16"/>
            <w:lang w:val="es-VE"/>
          </w:rPr>
          <w:t>https://www.hrw.org/sites/default/files/reports/venezuela0908spweb_0.pdf</w:t>
        </w:r>
      </w:hyperlink>
      <w:r w:rsidRPr="00C7142E">
        <w:rPr>
          <w:rFonts w:ascii="Verdana" w:hAnsi="Verdana"/>
          <w:spacing w:val="-12"/>
          <w:sz w:val="16"/>
          <w:szCs w:val="16"/>
          <w:lang w:val="es-VE"/>
        </w:rPr>
        <w:t>.</w:t>
      </w:r>
    </w:p>
  </w:footnote>
  <w:footnote w:id="99">
    <w:p w14:paraId="24301E34" w14:textId="3D0E45C1" w:rsidR="00837BB9" w:rsidRPr="007C51D0" w:rsidRDefault="00837BB9" w:rsidP="008349B1">
      <w:pPr>
        <w:pStyle w:val="FootnoteText"/>
        <w:spacing w:before="120" w:after="120"/>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hAnsi="Verdana"/>
          <w:i/>
          <w:spacing w:val="-12"/>
          <w:sz w:val="16"/>
          <w:szCs w:val="16"/>
          <w:lang w:val="es-VE"/>
        </w:rPr>
        <w:t>Cfr</w:t>
      </w:r>
      <w:r w:rsidRPr="00CF3AED">
        <w:rPr>
          <w:rFonts w:ascii="Verdana" w:hAnsi="Verdana"/>
          <w:spacing w:val="-12"/>
          <w:sz w:val="16"/>
          <w:szCs w:val="16"/>
          <w:lang w:val="es-VE"/>
        </w:rPr>
        <w:t xml:space="preserve">. </w:t>
      </w:r>
      <w:r w:rsidRPr="00CF3AED">
        <w:rPr>
          <w:rFonts w:ascii="Verdana" w:hAnsi="Verdana"/>
          <w:i/>
          <w:spacing w:val="-12"/>
          <w:sz w:val="16"/>
          <w:szCs w:val="16"/>
          <w:lang w:val="es-VE"/>
        </w:rPr>
        <w:t xml:space="preserve">Human </w:t>
      </w:r>
      <w:proofErr w:type="spellStart"/>
      <w:r w:rsidRPr="00CF3AED">
        <w:rPr>
          <w:rFonts w:ascii="Verdana" w:hAnsi="Verdana"/>
          <w:i/>
          <w:spacing w:val="-12"/>
          <w:sz w:val="16"/>
          <w:szCs w:val="16"/>
          <w:lang w:val="es-VE"/>
        </w:rPr>
        <w:t>Rights</w:t>
      </w:r>
      <w:proofErr w:type="spellEnd"/>
      <w:r w:rsidRPr="00CF3AED">
        <w:rPr>
          <w:rFonts w:ascii="Verdana" w:hAnsi="Verdana"/>
          <w:i/>
          <w:spacing w:val="-12"/>
          <w:sz w:val="16"/>
          <w:szCs w:val="16"/>
          <w:lang w:val="es-VE"/>
        </w:rPr>
        <w:t xml:space="preserve"> </w:t>
      </w:r>
      <w:proofErr w:type="spellStart"/>
      <w:r w:rsidRPr="00CF3AED">
        <w:rPr>
          <w:rFonts w:ascii="Verdana" w:hAnsi="Verdana"/>
          <w:i/>
          <w:spacing w:val="-12"/>
          <w:sz w:val="16"/>
          <w:szCs w:val="16"/>
          <w:lang w:val="es-VE"/>
        </w:rPr>
        <w:t>Watch</w:t>
      </w:r>
      <w:proofErr w:type="spellEnd"/>
      <w:r w:rsidRPr="006203B0">
        <w:rPr>
          <w:rFonts w:ascii="Verdana" w:hAnsi="Verdana"/>
          <w:spacing w:val="-12"/>
          <w:sz w:val="16"/>
          <w:szCs w:val="16"/>
          <w:lang w:val="es-VE"/>
        </w:rPr>
        <w:t xml:space="preserve">, </w:t>
      </w:r>
      <w:r w:rsidRPr="00FC1D38">
        <w:rPr>
          <w:rFonts w:ascii="Verdana" w:hAnsi="Verdana"/>
          <w:spacing w:val="-12"/>
          <w:sz w:val="16"/>
          <w:szCs w:val="16"/>
          <w:lang w:val="es-VE"/>
        </w:rPr>
        <w:t>“</w:t>
      </w:r>
      <w:r w:rsidRPr="000536CF">
        <w:rPr>
          <w:rFonts w:ascii="Verdana" w:hAnsi="Verdana"/>
          <w:spacing w:val="-12"/>
          <w:sz w:val="16"/>
          <w:szCs w:val="16"/>
          <w:lang w:val="es-VE"/>
        </w:rPr>
        <w:t xml:space="preserve">Una década de Chávez, Intolerancia política y oportunidades perdidas para el progreso de los derechos humanos en </w:t>
      </w:r>
      <w:r w:rsidRPr="001C16AC">
        <w:rPr>
          <w:rFonts w:ascii="Verdana" w:hAnsi="Verdana"/>
          <w:spacing w:val="-12"/>
          <w:sz w:val="16"/>
          <w:szCs w:val="16"/>
          <w:lang w:val="es-VE"/>
        </w:rPr>
        <w:t>Venezuela</w:t>
      </w:r>
      <w:r w:rsidRPr="006001C8">
        <w:rPr>
          <w:rFonts w:ascii="Verdana" w:hAnsi="Verdana"/>
          <w:spacing w:val="-12"/>
          <w:sz w:val="16"/>
          <w:szCs w:val="16"/>
          <w:lang w:val="es-VE"/>
        </w:rPr>
        <w:t xml:space="preserve">”, </w:t>
      </w:r>
      <w:r>
        <w:rPr>
          <w:rFonts w:ascii="Verdana" w:hAnsi="Verdana"/>
          <w:i/>
          <w:spacing w:val="-12"/>
          <w:sz w:val="16"/>
          <w:szCs w:val="16"/>
          <w:lang w:val="es-VE"/>
        </w:rPr>
        <w:t>supra</w:t>
      </w:r>
      <w:r w:rsidRPr="00C7142E">
        <w:rPr>
          <w:rFonts w:ascii="Verdana" w:hAnsi="Verdana"/>
          <w:spacing w:val="-12"/>
          <w:sz w:val="16"/>
          <w:szCs w:val="16"/>
          <w:lang w:val="es-VE"/>
        </w:rPr>
        <w:t>.</w:t>
      </w:r>
    </w:p>
  </w:footnote>
  <w:footnote w:id="100">
    <w:p w14:paraId="745FE03A" w14:textId="1FB4E05E" w:rsidR="00837BB9" w:rsidRPr="007C51D0" w:rsidRDefault="00837BB9" w:rsidP="008349B1">
      <w:pPr>
        <w:pStyle w:val="FootnoteText"/>
        <w:spacing w:before="120" w:after="120"/>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hAnsi="Verdana"/>
          <w:i/>
          <w:spacing w:val="-12"/>
          <w:sz w:val="16"/>
          <w:szCs w:val="16"/>
          <w:lang w:val="es-VE"/>
        </w:rPr>
        <w:t>Cfr.</w:t>
      </w:r>
      <w:r w:rsidRPr="00CF3AED">
        <w:rPr>
          <w:rFonts w:ascii="Verdana" w:hAnsi="Verdana"/>
          <w:spacing w:val="-12"/>
          <w:sz w:val="16"/>
          <w:szCs w:val="16"/>
          <w:lang w:val="es-VE"/>
        </w:rPr>
        <w:t xml:space="preserve"> Asociación Civil Control Ciudadano, Informe sobre la Discriminación Política en Venezuela (2003-2007) Estudio de Casos disponible en:</w:t>
      </w:r>
      <w:r w:rsidRPr="00CF3AED">
        <w:rPr>
          <w:rFonts w:ascii="Verdana" w:hAnsi="Verdana"/>
          <w:spacing w:val="-12"/>
          <w:sz w:val="16"/>
          <w:szCs w:val="16"/>
        </w:rPr>
        <w:t xml:space="preserve"> </w:t>
      </w:r>
      <w:hyperlink r:id="rId27" w:history="1">
        <w:r w:rsidRPr="00CF3AED">
          <w:rPr>
            <w:rStyle w:val="Hyperlink"/>
            <w:rFonts w:ascii="Verdana" w:hAnsi="Verdana"/>
            <w:spacing w:val="-12"/>
            <w:sz w:val="16"/>
            <w:szCs w:val="16"/>
          </w:rPr>
          <w:t>http://www.controlciudadano.org/publicaciones/informe/pdf/Paginas 67-316 Capítulo V.pdf</w:t>
        </w:r>
      </w:hyperlink>
      <w:r w:rsidRPr="00C7142E">
        <w:rPr>
          <w:rFonts w:ascii="Verdana" w:hAnsi="Verdana"/>
          <w:spacing w:val="-12"/>
          <w:sz w:val="16"/>
          <w:szCs w:val="16"/>
          <w:lang w:val="es-VE"/>
        </w:rPr>
        <w:t xml:space="preserve">. </w:t>
      </w:r>
      <w:r w:rsidRPr="0069409D">
        <w:rPr>
          <w:rFonts w:ascii="Verdana" w:hAnsi="Verdana"/>
          <w:spacing w:val="-12"/>
          <w:sz w:val="16"/>
          <w:szCs w:val="16"/>
          <w:lang w:val="es-VE"/>
        </w:rPr>
        <w:t xml:space="preserve">La testigo Maria Gabriela Cuevas señaló que “en el Centro de Derechos Humanos de la Universidad Católica Andrés Bello (CDH-UCAB) tuvimos conocimiento por </w:t>
      </w:r>
      <w:r w:rsidRPr="006C24C0">
        <w:rPr>
          <w:rFonts w:ascii="Verdana" w:hAnsi="Verdana"/>
          <w:spacing w:val="-12"/>
          <w:sz w:val="16"/>
          <w:szCs w:val="16"/>
          <w:lang w:val="es-VE"/>
        </w:rPr>
        <w:t xml:space="preserve">distintos medios, principalmente los medios de comunicación social, de las represalias que se estaban tomando desde el sector oficial contra las personas que habían participado en el proceso de recolección de firmas […] Decidimos ofrecer asesoría jurídica </w:t>
      </w:r>
      <w:r w:rsidRPr="003100FE">
        <w:rPr>
          <w:rFonts w:ascii="Verdana" w:hAnsi="Verdana"/>
          <w:spacing w:val="-12"/>
          <w:sz w:val="16"/>
          <w:szCs w:val="16"/>
          <w:lang w:val="es-VE"/>
        </w:rPr>
        <w:t>a las víctimas de discriminación por motivos políticos. […]</w:t>
      </w:r>
      <w:r w:rsidRPr="0003211A">
        <w:rPr>
          <w:rFonts w:ascii="Verdana" w:hAnsi="Verdana"/>
          <w:spacing w:val="-12"/>
          <w:sz w:val="16"/>
          <w:szCs w:val="16"/>
          <w:lang w:val="es-VE"/>
        </w:rPr>
        <w:t xml:space="preserve"> </w:t>
      </w:r>
      <w:r w:rsidRPr="00CE7020">
        <w:rPr>
          <w:rFonts w:ascii="Verdana" w:hAnsi="Verdana"/>
          <w:spacing w:val="-12"/>
          <w:sz w:val="16"/>
          <w:szCs w:val="16"/>
          <w:lang w:val="es-VE"/>
        </w:rPr>
        <w:t xml:space="preserve">entre esas estuvieron Rocío San Miguel, Thais Peña y </w:t>
      </w:r>
      <w:proofErr w:type="spellStart"/>
      <w:r w:rsidRPr="00CE7020">
        <w:rPr>
          <w:rFonts w:ascii="Verdana" w:hAnsi="Verdana"/>
          <w:spacing w:val="-12"/>
          <w:sz w:val="16"/>
          <w:szCs w:val="16"/>
          <w:lang w:val="es-VE"/>
        </w:rPr>
        <w:t>Magal</w:t>
      </w:r>
      <w:r>
        <w:rPr>
          <w:rFonts w:ascii="Verdana" w:hAnsi="Verdana"/>
          <w:spacing w:val="-12"/>
          <w:sz w:val="16"/>
          <w:szCs w:val="16"/>
          <w:lang w:val="es-VE"/>
        </w:rPr>
        <w:t>l</w:t>
      </w:r>
      <w:r w:rsidRPr="00CE7020">
        <w:rPr>
          <w:rFonts w:ascii="Verdana" w:hAnsi="Verdana"/>
          <w:spacing w:val="-12"/>
          <w:sz w:val="16"/>
          <w:szCs w:val="16"/>
          <w:lang w:val="es-VE"/>
        </w:rPr>
        <w:t>y</w:t>
      </w:r>
      <w:proofErr w:type="spellEnd"/>
      <w:r w:rsidRPr="00CE7020">
        <w:rPr>
          <w:rFonts w:ascii="Verdana" w:hAnsi="Verdana"/>
          <w:spacing w:val="-12"/>
          <w:sz w:val="16"/>
          <w:szCs w:val="16"/>
          <w:lang w:val="es-VE"/>
        </w:rPr>
        <w:t xml:space="preserve"> Chang”. Asimismo, ante una pregunta del Estado sobre cuántas personas acudieron a dicho Centro para denunciar haber sido víctimas de persecución y discriminación política </w:t>
      </w:r>
      <w:r w:rsidRPr="00773F82">
        <w:rPr>
          <w:rFonts w:ascii="Verdana" w:hAnsi="Verdana"/>
          <w:spacing w:val="-12"/>
          <w:sz w:val="16"/>
          <w:szCs w:val="16"/>
          <w:lang w:val="es-VE"/>
        </w:rPr>
        <w:t>por</w:t>
      </w:r>
      <w:r w:rsidRPr="00290E0C">
        <w:rPr>
          <w:rFonts w:ascii="Verdana" w:hAnsi="Verdana"/>
          <w:spacing w:val="-12"/>
          <w:sz w:val="16"/>
          <w:szCs w:val="16"/>
          <w:lang w:val="es-VE"/>
        </w:rPr>
        <w:t xml:space="preserve"> aplicación de la Lista </w:t>
      </w:r>
      <w:proofErr w:type="spellStart"/>
      <w:r w:rsidRPr="00290E0C">
        <w:rPr>
          <w:rFonts w:ascii="Verdana" w:hAnsi="Verdana"/>
          <w:spacing w:val="-12"/>
          <w:sz w:val="16"/>
          <w:szCs w:val="16"/>
          <w:lang w:val="es-VE"/>
        </w:rPr>
        <w:t>Tascón</w:t>
      </w:r>
      <w:proofErr w:type="spellEnd"/>
      <w:r w:rsidRPr="00290E0C">
        <w:rPr>
          <w:rFonts w:ascii="Verdana" w:hAnsi="Verdana"/>
          <w:spacing w:val="-12"/>
          <w:sz w:val="16"/>
          <w:szCs w:val="16"/>
          <w:lang w:val="es-VE"/>
        </w:rPr>
        <w:t>, señaló que “registramos 15 denuncias; en algunos casos, la denuncia recibida involucraba a más de una víctima. Las denuncias incluyeron despedidos, personas que renunciaron bajo presión,</w:t>
      </w:r>
      <w:r w:rsidRPr="00B252EB">
        <w:rPr>
          <w:rFonts w:ascii="Verdana" w:hAnsi="Verdana"/>
          <w:spacing w:val="-12"/>
          <w:sz w:val="16"/>
          <w:szCs w:val="16"/>
          <w:lang w:val="es-VE"/>
        </w:rPr>
        <w:t xml:space="preserve"> personas activas en sus cargos; algunas eran funcionarios de carrera, otras eran funcion</w:t>
      </w:r>
      <w:r w:rsidRPr="0054215F">
        <w:rPr>
          <w:rFonts w:ascii="Verdana" w:hAnsi="Verdana"/>
          <w:spacing w:val="-12"/>
          <w:sz w:val="16"/>
          <w:szCs w:val="16"/>
          <w:lang w:val="es-VE"/>
        </w:rPr>
        <w:t>arios de libre nombramiento y remoción o personas contratadas; también recibimos denuncias de personas no vinculadas laboralmente, pero que fueron discriminadas en la obtención de un servicio público. En un principio pensábamos que acudirían a nosotros muc</w:t>
      </w:r>
      <w:r w:rsidRPr="00D758B5">
        <w:rPr>
          <w:rFonts w:ascii="Verdana" w:hAnsi="Verdana"/>
          <w:spacing w:val="-12"/>
          <w:sz w:val="16"/>
          <w:szCs w:val="16"/>
          <w:lang w:val="es-VE"/>
        </w:rPr>
        <w:t>has más personas, sin embargo, el temor que manifestaban las que asistieron corroboraba que se trataba de un paso muy difícil de dar, pues ya habían sufrido represalias por el sólo hecho de haber ejercido un derecho constitucional, lo que les hacía tener l</w:t>
      </w:r>
      <w:r w:rsidRPr="00CF3AED">
        <w:rPr>
          <w:rFonts w:ascii="Verdana" w:hAnsi="Verdana"/>
          <w:spacing w:val="-12"/>
          <w:sz w:val="16"/>
          <w:szCs w:val="16"/>
          <w:lang w:val="es-VE"/>
        </w:rPr>
        <w:t>a certeza de mayores consecuencias negativas si se atrevían a denunciar”</w:t>
      </w:r>
      <w:r w:rsidRPr="00CF3AED">
        <w:rPr>
          <w:rFonts w:ascii="Verdana" w:hAnsi="Verdana"/>
          <w:b/>
          <w:spacing w:val="-12"/>
          <w:sz w:val="16"/>
          <w:szCs w:val="16"/>
          <w:lang w:val="es-VE"/>
        </w:rPr>
        <w:t xml:space="preserve"> </w:t>
      </w:r>
      <w:r>
        <w:rPr>
          <w:rFonts w:ascii="Verdana" w:hAnsi="Verdana"/>
          <w:spacing w:val="-12"/>
          <w:sz w:val="16"/>
          <w:szCs w:val="16"/>
          <w:lang w:val="es-VE"/>
        </w:rPr>
        <w:t>(</w:t>
      </w:r>
      <w:proofErr w:type="spellStart"/>
      <w:r>
        <w:rPr>
          <w:rFonts w:ascii="Verdana" w:hAnsi="Verdana"/>
          <w:spacing w:val="-12"/>
          <w:sz w:val="16"/>
          <w:szCs w:val="16"/>
          <w:lang w:val="es-VE"/>
        </w:rPr>
        <w:t>exp</w:t>
      </w:r>
      <w:proofErr w:type="spellEnd"/>
      <w:r>
        <w:rPr>
          <w:rFonts w:ascii="Verdana" w:hAnsi="Verdana"/>
          <w:spacing w:val="-12"/>
          <w:sz w:val="16"/>
          <w:szCs w:val="16"/>
          <w:lang w:val="es-VE"/>
        </w:rPr>
        <w:t xml:space="preserve">. prueba, </w:t>
      </w:r>
      <w:proofErr w:type="spellStart"/>
      <w:r>
        <w:rPr>
          <w:rFonts w:ascii="Verdana" w:hAnsi="Verdana"/>
          <w:spacing w:val="-12"/>
          <w:sz w:val="16"/>
          <w:szCs w:val="16"/>
          <w:lang w:val="es-VE"/>
        </w:rPr>
        <w:t>ff</w:t>
      </w:r>
      <w:proofErr w:type="spellEnd"/>
      <w:r>
        <w:rPr>
          <w:rFonts w:ascii="Verdana" w:hAnsi="Verdana"/>
          <w:spacing w:val="-12"/>
          <w:sz w:val="16"/>
          <w:szCs w:val="16"/>
          <w:lang w:val="es-VE"/>
        </w:rPr>
        <w:t xml:space="preserve">. </w:t>
      </w:r>
      <w:r w:rsidRPr="008C6D0C">
        <w:rPr>
          <w:rFonts w:ascii="Verdana" w:hAnsi="Verdana"/>
          <w:spacing w:val="-12"/>
          <w:sz w:val="16"/>
          <w:szCs w:val="16"/>
          <w:lang w:val="es-VE"/>
        </w:rPr>
        <w:t>3123 a 3124).</w:t>
      </w:r>
      <w:r w:rsidRPr="00CF3AED">
        <w:rPr>
          <w:rFonts w:ascii="Verdana" w:hAnsi="Verdana"/>
          <w:b/>
          <w:spacing w:val="-12"/>
          <w:sz w:val="16"/>
          <w:szCs w:val="16"/>
          <w:lang w:val="es-VE"/>
        </w:rPr>
        <w:t xml:space="preserve"> </w:t>
      </w:r>
      <w:r w:rsidRPr="00CF3AED">
        <w:rPr>
          <w:rFonts w:ascii="Verdana" w:hAnsi="Verdana"/>
          <w:spacing w:val="-12"/>
          <w:sz w:val="16"/>
          <w:szCs w:val="16"/>
          <w:lang w:val="es-VE"/>
        </w:rPr>
        <w:t xml:space="preserve">En igual sentido, el testigo Marino Alvarado Betancourt, director de la organización no gubernamental “PROVEA”, indicó que “se empezaron a recibir denuncias tanto en la oficina de Provea como por vía telefónica de personas que afirmaban habían sido despedidas como consecuencia de la llamada Lista </w:t>
      </w:r>
      <w:proofErr w:type="spellStart"/>
      <w:r w:rsidRPr="00CF3AED">
        <w:rPr>
          <w:rFonts w:ascii="Verdana" w:hAnsi="Verdana"/>
          <w:spacing w:val="-12"/>
          <w:sz w:val="16"/>
          <w:szCs w:val="16"/>
          <w:lang w:val="es-VE"/>
        </w:rPr>
        <w:t>Tascón</w:t>
      </w:r>
      <w:proofErr w:type="spellEnd"/>
      <w:r w:rsidRPr="00CF3AED">
        <w:rPr>
          <w:rFonts w:ascii="Verdana" w:hAnsi="Verdana"/>
          <w:spacing w:val="-12"/>
          <w:sz w:val="16"/>
          <w:szCs w:val="16"/>
          <w:lang w:val="es-VE"/>
        </w:rPr>
        <w:t>, […] recibimos aproximadamente ocho denuncias que afectaban a unas treinta personas, casi todas de la ciudad de Caracas o del Estado Miranda por estar la sede de Provea ubicada en Caracas. Unas 12 denuncias fueron recibidas vía telefónica del interior del país”</w:t>
      </w:r>
      <w:r w:rsidRPr="007C51D0">
        <w:rPr>
          <w:rFonts w:ascii="Verdana" w:hAnsi="Verdana"/>
          <w:spacing w:val="-12"/>
          <w:sz w:val="16"/>
          <w:szCs w:val="16"/>
          <w:lang w:val="es-VE"/>
        </w:rPr>
        <w:t xml:space="preserve">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w:t>
      </w:r>
      <w:r w:rsidRPr="007C51D0">
        <w:rPr>
          <w:rFonts w:ascii="Verdana" w:hAnsi="Verdana"/>
          <w:spacing w:val="-12"/>
          <w:sz w:val="16"/>
          <w:szCs w:val="16"/>
          <w:lang w:val="es-VE"/>
        </w:rPr>
        <w:t xml:space="preserve"> folios 3135 a 3136).</w:t>
      </w:r>
      <w:r w:rsidRPr="00CF3AED">
        <w:rPr>
          <w:rFonts w:ascii="Verdana" w:hAnsi="Verdana"/>
          <w:b/>
          <w:spacing w:val="-12"/>
          <w:sz w:val="16"/>
          <w:szCs w:val="16"/>
          <w:lang w:val="es-VE"/>
        </w:rPr>
        <w:t xml:space="preserve"> </w:t>
      </w:r>
      <w:r w:rsidRPr="00CF3AED">
        <w:rPr>
          <w:rFonts w:ascii="Verdana" w:hAnsi="Verdana"/>
          <w:spacing w:val="-12"/>
          <w:sz w:val="16"/>
          <w:szCs w:val="16"/>
          <w:lang w:val="es-VE"/>
        </w:rPr>
        <w:t xml:space="preserve">Ver también declaraciones de </w:t>
      </w:r>
      <w:proofErr w:type="spellStart"/>
      <w:r w:rsidRPr="00CF3AED">
        <w:rPr>
          <w:rFonts w:ascii="Verdana" w:hAnsi="Verdana"/>
          <w:spacing w:val="-12"/>
          <w:sz w:val="16"/>
          <w:szCs w:val="16"/>
          <w:lang w:val="es-VE"/>
        </w:rPr>
        <w:t>Ibéyise</w:t>
      </w:r>
      <w:proofErr w:type="spellEnd"/>
      <w:r w:rsidRPr="00CF3AED">
        <w:rPr>
          <w:rFonts w:ascii="Verdana" w:hAnsi="Verdana"/>
          <w:spacing w:val="-12"/>
          <w:sz w:val="16"/>
          <w:szCs w:val="16"/>
          <w:lang w:val="es-VE"/>
        </w:rPr>
        <w:t xml:space="preserve"> María Pacheco Martini,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xml:space="preserve">. prueba, </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w:t>
      </w:r>
      <w:r w:rsidRPr="001C16AC">
        <w:rPr>
          <w:rFonts w:ascii="Verdana" w:hAnsi="Verdana"/>
          <w:spacing w:val="-12"/>
          <w:sz w:val="16"/>
          <w:szCs w:val="16"/>
          <w:lang w:val="es-VE"/>
        </w:rPr>
        <w:t xml:space="preserve"> </w:t>
      </w:r>
      <w:r w:rsidRPr="00D55480">
        <w:rPr>
          <w:rFonts w:ascii="Verdana" w:hAnsi="Verdana"/>
          <w:spacing w:val="-12"/>
          <w:sz w:val="16"/>
          <w:szCs w:val="16"/>
          <w:lang w:val="es-VE"/>
        </w:rPr>
        <w:t xml:space="preserve">3314), de Thais Peña, </w:t>
      </w:r>
      <w:r w:rsidRPr="009E7E48">
        <w:rPr>
          <w:rFonts w:ascii="Verdana" w:hAnsi="Verdana"/>
          <w:spacing w:val="-12"/>
          <w:sz w:val="16"/>
          <w:szCs w:val="16"/>
          <w:lang w:val="es-VE"/>
        </w:rPr>
        <w:t>(</w:t>
      </w:r>
      <w:proofErr w:type="spellStart"/>
      <w:r w:rsidRPr="008B6122">
        <w:rPr>
          <w:rFonts w:ascii="Verdana" w:hAnsi="Verdana"/>
          <w:spacing w:val="-12"/>
          <w:sz w:val="16"/>
          <w:szCs w:val="16"/>
          <w:lang w:val="es-VE"/>
        </w:rPr>
        <w:t>exp</w:t>
      </w:r>
      <w:proofErr w:type="spellEnd"/>
      <w:r w:rsidRPr="008B6122">
        <w:rPr>
          <w:rFonts w:ascii="Verdana" w:hAnsi="Verdana"/>
          <w:spacing w:val="-12"/>
          <w:sz w:val="16"/>
          <w:szCs w:val="16"/>
          <w:lang w:val="es-VE"/>
        </w:rPr>
        <w:t xml:space="preserve">. prueba,  </w:t>
      </w:r>
      <w:r w:rsidRPr="0012407E">
        <w:rPr>
          <w:rFonts w:ascii="Verdana" w:hAnsi="Verdana"/>
          <w:spacing w:val="-12"/>
          <w:sz w:val="16"/>
          <w:szCs w:val="16"/>
          <w:lang w:val="es-VE"/>
        </w:rPr>
        <w:t>f</w:t>
      </w:r>
      <w:r w:rsidRPr="00C7142E">
        <w:rPr>
          <w:rFonts w:ascii="Verdana" w:hAnsi="Verdana"/>
          <w:spacing w:val="-12"/>
          <w:sz w:val="16"/>
          <w:szCs w:val="16"/>
          <w:lang w:val="es-VE"/>
        </w:rPr>
        <w:t>olio</w:t>
      </w:r>
      <w:r w:rsidRPr="0069409D">
        <w:rPr>
          <w:rFonts w:ascii="Verdana" w:hAnsi="Verdana"/>
          <w:spacing w:val="-12"/>
          <w:sz w:val="16"/>
          <w:szCs w:val="16"/>
          <w:lang w:val="es-VE"/>
        </w:rPr>
        <w:t xml:space="preserve"> </w:t>
      </w:r>
      <w:r w:rsidRPr="006C24C0">
        <w:rPr>
          <w:rFonts w:ascii="Verdana" w:hAnsi="Verdana"/>
          <w:spacing w:val="-12"/>
          <w:sz w:val="16"/>
          <w:szCs w:val="16"/>
          <w:lang w:val="es-VE"/>
        </w:rPr>
        <w:t>3094),</w:t>
      </w:r>
      <w:r w:rsidRPr="003100FE">
        <w:rPr>
          <w:rFonts w:ascii="Verdana" w:hAnsi="Verdana"/>
          <w:spacing w:val="-12"/>
          <w:sz w:val="16"/>
          <w:szCs w:val="16"/>
          <w:lang w:val="es-VE"/>
        </w:rPr>
        <w:t xml:space="preserve"> </w:t>
      </w:r>
      <w:r w:rsidRPr="0003211A">
        <w:rPr>
          <w:rFonts w:ascii="Verdana" w:hAnsi="Verdana"/>
          <w:spacing w:val="-12"/>
          <w:sz w:val="16"/>
          <w:szCs w:val="16"/>
          <w:lang w:val="es-VE"/>
        </w:rPr>
        <w:t xml:space="preserve">y la declaración de Oscar </w:t>
      </w:r>
      <w:proofErr w:type="spellStart"/>
      <w:r w:rsidRPr="0003211A">
        <w:rPr>
          <w:rFonts w:ascii="Verdana" w:hAnsi="Verdana"/>
          <w:spacing w:val="-12"/>
          <w:sz w:val="16"/>
          <w:szCs w:val="16"/>
          <w:lang w:val="es-VE"/>
        </w:rPr>
        <w:t>Lucién</w:t>
      </w:r>
      <w:proofErr w:type="spellEnd"/>
      <w:r w:rsidRPr="0003211A">
        <w:rPr>
          <w:rFonts w:ascii="Verdana" w:hAnsi="Verdana"/>
          <w:spacing w:val="-12"/>
          <w:sz w:val="16"/>
          <w:szCs w:val="16"/>
          <w:lang w:val="es-VE"/>
        </w:rPr>
        <w:t xml:space="preserve">, quien </w:t>
      </w:r>
      <w:r>
        <w:rPr>
          <w:rFonts w:ascii="Verdana" w:hAnsi="Verdana"/>
          <w:spacing w:val="-12"/>
          <w:sz w:val="16"/>
          <w:szCs w:val="16"/>
          <w:lang w:val="es-VE"/>
        </w:rPr>
        <w:t>manifestó</w:t>
      </w:r>
      <w:r w:rsidRPr="0003211A">
        <w:rPr>
          <w:rFonts w:ascii="Verdana" w:hAnsi="Verdana"/>
          <w:spacing w:val="-12"/>
          <w:sz w:val="16"/>
          <w:szCs w:val="16"/>
          <w:lang w:val="es-VE"/>
        </w:rPr>
        <w:t xml:space="preserve"> que “en la </w:t>
      </w:r>
      <w:r w:rsidRPr="00CE7020">
        <w:rPr>
          <w:rFonts w:ascii="Verdana" w:hAnsi="Verdana"/>
          <w:spacing w:val="-12"/>
          <w:sz w:val="16"/>
          <w:szCs w:val="16"/>
          <w:lang w:val="es-VE"/>
        </w:rPr>
        <w:t>época que se realizó [el documental]</w:t>
      </w:r>
      <w:r w:rsidRPr="00773F82">
        <w:rPr>
          <w:rFonts w:ascii="Verdana" w:hAnsi="Verdana"/>
          <w:spacing w:val="-12"/>
          <w:sz w:val="16"/>
          <w:szCs w:val="16"/>
          <w:lang w:val="es-VE"/>
        </w:rPr>
        <w:t xml:space="preserve"> la “Lista, un pueblo bajo sospecha”, literalmente no pasaba un día en que no oía[n] testimonios […]</w:t>
      </w:r>
      <w:r w:rsidRPr="00290E0C">
        <w:rPr>
          <w:rFonts w:ascii="Verdana" w:hAnsi="Verdana"/>
          <w:spacing w:val="-12"/>
          <w:sz w:val="16"/>
          <w:szCs w:val="16"/>
          <w:lang w:val="es-VE"/>
        </w:rPr>
        <w:t xml:space="preserve"> </w:t>
      </w:r>
      <w:r w:rsidRPr="00B252EB">
        <w:rPr>
          <w:rFonts w:ascii="Verdana" w:hAnsi="Verdana"/>
          <w:spacing w:val="-12"/>
          <w:sz w:val="16"/>
          <w:szCs w:val="16"/>
          <w:lang w:val="es-VE"/>
        </w:rPr>
        <w:t xml:space="preserve">de denuncias en los medios, incluso de un desconocido en la calle, víctimas de la aplicación de la Lista </w:t>
      </w:r>
      <w:proofErr w:type="spellStart"/>
      <w:r w:rsidRPr="00B252EB">
        <w:rPr>
          <w:rFonts w:ascii="Verdana" w:hAnsi="Verdana"/>
          <w:spacing w:val="-12"/>
          <w:sz w:val="16"/>
          <w:szCs w:val="16"/>
          <w:lang w:val="es-VE"/>
        </w:rPr>
        <w:t>Tascón</w:t>
      </w:r>
      <w:proofErr w:type="spellEnd"/>
      <w:r w:rsidRPr="00B252EB">
        <w:rPr>
          <w:rFonts w:ascii="Verdana" w:hAnsi="Verdana"/>
          <w:spacing w:val="-12"/>
          <w:sz w:val="16"/>
          <w:szCs w:val="16"/>
          <w:lang w:val="es-VE"/>
        </w:rPr>
        <w:t xml:space="preserve">” </w:t>
      </w:r>
      <w:r w:rsidRPr="007C51D0">
        <w:rPr>
          <w:rFonts w:ascii="Verdana" w:hAnsi="Verdana"/>
          <w:spacing w:val="-12"/>
          <w:sz w:val="16"/>
          <w:szCs w:val="16"/>
          <w:lang w:val="es-VE"/>
        </w:rPr>
        <w:t xml:space="preserve">(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w:t>
      </w:r>
      <w:r w:rsidRPr="007C51D0">
        <w:rPr>
          <w:rFonts w:ascii="Verdana" w:hAnsi="Verdana"/>
          <w:spacing w:val="-12"/>
          <w:sz w:val="16"/>
          <w:szCs w:val="16"/>
          <w:lang w:val="es-VE"/>
        </w:rPr>
        <w:t xml:space="preserve"> folio 3232).</w:t>
      </w:r>
    </w:p>
  </w:footnote>
  <w:footnote w:id="101">
    <w:p w14:paraId="02BBF740" w14:textId="39AABE17" w:rsidR="00837BB9" w:rsidRPr="00B252EB" w:rsidRDefault="00837BB9" w:rsidP="008349B1">
      <w:pPr>
        <w:spacing w:before="120" w:after="120" w:line="240" w:lineRule="auto"/>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CF3AED">
        <w:rPr>
          <w:rFonts w:ascii="Verdana" w:hAnsi="Verdana"/>
          <w:i/>
          <w:spacing w:val="-12"/>
          <w:sz w:val="16"/>
          <w:szCs w:val="16"/>
          <w:lang w:val="es-VE"/>
        </w:rPr>
        <w:t>Cfr.</w:t>
      </w:r>
      <w:r w:rsidRPr="00CF3AED">
        <w:rPr>
          <w:rFonts w:ascii="Verdana" w:hAnsi="Verdana"/>
          <w:spacing w:val="-12"/>
          <w:sz w:val="16"/>
          <w:szCs w:val="16"/>
          <w:lang w:val="es-VE"/>
        </w:rPr>
        <w:t xml:space="preserve"> Compilación de artículos de prensa sobre denuncias de represalias por la firma de la solicitud de referendo revocatorio presidencial (</w:t>
      </w:r>
      <w:proofErr w:type="spellStart"/>
      <w:r w:rsidRPr="00FC1D38">
        <w:rPr>
          <w:rFonts w:ascii="Verdana" w:hAnsi="Verdana"/>
          <w:spacing w:val="-12"/>
          <w:sz w:val="16"/>
          <w:szCs w:val="16"/>
          <w:lang w:val="es-VE"/>
        </w:rPr>
        <w:t>exp</w:t>
      </w:r>
      <w:proofErr w:type="spellEnd"/>
      <w:r w:rsidRPr="00FC1D38">
        <w:rPr>
          <w:rFonts w:ascii="Verdana" w:hAnsi="Verdana"/>
          <w:spacing w:val="-12"/>
          <w:sz w:val="16"/>
          <w:szCs w:val="16"/>
          <w:lang w:val="es-VE"/>
        </w:rPr>
        <w:t>. prueba</w:t>
      </w:r>
      <w:r w:rsidRPr="000536CF">
        <w:rPr>
          <w:rFonts w:ascii="Verdana" w:hAnsi="Verdana"/>
          <w:spacing w:val="-12"/>
          <w:sz w:val="16"/>
          <w:szCs w:val="16"/>
          <w:lang w:val="es-VE"/>
        </w:rPr>
        <w:t xml:space="preserve"> folios</w:t>
      </w:r>
      <w:r w:rsidRPr="001C16AC">
        <w:rPr>
          <w:rFonts w:ascii="Verdana" w:hAnsi="Verdana"/>
          <w:spacing w:val="-12"/>
          <w:sz w:val="16"/>
          <w:szCs w:val="16"/>
          <w:lang w:val="es-VE"/>
        </w:rPr>
        <w:t xml:space="preserve"> 15</w:t>
      </w:r>
      <w:r w:rsidRPr="006001C8">
        <w:rPr>
          <w:rFonts w:ascii="Verdana" w:hAnsi="Verdana"/>
          <w:spacing w:val="-12"/>
          <w:sz w:val="16"/>
          <w:szCs w:val="16"/>
          <w:lang w:val="es-VE"/>
        </w:rPr>
        <w:t xml:space="preserve"> a</w:t>
      </w:r>
      <w:r w:rsidRPr="00D55480">
        <w:rPr>
          <w:rFonts w:ascii="Verdana" w:hAnsi="Verdana"/>
          <w:spacing w:val="-12"/>
          <w:sz w:val="16"/>
          <w:szCs w:val="16"/>
          <w:lang w:val="es-VE"/>
        </w:rPr>
        <w:t xml:space="preserve">169). </w:t>
      </w:r>
      <w:r>
        <w:rPr>
          <w:rFonts w:ascii="Verdana" w:hAnsi="Verdana"/>
          <w:spacing w:val="-12"/>
          <w:sz w:val="16"/>
          <w:szCs w:val="16"/>
          <w:lang w:val="es-VE"/>
        </w:rPr>
        <w:t>Ver también la d</w:t>
      </w:r>
      <w:r w:rsidRPr="00C7142E">
        <w:rPr>
          <w:rFonts w:ascii="Verdana" w:hAnsi="Verdana"/>
          <w:spacing w:val="-12"/>
          <w:sz w:val="16"/>
          <w:szCs w:val="16"/>
          <w:lang w:val="es-VE"/>
        </w:rPr>
        <w:t xml:space="preserve">eclaración de </w:t>
      </w:r>
      <w:proofErr w:type="spellStart"/>
      <w:r w:rsidRPr="00C7142E">
        <w:rPr>
          <w:rFonts w:ascii="Verdana" w:hAnsi="Verdana"/>
          <w:spacing w:val="-12"/>
          <w:sz w:val="16"/>
          <w:szCs w:val="16"/>
          <w:lang w:val="es-VE"/>
        </w:rPr>
        <w:t>Ibéyise</w:t>
      </w:r>
      <w:proofErr w:type="spellEnd"/>
      <w:r w:rsidRPr="00C7142E">
        <w:rPr>
          <w:rFonts w:ascii="Verdana" w:hAnsi="Verdana"/>
          <w:spacing w:val="-12"/>
          <w:sz w:val="16"/>
          <w:szCs w:val="16"/>
          <w:lang w:val="es-VE"/>
        </w:rPr>
        <w:t xml:space="preserve"> María Pacheco Martini (</w:t>
      </w:r>
      <w:proofErr w:type="spellStart"/>
      <w:r w:rsidRPr="0069409D">
        <w:rPr>
          <w:rFonts w:ascii="Verdana" w:hAnsi="Verdana"/>
          <w:spacing w:val="-12"/>
          <w:sz w:val="16"/>
          <w:szCs w:val="16"/>
          <w:lang w:val="es-VE"/>
        </w:rPr>
        <w:t>exp</w:t>
      </w:r>
      <w:proofErr w:type="spellEnd"/>
      <w:r w:rsidRPr="0069409D">
        <w:rPr>
          <w:rFonts w:ascii="Verdana" w:hAnsi="Verdana"/>
          <w:spacing w:val="-12"/>
          <w:sz w:val="16"/>
          <w:szCs w:val="16"/>
          <w:lang w:val="es-VE"/>
        </w:rPr>
        <w:t xml:space="preserve">. prueba,  </w:t>
      </w:r>
      <w:proofErr w:type="spellStart"/>
      <w:r>
        <w:rPr>
          <w:rFonts w:ascii="Verdana" w:hAnsi="Verdana"/>
          <w:spacing w:val="-12"/>
          <w:sz w:val="16"/>
          <w:szCs w:val="16"/>
          <w:lang w:val="es-VE"/>
        </w:rPr>
        <w:t>ff</w:t>
      </w:r>
      <w:proofErr w:type="spellEnd"/>
      <w:r>
        <w:rPr>
          <w:rFonts w:ascii="Verdana" w:hAnsi="Verdana"/>
          <w:spacing w:val="-12"/>
          <w:sz w:val="16"/>
          <w:szCs w:val="16"/>
          <w:lang w:val="es-VE"/>
        </w:rPr>
        <w:t>.</w:t>
      </w:r>
      <w:r w:rsidRPr="00CE7020">
        <w:rPr>
          <w:rFonts w:ascii="Verdana" w:hAnsi="Verdana"/>
          <w:spacing w:val="-12"/>
          <w:sz w:val="16"/>
          <w:szCs w:val="16"/>
          <w:lang w:val="es-VE"/>
        </w:rPr>
        <w:t xml:space="preserve"> </w:t>
      </w:r>
      <w:r w:rsidRPr="00290E0C">
        <w:rPr>
          <w:rFonts w:ascii="Verdana" w:hAnsi="Verdana"/>
          <w:spacing w:val="-12"/>
          <w:sz w:val="16"/>
          <w:szCs w:val="16"/>
          <w:lang w:val="es-VE"/>
        </w:rPr>
        <w:t>3114 a 3115).</w:t>
      </w:r>
    </w:p>
  </w:footnote>
  <w:footnote w:id="102">
    <w:p w14:paraId="2752A0F0" w14:textId="38120F50"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Nota de prensa, El Universal, Coletazos del </w:t>
      </w:r>
      <w:proofErr w:type="spellStart"/>
      <w:r w:rsidRPr="0069409D">
        <w:rPr>
          <w:rFonts w:ascii="Verdana" w:hAnsi="Verdana"/>
          <w:spacing w:val="-12"/>
          <w:sz w:val="16"/>
          <w:szCs w:val="16"/>
          <w:lang w:val="es-VE"/>
        </w:rPr>
        <w:t>Reafirmazo</w:t>
      </w:r>
      <w:proofErr w:type="spellEnd"/>
      <w:r w:rsidRPr="0069409D">
        <w:rPr>
          <w:rFonts w:ascii="Verdana" w:hAnsi="Verdana"/>
          <w:spacing w:val="-12"/>
          <w:sz w:val="16"/>
          <w:szCs w:val="16"/>
          <w:lang w:val="es-VE"/>
        </w:rPr>
        <w:t xml:space="preserve">, 1909 petroleros bajo presión laboral, 18 de marzo de 2004, disponible en: </w:t>
      </w:r>
      <w:hyperlink r:id="rId28" w:history="1">
        <w:r w:rsidRPr="00CF3AED">
          <w:rPr>
            <w:rStyle w:val="Hyperlink"/>
            <w:rFonts w:ascii="Verdana" w:hAnsi="Verdana"/>
            <w:spacing w:val="-12"/>
            <w:sz w:val="16"/>
            <w:szCs w:val="16"/>
            <w:lang w:val="es-VE"/>
          </w:rPr>
          <w:t>http://www.eluniversal.com/2004/03/18/imp_eco_art_18166A.shtml</w:t>
        </w:r>
      </w:hyperlink>
      <w:r w:rsidRPr="00C7142E">
        <w:rPr>
          <w:rFonts w:ascii="Verdana" w:hAnsi="Verdana"/>
          <w:spacing w:val="-12"/>
          <w:sz w:val="16"/>
          <w:szCs w:val="16"/>
          <w:lang w:val="es-VE"/>
        </w:rPr>
        <w:t xml:space="preserve">. </w:t>
      </w:r>
      <w:r w:rsidRPr="0069409D">
        <w:rPr>
          <w:rFonts w:ascii="Verdana" w:hAnsi="Verdana"/>
          <w:spacing w:val="-12"/>
          <w:sz w:val="16"/>
          <w:szCs w:val="16"/>
          <w:lang w:val="es-VE"/>
        </w:rPr>
        <w:t xml:space="preserve">Según un informe de la organización </w:t>
      </w:r>
      <w:r w:rsidRPr="0069409D">
        <w:rPr>
          <w:rFonts w:ascii="Verdana" w:hAnsi="Verdana"/>
          <w:i/>
          <w:spacing w:val="-12"/>
          <w:sz w:val="16"/>
          <w:szCs w:val="16"/>
          <w:lang w:val="es-VE"/>
        </w:rPr>
        <w:t xml:space="preserve">Human </w:t>
      </w:r>
      <w:proofErr w:type="spellStart"/>
      <w:r w:rsidRPr="0069409D">
        <w:rPr>
          <w:rFonts w:ascii="Verdana" w:hAnsi="Verdana"/>
          <w:i/>
          <w:spacing w:val="-12"/>
          <w:sz w:val="16"/>
          <w:szCs w:val="16"/>
          <w:lang w:val="es-VE"/>
        </w:rPr>
        <w:t>Rights</w:t>
      </w:r>
      <w:proofErr w:type="spellEnd"/>
      <w:r w:rsidRPr="0069409D">
        <w:rPr>
          <w:rFonts w:ascii="Verdana" w:hAnsi="Verdana"/>
          <w:i/>
          <w:spacing w:val="-12"/>
          <w:sz w:val="16"/>
          <w:szCs w:val="16"/>
          <w:lang w:val="es-VE"/>
        </w:rPr>
        <w:t xml:space="preserve"> </w:t>
      </w:r>
      <w:proofErr w:type="spellStart"/>
      <w:r w:rsidRPr="0069409D">
        <w:rPr>
          <w:rFonts w:ascii="Verdana" w:hAnsi="Verdana"/>
          <w:i/>
          <w:spacing w:val="-12"/>
          <w:sz w:val="16"/>
          <w:szCs w:val="16"/>
          <w:lang w:val="es-VE"/>
        </w:rPr>
        <w:t>Watch</w:t>
      </w:r>
      <w:proofErr w:type="spellEnd"/>
      <w:r w:rsidRPr="006C24C0">
        <w:rPr>
          <w:rFonts w:ascii="Verdana" w:hAnsi="Verdana"/>
          <w:spacing w:val="-12"/>
          <w:sz w:val="16"/>
          <w:szCs w:val="16"/>
          <w:lang w:val="es-VE"/>
        </w:rPr>
        <w:t xml:space="preserve"> “algunos empleados de PDVSA denun</w:t>
      </w:r>
      <w:r w:rsidRPr="003100FE">
        <w:rPr>
          <w:rFonts w:ascii="Verdana" w:hAnsi="Verdana"/>
          <w:spacing w:val="-12"/>
          <w:sz w:val="16"/>
          <w:szCs w:val="16"/>
          <w:lang w:val="es-VE"/>
        </w:rPr>
        <w:t>ciaron más tarde a la prensa que habían sido despedidos y que, cuando preguntaron el motivo, se les dijo que era porque habían firmado la petición de referendo”</w:t>
      </w:r>
      <w:r w:rsidRPr="0003211A">
        <w:rPr>
          <w:rFonts w:ascii="Verdana" w:hAnsi="Verdana"/>
          <w:spacing w:val="-12"/>
          <w:sz w:val="16"/>
          <w:szCs w:val="16"/>
          <w:lang w:val="es-VE"/>
        </w:rPr>
        <w:t xml:space="preserve"> (</w:t>
      </w:r>
      <w:r w:rsidRPr="00CE7020">
        <w:rPr>
          <w:rFonts w:ascii="Verdana" w:hAnsi="Verdana"/>
          <w:i/>
          <w:spacing w:val="-12"/>
          <w:sz w:val="16"/>
          <w:szCs w:val="16"/>
          <w:lang w:val="es-VE"/>
        </w:rPr>
        <w:t>Cfr</w:t>
      </w:r>
      <w:r w:rsidRPr="00CE7020">
        <w:rPr>
          <w:rFonts w:ascii="Verdana" w:hAnsi="Verdana"/>
          <w:spacing w:val="-12"/>
          <w:sz w:val="16"/>
          <w:szCs w:val="16"/>
          <w:lang w:val="es-VE"/>
        </w:rPr>
        <w:t xml:space="preserve">. </w:t>
      </w:r>
      <w:r w:rsidRPr="00773F82">
        <w:rPr>
          <w:rFonts w:ascii="Verdana" w:hAnsi="Verdana"/>
          <w:i/>
          <w:spacing w:val="-12"/>
          <w:sz w:val="16"/>
          <w:szCs w:val="16"/>
          <w:lang w:val="es-VE"/>
        </w:rPr>
        <w:t xml:space="preserve">Human </w:t>
      </w:r>
      <w:proofErr w:type="spellStart"/>
      <w:r w:rsidRPr="00773F82">
        <w:rPr>
          <w:rFonts w:ascii="Verdana" w:hAnsi="Verdana"/>
          <w:i/>
          <w:spacing w:val="-12"/>
          <w:sz w:val="16"/>
          <w:szCs w:val="16"/>
          <w:lang w:val="es-VE"/>
        </w:rPr>
        <w:t>Rights</w:t>
      </w:r>
      <w:proofErr w:type="spellEnd"/>
      <w:r w:rsidRPr="00773F82">
        <w:rPr>
          <w:rFonts w:ascii="Verdana" w:hAnsi="Verdana"/>
          <w:i/>
          <w:spacing w:val="-12"/>
          <w:sz w:val="16"/>
          <w:szCs w:val="16"/>
          <w:lang w:val="es-VE"/>
        </w:rPr>
        <w:t xml:space="preserve"> </w:t>
      </w:r>
      <w:proofErr w:type="spellStart"/>
      <w:r w:rsidRPr="00773F82">
        <w:rPr>
          <w:rFonts w:ascii="Verdana" w:hAnsi="Verdana"/>
          <w:i/>
          <w:spacing w:val="-12"/>
          <w:sz w:val="16"/>
          <w:szCs w:val="16"/>
          <w:lang w:val="es-VE"/>
        </w:rPr>
        <w:t>Watch</w:t>
      </w:r>
      <w:proofErr w:type="spellEnd"/>
      <w:r w:rsidRPr="00290E0C">
        <w:rPr>
          <w:rFonts w:ascii="Verdana" w:hAnsi="Verdana"/>
          <w:spacing w:val="-12"/>
          <w:sz w:val="16"/>
          <w:szCs w:val="16"/>
          <w:lang w:val="es-VE"/>
        </w:rPr>
        <w:t xml:space="preserve">, </w:t>
      </w:r>
      <w:r w:rsidRPr="00B252EB">
        <w:rPr>
          <w:rFonts w:ascii="Verdana" w:hAnsi="Verdana"/>
          <w:spacing w:val="-12"/>
          <w:sz w:val="16"/>
          <w:szCs w:val="16"/>
          <w:lang w:val="es-VE"/>
        </w:rPr>
        <w:t>“Una década de Chávez, Intolerancia política y oportunidades perdidas para el progreso de los derechos humanos en Venezuela”,</w:t>
      </w:r>
      <w:r>
        <w:rPr>
          <w:rFonts w:ascii="Verdana" w:hAnsi="Verdana"/>
          <w:spacing w:val="-12"/>
          <w:sz w:val="16"/>
          <w:szCs w:val="16"/>
          <w:lang w:val="es-VE"/>
        </w:rPr>
        <w:t xml:space="preserve"> </w:t>
      </w:r>
      <w:r w:rsidRPr="00D758B5">
        <w:rPr>
          <w:rFonts w:ascii="Verdana" w:hAnsi="Verdana"/>
          <w:i/>
          <w:spacing w:val="-12"/>
          <w:sz w:val="16"/>
          <w:szCs w:val="16"/>
          <w:lang w:val="es-VE"/>
        </w:rPr>
        <w:t>supra,</w:t>
      </w:r>
      <w:r w:rsidRPr="00CF3AED">
        <w:rPr>
          <w:rFonts w:ascii="Verdana" w:hAnsi="Verdana"/>
          <w:spacing w:val="-12"/>
          <w:sz w:val="16"/>
          <w:szCs w:val="16"/>
          <w:lang w:val="es-VE"/>
        </w:rPr>
        <w:t xml:space="preserve"> pág. 20</w:t>
      </w:r>
      <w:r>
        <w:rPr>
          <w:rFonts w:ascii="Verdana" w:hAnsi="Verdana"/>
          <w:spacing w:val="-12"/>
          <w:sz w:val="16"/>
          <w:szCs w:val="16"/>
          <w:lang w:val="es-VE"/>
        </w:rPr>
        <w:t>)</w:t>
      </w:r>
      <w:r w:rsidRPr="00CF3AED">
        <w:rPr>
          <w:rFonts w:ascii="Verdana" w:hAnsi="Verdana"/>
          <w:spacing w:val="-12"/>
          <w:sz w:val="16"/>
          <w:szCs w:val="16"/>
          <w:lang w:val="es-VE"/>
        </w:rPr>
        <w:t>.</w:t>
      </w:r>
      <w:r w:rsidRPr="0069409D">
        <w:rPr>
          <w:rFonts w:ascii="Verdana" w:hAnsi="Verdana"/>
          <w:spacing w:val="-12"/>
          <w:sz w:val="16"/>
          <w:szCs w:val="16"/>
          <w:lang w:val="es-VE"/>
        </w:rPr>
        <w:t xml:space="preserve"> A su</w:t>
      </w:r>
      <w:r w:rsidRPr="006C24C0">
        <w:rPr>
          <w:rFonts w:ascii="Verdana" w:hAnsi="Verdana"/>
          <w:spacing w:val="-12"/>
          <w:sz w:val="16"/>
          <w:szCs w:val="16"/>
          <w:lang w:val="es-VE"/>
        </w:rPr>
        <w:t xml:space="preserve"> vez</w:t>
      </w:r>
      <w:r w:rsidRPr="003100FE">
        <w:rPr>
          <w:rFonts w:ascii="Verdana" w:hAnsi="Verdana"/>
          <w:spacing w:val="-12"/>
          <w:sz w:val="16"/>
          <w:szCs w:val="16"/>
          <w:lang w:val="es-VE"/>
        </w:rPr>
        <w:t xml:space="preserve">, en su declaración escrita </w:t>
      </w:r>
      <w:r w:rsidRPr="0003211A">
        <w:rPr>
          <w:rFonts w:ascii="Verdana" w:hAnsi="Verdana"/>
          <w:spacing w:val="-12"/>
          <w:sz w:val="16"/>
          <w:szCs w:val="16"/>
          <w:lang w:val="es-VE"/>
        </w:rPr>
        <w:t>ante</w:t>
      </w:r>
      <w:r w:rsidRPr="00CE7020">
        <w:rPr>
          <w:rFonts w:ascii="Verdana" w:hAnsi="Verdana"/>
          <w:spacing w:val="-12"/>
          <w:sz w:val="16"/>
          <w:szCs w:val="16"/>
          <w:lang w:val="es-VE"/>
        </w:rPr>
        <w:t xml:space="preserve"> la Corte, el testigo Froilán Alejandro Barrios Nieves también precisó que “el antecedente más notorio de discriminación política fue el despido de más de 22.000 trabajadores de la i</w:t>
      </w:r>
      <w:r w:rsidRPr="00773F82">
        <w:rPr>
          <w:rFonts w:ascii="Verdana" w:hAnsi="Verdana"/>
          <w:spacing w:val="-12"/>
          <w:sz w:val="16"/>
          <w:szCs w:val="16"/>
          <w:lang w:val="es-VE"/>
        </w:rPr>
        <w:t>ndustria petrolera (PDVSA) por haber p</w:t>
      </w:r>
      <w:r w:rsidRPr="00290E0C">
        <w:rPr>
          <w:rFonts w:ascii="Verdana" w:hAnsi="Verdana"/>
          <w:spacing w:val="-12"/>
          <w:sz w:val="16"/>
          <w:szCs w:val="16"/>
          <w:lang w:val="es-VE"/>
        </w:rPr>
        <w:t>articipado en el paro cívico nacional de 2002 – 2003, a quienes no se les reconoció ni prestaciones sociales, ni cajas de ahorro, ningún beneficio laboral hasta el presente. Y con relación al caso de los trabajadores públicos, desde el momento que se inici</w:t>
      </w:r>
      <w:r w:rsidRPr="00B252EB">
        <w:rPr>
          <w:rFonts w:ascii="Verdana" w:hAnsi="Verdana"/>
          <w:spacing w:val="-12"/>
          <w:sz w:val="16"/>
          <w:szCs w:val="16"/>
          <w:lang w:val="es-VE"/>
        </w:rPr>
        <w:t>ó un movimiento de recolección de firmas a mediados de 2003”</w:t>
      </w:r>
      <w:r>
        <w:rPr>
          <w:rFonts w:ascii="Verdana" w:hAnsi="Verdana"/>
          <w:spacing w:val="-12"/>
          <w:sz w:val="16"/>
          <w:szCs w:val="16"/>
          <w:lang w:val="es-VE"/>
        </w:rPr>
        <w:t xml:space="preserve"> (</w:t>
      </w:r>
      <w:proofErr w:type="spellStart"/>
      <w:r>
        <w:rPr>
          <w:rFonts w:ascii="Verdana" w:hAnsi="Verdana"/>
          <w:spacing w:val="-12"/>
          <w:sz w:val="16"/>
          <w:szCs w:val="16"/>
          <w:lang w:val="es-VE"/>
        </w:rPr>
        <w:t>exp</w:t>
      </w:r>
      <w:proofErr w:type="spellEnd"/>
      <w:r>
        <w:rPr>
          <w:rFonts w:ascii="Verdana" w:hAnsi="Verdana"/>
          <w:spacing w:val="-12"/>
          <w:sz w:val="16"/>
          <w:szCs w:val="16"/>
          <w:lang w:val="es-VE"/>
        </w:rPr>
        <w:t>. prueba, folios 3149 a 3157)</w:t>
      </w:r>
      <w:r w:rsidRPr="00B252EB">
        <w:rPr>
          <w:rFonts w:ascii="Verdana" w:hAnsi="Verdana"/>
          <w:spacing w:val="-12"/>
          <w:sz w:val="16"/>
          <w:szCs w:val="16"/>
          <w:lang w:val="es-VE"/>
        </w:rPr>
        <w:t xml:space="preserve">. </w:t>
      </w:r>
      <w:r w:rsidRPr="00CF3AED">
        <w:rPr>
          <w:rFonts w:ascii="Verdana" w:hAnsi="Verdana"/>
          <w:spacing w:val="-12"/>
          <w:sz w:val="16"/>
          <w:szCs w:val="16"/>
          <w:lang w:val="es-VE"/>
        </w:rPr>
        <w:t xml:space="preserve"> En relación con los alegados despidos en PDVSA, el testigo Horacio Medina</w:t>
      </w:r>
      <w:r>
        <w:rPr>
          <w:rFonts w:ascii="Verdana" w:hAnsi="Verdana"/>
          <w:spacing w:val="-12"/>
          <w:sz w:val="16"/>
          <w:szCs w:val="16"/>
          <w:lang w:val="es-VE"/>
        </w:rPr>
        <w:t xml:space="preserve"> señaló que</w:t>
      </w:r>
      <w:r w:rsidRPr="00CF3AED">
        <w:rPr>
          <w:rFonts w:ascii="Verdana" w:hAnsi="Verdana"/>
          <w:spacing w:val="-12"/>
          <w:sz w:val="16"/>
          <w:szCs w:val="16"/>
          <w:lang w:val="es-VE"/>
        </w:rPr>
        <w:t xml:space="preserve"> “el régimen no realizó ningún tipo de distinción. Fueron despedidas mujeres embarazadas, o de permiso pre o post natal, así como personal que estaba en proceso de jubilación, en vacaciones, de permiso médico, enfermos hospitalizados, personal becado (realizando cursos en el exterior o dentro del país), viviendo en campos petroleros, todos desarrollando actividades propia de la industria petrolera, algunas de ellas de alta peligrosidad, etc. Se nos imputó una “falta de probidad” que jamás el patrono demostró previamente a la consumación del despido, ni cuál era su carga procesal y que manchó nuestra hoja de vida y nos señaló socialmente como enemigos del país […] a excepción de los primeros 8 despedidos ocurridos el 13 de diciembre de 2002, en los cuales estoy incluido, el régimen despidió a los trabajadores por listas de prensa. El estimado más preciso que tenemos en </w:t>
      </w:r>
      <w:proofErr w:type="spellStart"/>
      <w:r w:rsidRPr="00CF3AED">
        <w:rPr>
          <w:rFonts w:ascii="Verdana" w:hAnsi="Verdana"/>
          <w:spacing w:val="-12"/>
          <w:sz w:val="16"/>
          <w:szCs w:val="16"/>
          <w:lang w:val="es-VE"/>
        </w:rPr>
        <w:t>Unapetrol</w:t>
      </w:r>
      <w:proofErr w:type="spellEnd"/>
      <w:r w:rsidRPr="00CF3AED">
        <w:rPr>
          <w:rFonts w:ascii="Verdana" w:hAnsi="Verdana"/>
          <w:spacing w:val="-12"/>
          <w:sz w:val="16"/>
          <w:szCs w:val="16"/>
          <w:lang w:val="es-VE"/>
        </w:rPr>
        <w:t xml:space="preserve">, […] es de 23 mil trabajadores al incluir los despedidos </w:t>
      </w:r>
      <w:proofErr w:type="spellStart"/>
      <w:r w:rsidRPr="00CF3AED">
        <w:rPr>
          <w:rFonts w:ascii="Verdana" w:hAnsi="Verdana"/>
          <w:spacing w:val="-12"/>
          <w:sz w:val="16"/>
          <w:szCs w:val="16"/>
          <w:lang w:val="es-VE"/>
        </w:rPr>
        <w:t>Intesa</w:t>
      </w:r>
      <w:proofErr w:type="spellEnd"/>
      <w:r w:rsidRPr="00CF3AED">
        <w:rPr>
          <w:rFonts w:ascii="Verdana" w:hAnsi="Verdana"/>
          <w:spacing w:val="-12"/>
          <w:sz w:val="16"/>
          <w:szCs w:val="16"/>
          <w:lang w:val="es-VE"/>
        </w:rPr>
        <w:t xml:space="preserve">”.  En ese mismo sentido, el testigo Eddie Ramírez declaró que “el 13 de diciembre PDVSA inició los despidos mediante anuncios de prensa. De una nómina total de 39.354 trabajadores, despidieron al 67% de los directivos y gerentes, 67% del personal profesional, técnico y supervisor, 29% de los operadores y artesanos y 27% de operadores y mantenedores, para un subtotal de 18.752 trabajadores despedidos, a los cuales hay que agregar unos 2.500 de la empresa mixta </w:t>
      </w:r>
      <w:proofErr w:type="spellStart"/>
      <w:r w:rsidRPr="00CF3AED">
        <w:rPr>
          <w:rFonts w:ascii="Verdana" w:hAnsi="Verdana"/>
          <w:spacing w:val="-12"/>
          <w:sz w:val="16"/>
          <w:szCs w:val="16"/>
          <w:lang w:val="es-VE"/>
        </w:rPr>
        <w:t>Intesa</w:t>
      </w:r>
      <w:proofErr w:type="spellEnd"/>
      <w:r w:rsidRPr="00CF3AED">
        <w:rPr>
          <w:rFonts w:ascii="Verdana" w:hAnsi="Verdana"/>
          <w:spacing w:val="-12"/>
          <w:sz w:val="16"/>
          <w:szCs w:val="16"/>
          <w:lang w:val="es-VE"/>
        </w:rPr>
        <w:t xml:space="preserve"> y un número indeterminado que nunca fue despedido pero que no los dejaron entrar a las instalaciones, para un total estimado de casi 23.000 despedidos. Los mismos tenían en promedio 15 años de servicio y el 71% era del área operacional”</w:t>
      </w:r>
      <w:r>
        <w:rPr>
          <w:rFonts w:ascii="Verdana" w:hAnsi="Verdana"/>
          <w:spacing w:val="-12"/>
          <w:sz w:val="16"/>
          <w:szCs w:val="16"/>
          <w:lang w:val="es-VE"/>
        </w:rPr>
        <w:t xml:space="preserve"> (</w:t>
      </w:r>
      <w:proofErr w:type="spellStart"/>
      <w:r>
        <w:rPr>
          <w:rFonts w:ascii="Verdana" w:hAnsi="Verdana"/>
          <w:spacing w:val="-12"/>
          <w:sz w:val="16"/>
          <w:szCs w:val="16"/>
          <w:lang w:val="es-VE"/>
        </w:rPr>
        <w:t>exp</w:t>
      </w:r>
      <w:proofErr w:type="spellEnd"/>
      <w:r>
        <w:rPr>
          <w:rFonts w:ascii="Verdana" w:hAnsi="Verdana"/>
          <w:spacing w:val="-12"/>
          <w:sz w:val="16"/>
          <w:szCs w:val="16"/>
          <w:lang w:val="es-VE"/>
        </w:rPr>
        <w:t>. prueba, folios 3336 a 3349)</w:t>
      </w:r>
      <w:r w:rsidRPr="00CF3AED">
        <w:rPr>
          <w:rFonts w:ascii="Verdana" w:hAnsi="Verdana"/>
          <w:spacing w:val="-12"/>
          <w:sz w:val="16"/>
          <w:szCs w:val="16"/>
          <w:lang w:val="es-VE"/>
        </w:rPr>
        <w:t>.</w:t>
      </w:r>
    </w:p>
  </w:footnote>
  <w:footnote w:id="103">
    <w:p w14:paraId="6771B1E7" w14:textId="3AE70D83"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w:t>
      </w:r>
      <w:r w:rsidRPr="0069409D">
        <w:rPr>
          <w:rFonts w:ascii="Verdana" w:hAnsi="Verdana"/>
          <w:i/>
          <w:spacing w:val="-12"/>
          <w:sz w:val="16"/>
          <w:szCs w:val="16"/>
          <w:lang w:val="es-VE"/>
        </w:rPr>
        <w:t xml:space="preserve">Human </w:t>
      </w:r>
      <w:proofErr w:type="spellStart"/>
      <w:r w:rsidRPr="0069409D">
        <w:rPr>
          <w:rFonts w:ascii="Verdana" w:hAnsi="Verdana"/>
          <w:i/>
          <w:spacing w:val="-12"/>
          <w:sz w:val="16"/>
          <w:szCs w:val="16"/>
          <w:lang w:val="es-VE"/>
        </w:rPr>
        <w:t>Rights</w:t>
      </w:r>
      <w:proofErr w:type="spellEnd"/>
      <w:r w:rsidRPr="0069409D">
        <w:rPr>
          <w:rFonts w:ascii="Verdana" w:hAnsi="Verdana"/>
          <w:i/>
          <w:spacing w:val="-12"/>
          <w:sz w:val="16"/>
          <w:szCs w:val="16"/>
          <w:lang w:val="es-VE"/>
        </w:rPr>
        <w:t xml:space="preserve"> </w:t>
      </w:r>
      <w:proofErr w:type="spellStart"/>
      <w:r w:rsidRPr="0069409D">
        <w:rPr>
          <w:rFonts w:ascii="Verdana" w:hAnsi="Verdana"/>
          <w:i/>
          <w:spacing w:val="-12"/>
          <w:sz w:val="16"/>
          <w:szCs w:val="16"/>
          <w:lang w:val="es-VE"/>
        </w:rPr>
        <w:t>Watch</w:t>
      </w:r>
      <w:proofErr w:type="spellEnd"/>
      <w:r w:rsidRPr="006C24C0">
        <w:rPr>
          <w:rFonts w:ascii="Verdana" w:hAnsi="Verdana"/>
          <w:spacing w:val="-12"/>
          <w:sz w:val="16"/>
          <w:szCs w:val="16"/>
          <w:lang w:val="es-VE"/>
        </w:rPr>
        <w:t xml:space="preserve">, </w:t>
      </w:r>
      <w:r w:rsidRPr="003100FE">
        <w:rPr>
          <w:rFonts w:ascii="Verdana" w:hAnsi="Verdana"/>
          <w:spacing w:val="-12"/>
          <w:sz w:val="16"/>
          <w:szCs w:val="16"/>
          <w:lang w:val="es-VE"/>
        </w:rPr>
        <w:t>“</w:t>
      </w:r>
      <w:r w:rsidRPr="0003211A">
        <w:rPr>
          <w:rFonts w:ascii="Verdana" w:hAnsi="Verdana"/>
          <w:spacing w:val="-12"/>
          <w:sz w:val="16"/>
          <w:szCs w:val="16"/>
          <w:lang w:val="es-VE"/>
        </w:rPr>
        <w:t>Una década de Chávez, Intolerancia política y oportuni</w:t>
      </w:r>
      <w:r w:rsidRPr="00CE7020">
        <w:rPr>
          <w:rFonts w:ascii="Verdana" w:hAnsi="Verdana"/>
          <w:spacing w:val="-12"/>
          <w:sz w:val="16"/>
          <w:szCs w:val="16"/>
          <w:lang w:val="es-VE"/>
        </w:rPr>
        <w:t>dades perdidas para el progreso de los derechos humanos en Venezuela</w:t>
      </w:r>
      <w:r w:rsidRPr="00773F82">
        <w:rPr>
          <w:rFonts w:ascii="Verdana" w:hAnsi="Verdana"/>
          <w:spacing w:val="-12"/>
          <w:sz w:val="16"/>
          <w:szCs w:val="16"/>
          <w:lang w:val="es-VE"/>
        </w:rPr>
        <w:t>”</w:t>
      </w:r>
      <w:r w:rsidRPr="00290E0C">
        <w:rPr>
          <w:rFonts w:ascii="Verdana" w:hAnsi="Verdana"/>
          <w:spacing w:val="-12"/>
          <w:sz w:val="16"/>
          <w:szCs w:val="16"/>
          <w:lang w:val="es-VE"/>
        </w:rPr>
        <w:t>,</w:t>
      </w:r>
      <w:r w:rsidRPr="00B252EB">
        <w:rPr>
          <w:rFonts w:ascii="Verdana" w:hAnsi="Verdana"/>
          <w:spacing w:val="-12"/>
          <w:sz w:val="16"/>
          <w:szCs w:val="16"/>
          <w:lang w:val="es-VE"/>
        </w:rPr>
        <w:t xml:space="preserve"> </w:t>
      </w:r>
      <w:r w:rsidRPr="00D758B5">
        <w:rPr>
          <w:rFonts w:ascii="Verdana" w:hAnsi="Verdana"/>
          <w:i/>
          <w:spacing w:val="-12"/>
          <w:sz w:val="16"/>
          <w:szCs w:val="16"/>
          <w:lang w:val="es-VE"/>
        </w:rPr>
        <w:t>supra</w:t>
      </w:r>
      <w:r w:rsidRPr="00CF3AED">
        <w:rPr>
          <w:rFonts w:ascii="Verdana" w:hAnsi="Verdana"/>
          <w:spacing w:val="-12"/>
          <w:sz w:val="16"/>
          <w:szCs w:val="16"/>
          <w:lang w:val="es-VE"/>
        </w:rPr>
        <w:t>, págs. 24 a 25.</w:t>
      </w:r>
    </w:p>
  </w:footnote>
  <w:footnote w:id="104">
    <w:p w14:paraId="0FC2C848" w14:textId="57ED2554" w:rsidR="00837BB9" w:rsidRPr="0069409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El Universal, Despidos ilegales impactan las cuentas de </w:t>
      </w:r>
      <w:proofErr w:type="spellStart"/>
      <w:r w:rsidRPr="0069409D">
        <w:rPr>
          <w:rFonts w:ascii="Verdana" w:hAnsi="Verdana"/>
          <w:spacing w:val="-12"/>
          <w:sz w:val="16"/>
          <w:szCs w:val="16"/>
          <w:lang w:val="es-VE"/>
        </w:rPr>
        <w:t>Fogade</w:t>
      </w:r>
      <w:proofErr w:type="spellEnd"/>
      <w:r w:rsidRPr="0069409D">
        <w:rPr>
          <w:rFonts w:ascii="Verdana" w:hAnsi="Verdana"/>
          <w:spacing w:val="-12"/>
          <w:sz w:val="16"/>
          <w:szCs w:val="16"/>
          <w:lang w:val="es-VE"/>
        </w:rPr>
        <w:t xml:space="preserve">, 23 de febrero de 2008.  Disponible en: </w:t>
      </w:r>
      <w:hyperlink r:id="rId29" w:history="1">
        <w:r w:rsidRPr="00CF3AED">
          <w:rPr>
            <w:rStyle w:val="Hyperlink"/>
            <w:rFonts w:ascii="Verdana" w:hAnsi="Verdana"/>
            <w:spacing w:val="-12"/>
            <w:sz w:val="16"/>
            <w:szCs w:val="16"/>
            <w:lang w:val="es-VE"/>
          </w:rPr>
          <w:t>http://www.eluniversal.com/2008/02/23/eco_art_despidos</w:t>
        </w:r>
        <w:r w:rsidRPr="00CF3AED">
          <w:rPr>
            <w:rStyle w:val="Hyperlink"/>
            <w:rFonts w:ascii="Verdana" w:hAnsi="Verdana"/>
            <w:spacing w:val="-12"/>
            <w:sz w:val="16"/>
            <w:szCs w:val="16"/>
            <w:lang w:val="es-VE"/>
          </w:rPr>
          <w:noBreakHyphen/>
          <w:t>ilegales</w:t>
        </w:r>
        <w:r w:rsidRPr="00CF3AED">
          <w:rPr>
            <w:rStyle w:val="Hyperlink"/>
            <w:rFonts w:ascii="Verdana" w:hAnsi="Verdana"/>
            <w:spacing w:val="-12"/>
            <w:sz w:val="16"/>
            <w:szCs w:val="16"/>
            <w:lang w:val="es-VE"/>
          </w:rPr>
          <w:noBreakHyphen/>
          <w:t>im_726634.shtml</w:t>
        </w:r>
      </w:hyperlink>
      <w:r w:rsidRPr="00C7142E">
        <w:rPr>
          <w:rFonts w:ascii="Verdana" w:hAnsi="Verdana"/>
          <w:spacing w:val="-12"/>
          <w:sz w:val="16"/>
          <w:szCs w:val="16"/>
          <w:lang w:val="es-VE"/>
        </w:rPr>
        <w:t xml:space="preserve">. Según otro reporte, se establecía la gradación 1 al 6: “chavista duro”, “chavista light”, “nini” (ni oposición ni chavista), “oposición radical política”, “oposición radical” y, </w:t>
      </w:r>
      <w:r w:rsidRPr="0069409D">
        <w:rPr>
          <w:rFonts w:ascii="Verdana" w:hAnsi="Verdana"/>
          <w:spacing w:val="-12"/>
          <w:sz w:val="16"/>
          <w:szCs w:val="16"/>
          <w:lang w:val="es-VE"/>
        </w:rPr>
        <w:t xml:space="preserve">“oposición light”. Ver Súmate, Y más listas: de “Chavismo duro a “oposición light”, pág. 120. Disponible </w:t>
      </w:r>
      <w:r w:rsidRPr="006C24C0">
        <w:rPr>
          <w:rFonts w:ascii="Verdana" w:hAnsi="Verdana"/>
          <w:spacing w:val="-12"/>
          <w:sz w:val="16"/>
          <w:szCs w:val="16"/>
          <w:lang w:val="es-VE"/>
        </w:rPr>
        <w:t>en:</w:t>
      </w:r>
      <w:r w:rsidRPr="003100FE">
        <w:rPr>
          <w:rFonts w:ascii="Verdana" w:hAnsi="Verdana"/>
          <w:spacing w:val="-12"/>
          <w:sz w:val="16"/>
          <w:szCs w:val="16"/>
          <w:lang w:val="es-VE"/>
        </w:rPr>
        <w:t xml:space="preserve"> </w:t>
      </w:r>
      <w:hyperlink r:id="rId30" w:history="1">
        <w:r w:rsidRPr="00CF3AED">
          <w:rPr>
            <w:rStyle w:val="Hyperlink"/>
            <w:rFonts w:ascii="Verdana" w:hAnsi="Verdana"/>
            <w:spacing w:val="-12"/>
            <w:sz w:val="16"/>
            <w:szCs w:val="16"/>
            <w:lang w:val="es-VE"/>
          </w:rPr>
          <w:t>http://www.sumate.org/documentos/ApartheidSigloXXI/Apartheid%20del%20Siglo%20XXI%20Capitulo7.pdf</w:t>
        </w:r>
      </w:hyperlink>
      <w:r w:rsidRPr="00C7142E">
        <w:rPr>
          <w:rStyle w:val="Hyperlink"/>
          <w:rFonts w:ascii="Verdana" w:hAnsi="Verdana"/>
          <w:spacing w:val="-12"/>
          <w:sz w:val="16"/>
          <w:szCs w:val="16"/>
          <w:lang w:val="es-VE"/>
        </w:rPr>
        <w:t>.</w:t>
      </w:r>
      <w:r w:rsidRPr="00C7142E">
        <w:rPr>
          <w:rFonts w:ascii="Verdana" w:hAnsi="Verdana"/>
          <w:spacing w:val="-12"/>
          <w:sz w:val="16"/>
          <w:szCs w:val="16"/>
          <w:u w:val="single"/>
          <w:lang w:val="es-VE"/>
        </w:rPr>
        <w:t xml:space="preserve"> </w:t>
      </w:r>
    </w:p>
  </w:footnote>
  <w:footnote w:id="105">
    <w:p w14:paraId="14F5FE9A" w14:textId="0B56D731"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El Nacional, Resumen de casos recolectados por el Nacional, 24 de abril de 2005, disponible en: </w:t>
      </w:r>
      <w:hyperlink r:id="rId31" w:history="1">
        <w:r w:rsidRPr="001F0CE6">
          <w:rPr>
            <w:rStyle w:val="Hyperlink"/>
            <w:rFonts w:ascii="Verdana" w:hAnsi="Verdana"/>
            <w:spacing w:val="-12"/>
            <w:sz w:val="16"/>
            <w:szCs w:val="16"/>
            <w:lang w:val="es-VE"/>
          </w:rPr>
          <w:t>http://studylib.es/doc/8201013/situaci%C3%B3n-ha-sido-denunciada-en-algunos-medios</w:t>
        </w:r>
      </w:hyperlink>
    </w:p>
  </w:footnote>
  <w:footnote w:id="106">
    <w:p w14:paraId="3C35173D" w14:textId="73E94058"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VE"/>
        </w:rPr>
        <w:tab/>
        <w:t xml:space="preserve">María Vicenta </w:t>
      </w:r>
      <w:proofErr w:type="spellStart"/>
      <w:r w:rsidRPr="00C7142E">
        <w:rPr>
          <w:rFonts w:ascii="Verdana" w:hAnsi="Verdana"/>
          <w:spacing w:val="-12"/>
          <w:sz w:val="16"/>
          <w:szCs w:val="16"/>
          <w:lang w:val="es-VE"/>
        </w:rPr>
        <w:t>Verdeal</w:t>
      </w:r>
      <w:proofErr w:type="spellEnd"/>
      <w:r w:rsidRPr="00C7142E">
        <w:rPr>
          <w:rFonts w:ascii="Verdana" w:hAnsi="Verdana"/>
          <w:spacing w:val="-12"/>
          <w:sz w:val="16"/>
          <w:szCs w:val="16"/>
          <w:lang w:val="es-VE"/>
        </w:rPr>
        <w:t xml:space="preserve"> Duran, ex funcionaria de la Defensoría del Pueblo, declaró que su “despido obedeció a razones políticas. A pesar de tener una hoja de servicio intachable dentro de la Administración Pública en gen</w:t>
      </w:r>
      <w:r w:rsidRPr="006C24C0">
        <w:rPr>
          <w:rFonts w:ascii="Verdana" w:hAnsi="Verdana"/>
          <w:spacing w:val="-12"/>
          <w:sz w:val="16"/>
          <w:szCs w:val="16"/>
          <w:lang w:val="es-VE"/>
        </w:rPr>
        <w:t>eral con más de 20 años de servicio y en particular por mantener el mismo récord dentro de la Defensoría, era un hecho público y de conocimiento de los funcionarios de la institución mi condición de no aliada a las filas políticas del oficialismo. Me despi</w:t>
      </w:r>
      <w:r w:rsidRPr="003100FE">
        <w:rPr>
          <w:rFonts w:ascii="Verdana" w:hAnsi="Verdana"/>
          <w:spacing w:val="-12"/>
          <w:sz w:val="16"/>
          <w:szCs w:val="16"/>
          <w:lang w:val="es-VE"/>
        </w:rPr>
        <w:t>dieron por solicitar el referéndum revocatorio de mandato del Presidente Hugo Chávez”. Indicó que fue “partícipe de la conformación un Movimiento en Defensa de los firmantes del revocatorio, MODEFIR, donde se recibieron gran cantidad de denuncias de todo e</w:t>
      </w:r>
      <w:r w:rsidRPr="0003211A">
        <w:rPr>
          <w:rFonts w:ascii="Verdana" w:hAnsi="Verdana"/>
          <w:spacing w:val="-12"/>
          <w:sz w:val="16"/>
          <w:szCs w:val="16"/>
          <w:lang w:val="es-VE"/>
        </w:rPr>
        <w:t>l país por discriminación política (ejercicio de derechos políticos). Se hicieron denuncias públicas ante los medios de comunicación”</w:t>
      </w:r>
      <w:r w:rsidRPr="007C51D0">
        <w:rPr>
          <w:rFonts w:ascii="Verdana" w:hAnsi="Verdana"/>
          <w:spacing w:val="-12"/>
          <w:sz w:val="16"/>
          <w:szCs w:val="16"/>
          <w:lang w:val="es-VE"/>
        </w:rPr>
        <w:t xml:space="preserve">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w:t>
      </w:r>
      <w:r w:rsidRPr="007C51D0">
        <w:rPr>
          <w:rFonts w:ascii="Verdana" w:hAnsi="Verdana"/>
          <w:spacing w:val="-12"/>
          <w:sz w:val="16"/>
          <w:szCs w:val="16"/>
          <w:lang w:val="es-VE"/>
        </w:rPr>
        <w:t xml:space="preserve"> folio 3158).</w:t>
      </w:r>
    </w:p>
  </w:footnote>
  <w:footnote w:id="107">
    <w:p w14:paraId="0E5F0477" w14:textId="71134B8D" w:rsidR="00837BB9" w:rsidRPr="00CF3AED"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6203B0">
        <w:rPr>
          <w:rFonts w:ascii="Verdana" w:hAnsi="Verdana"/>
          <w:spacing w:val="-12"/>
          <w:sz w:val="16"/>
          <w:szCs w:val="16"/>
          <w:lang w:val="es-VE"/>
        </w:rPr>
        <w:t xml:space="preserve">En su declaración escrita </w:t>
      </w:r>
      <w:r w:rsidRPr="00FC1D38">
        <w:rPr>
          <w:rFonts w:ascii="Verdana" w:hAnsi="Verdana"/>
          <w:spacing w:val="-12"/>
          <w:sz w:val="16"/>
          <w:szCs w:val="16"/>
          <w:lang w:val="es-VE"/>
        </w:rPr>
        <w:t>ante</w:t>
      </w:r>
      <w:r w:rsidRPr="000536CF">
        <w:rPr>
          <w:rFonts w:ascii="Verdana" w:hAnsi="Verdana"/>
          <w:spacing w:val="-12"/>
          <w:sz w:val="16"/>
          <w:szCs w:val="16"/>
          <w:lang w:val="es-VE"/>
        </w:rPr>
        <w:t xml:space="preserve"> la Corte, el testigo Froilán Alejandro Barrios Nieves declaró que “</w:t>
      </w:r>
      <w:proofErr w:type="spellStart"/>
      <w:r w:rsidRPr="000536CF">
        <w:rPr>
          <w:rFonts w:ascii="Verdana" w:hAnsi="Verdana"/>
          <w:spacing w:val="-12"/>
          <w:sz w:val="16"/>
          <w:szCs w:val="16"/>
          <w:lang w:val="es-VE"/>
        </w:rPr>
        <w:t>conoci</w:t>
      </w:r>
      <w:proofErr w:type="spellEnd"/>
      <w:r w:rsidRPr="000536CF">
        <w:rPr>
          <w:rFonts w:ascii="Verdana" w:hAnsi="Verdana"/>
          <w:spacing w:val="-12"/>
          <w:sz w:val="16"/>
          <w:szCs w:val="16"/>
          <w:lang w:val="es-VE"/>
        </w:rPr>
        <w:t>[</w:t>
      </w:r>
      <w:proofErr w:type="spellStart"/>
      <w:r w:rsidRPr="000536CF">
        <w:rPr>
          <w:rFonts w:ascii="Verdana" w:hAnsi="Verdana"/>
          <w:spacing w:val="-12"/>
          <w:sz w:val="16"/>
          <w:szCs w:val="16"/>
          <w:lang w:val="es-VE"/>
        </w:rPr>
        <w:t>ó</w:t>
      </w:r>
      <w:proofErr w:type="spellEnd"/>
      <w:r w:rsidRPr="000536CF">
        <w:rPr>
          <w:rFonts w:ascii="Verdana" w:hAnsi="Verdana"/>
          <w:spacing w:val="-12"/>
          <w:sz w:val="16"/>
          <w:szCs w:val="16"/>
          <w:lang w:val="es-VE"/>
        </w:rPr>
        <w:t xml:space="preserve">] numerosos casos de despidos por la aplicación de la Lista </w:t>
      </w:r>
      <w:proofErr w:type="spellStart"/>
      <w:r w:rsidRPr="000536CF">
        <w:rPr>
          <w:rFonts w:ascii="Verdana" w:hAnsi="Verdana"/>
          <w:spacing w:val="-12"/>
          <w:sz w:val="16"/>
          <w:szCs w:val="16"/>
          <w:lang w:val="es-VE"/>
        </w:rPr>
        <w:t>Tasc</w:t>
      </w:r>
      <w:r>
        <w:rPr>
          <w:rFonts w:ascii="Verdana" w:hAnsi="Verdana"/>
          <w:spacing w:val="-12"/>
          <w:sz w:val="16"/>
          <w:szCs w:val="16"/>
          <w:lang w:val="es-VE"/>
        </w:rPr>
        <w:t>ó</w:t>
      </w:r>
      <w:r w:rsidRPr="000536CF">
        <w:rPr>
          <w:rFonts w:ascii="Verdana" w:hAnsi="Verdana"/>
          <w:spacing w:val="-12"/>
          <w:sz w:val="16"/>
          <w:szCs w:val="16"/>
          <w:lang w:val="es-VE"/>
        </w:rPr>
        <w:t>n</w:t>
      </w:r>
      <w:proofErr w:type="spellEnd"/>
      <w:r w:rsidRPr="000536CF">
        <w:rPr>
          <w:rFonts w:ascii="Verdana" w:hAnsi="Verdana"/>
          <w:spacing w:val="-12"/>
          <w:sz w:val="16"/>
          <w:szCs w:val="16"/>
          <w:lang w:val="es-VE"/>
        </w:rPr>
        <w:t xml:space="preserve">, en numerosos organismos autónomos como </w:t>
      </w:r>
      <w:proofErr w:type="spellStart"/>
      <w:r w:rsidRPr="000536CF">
        <w:rPr>
          <w:rFonts w:ascii="Verdana" w:hAnsi="Verdana"/>
          <w:spacing w:val="-12"/>
          <w:sz w:val="16"/>
          <w:szCs w:val="16"/>
          <w:lang w:val="es-VE"/>
        </w:rPr>
        <w:t>Fogade</w:t>
      </w:r>
      <w:proofErr w:type="spellEnd"/>
      <w:r w:rsidRPr="000536CF">
        <w:rPr>
          <w:rFonts w:ascii="Verdana" w:hAnsi="Verdana"/>
          <w:spacing w:val="-12"/>
          <w:sz w:val="16"/>
          <w:szCs w:val="16"/>
          <w:lang w:val="es-VE"/>
        </w:rPr>
        <w:t xml:space="preserve">, Ministerio de Salud, </w:t>
      </w:r>
      <w:proofErr w:type="spellStart"/>
      <w:r w:rsidRPr="000536CF">
        <w:rPr>
          <w:rFonts w:ascii="Verdana" w:hAnsi="Verdana"/>
          <w:spacing w:val="-12"/>
          <w:sz w:val="16"/>
          <w:szCs w:val="16"/>
          <w:lang w:val="es-VE"/>
        </w:rPr>
        <w:t>Seniat</w:t>
      </w:r>
      <w:proofErr w:type="spellEnd"/>
      <w:r w:rsidRPr="000536CF">
        <w:rPr>
          <w:rFonts w:ascii="Verdana" w:hAnsi="Verdana"/>
          <w:spacing w:val="-12"/>
          <w:sz w:val="16"/>
          <w:szCs w:val="16"/>
          <w:lang w:val="es-VE"/>
        </w:rPr>
        <w:t xml:space="preserve">, gobernaciones, alcaldías y el Ministerio de Relaciones Exteriores. (…) La base de datos de denuncias la organizó la federación filial de la CTV, FEDEUNEP, (Federación Nacional de Empleados Públicos), igualmente afiliada a la ISP (Internacional de Servidores Públicos), quienes introdujeron una queja formal ante la OIT, en la Asamblea anual del </w:t>
      </w:r>
      <w:r w:rsidRPr="001C16AC">
        <w:rPr>
          <w:rFonts w:ascii="Verdana" w:hAnsi="Verdana"/>
          <w:spacing w:val="-12"/>
          <w:sz w:val="16"/>
          <w:szCs w:val="16"/>
          <w:lang w:val="es-VE"/>
        </w:rPr>
        <w:t>organismo, en 2005, en Ginebra, pues el Estado venezolana ha firmado numerosos convenios que protegen al trabajador contra todo tipo de discriminación</w:t>
      </w:r>
      <w:proofErr w:type="gramStart"/>
      <w:r w:rsidRPr="006001C8">
        <w:rPr>
          <w:rFonts w:ascii="Verdana" w:hAnsi="Verdana"/>
          <w:spacing w:val="-12"/>
          <w:sz w:val="16"/>
          <w:szCs w:val="16"/>
          <w:lang w:val="es-VE"/>
        </w:rPr>
        <w:t>”</w:t>
      </w:r>
      <w:r w:rsidRPr="007C51D0">
        <w:rPr>
          <w:rFonts w:ascii="Verdana" w:hAnsi="Verdana"/>
          <w:spacing w:val="-12"/>
          <w:sz w:val="16"/>
          <w:szCs w:val="16"/>
          <w:lang w:val="es-VE"/>
        </w:rPr>
        <w:t>(</w:t>
      </w:r>
      <w:proofErr w:type="spellStart"/>
      <w:proofErr w:type="gramEnd"/>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w:t>
      </w:r>
      <w:r w:rsidRPr="007C51D0">
        <w:rPr>
          <w:rFonts w:ascii="Verdana" w:hAnsi="Verdana"/>
          <w:spacing w:val="-12"/>
          <w:sz w:val="16"/>
          <w:szCs w:val="16"/>
          <w:lang w:val="es-VE"/>
        </w:rPr>
        <w:t xml:space="preserve"> </w:t>
      </w:r>
      <w:proofErr w:type="spellStart"/>
      <w:r>
        <w:rPr>
          <w:rFonts w:ascii="Verdana" w:hAnsi="Verdana"/>
          <w:spacing w:val="-12"/>
          <w:sz w:val="16"/>
          <w:szCs w:val="16"/>
          <w:lang w:val="es-VE"/>
        </w:rPr>
        <w:t>ff</w:t>
      </w:r>
      <w:proofErr w:type="spellEnd"/>
      <w:r>
        <w:rPr>
          <w:rFonts w:ascii="Verdana" w:hAnsi="Verdana"/>
          <w:spacing w:val="-12"/>
          <w:sz w:val="16"/>
          <w:szCs w:val="16"/>
          <w:lang w:val="es-VE"/>
        </w:rPr>
        <w:t>.</w:t>
      </w:r>
      <w:r w:rsidRPr="007C51D0">
        <w:rPr>
          <w:rFonts w:ascii="Verdana" w:hAnsi="Verdana"/>
          <w:spacing w:val="-12"/>
          <w:sz w:val="16"/>
          <w:szCs w:val="16"/>
          <w:lang w:val="es-VE"/>
        </w:rPr>
        <w:t xml:space="preserve"> 3149 a 3150).</w:t>
      </w:r>
    </w:p>
  </w:footnote>
  <w:footnote w:id="108">
    <w:p w14:paraId="38F48BD4" w14:textId="61C4E7E5" w:rsidR="00837BB9" w:rsidRPr="00CF3AED"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6203B0">
        <w:rPr>
          <w:rFonts w:ascii="Verdana" w:hAnsi="Verdana"/>
          <w:spacing w:val="-12"/>
          <w:sz w:val="16"/>
          <w:szCs w:val="16"/>
          <w:lang w:val="es-CR"/>
        </w:rPr>
        <w:tab/>
      </w:r>
      <w:r w:rsidRPr="00FA08D6">
        <w:rPr>
          <w:rFonts w:ascii="Verdana" w:hAnsi="Verdana"/>
          <w:i/>
          <w:spacing w:val="-12"/>
          <w:sz w:val="16"/>
          <w:szCs w:val="16"/>
          <w:lang w:val="es-VE"/>
        </w:rPr>
        <w:t>Cfr.</w:t>
      </w:r>
      <w:r w:rsidRPr="00FC1D38">
        <w:rPr>
          <w:rFonts w:ascii="Verdana" w:hAnsi="Verdana"/>
          <w:spacing w:val="-12"/>
          <w:sz w:val="16"/>
          <w:szCs w:val="16"/>
          <w:lang w:val="es-VE"/>
        </w:rPr>
        <w:t xml:space="preserve"> Declaración de Antonio José Rivero González, </w:t>
      </w:r>
      <w:r w:rsidRPr="000536CF">
        <w:rPr>
          <w:rFonts w:ascii="Verdana" w:hAnsi="Verdana"/>
          <w:spacing w:val="-12"/>
          <w:sz w:val="16"/>
          <w:szCs w:val="16"/>
          <w:lang w:val="es-VE"/>
        </w:rPr>
        <w:t>(</w:t>
      </w:r>
      <w:proofErr w:type="spellStart"/>
      <w:r w:rsidRPr="000536CF">
        <w:rPr>
          <w:rFonts w:ascii="Verdana" w:hAnsi="Verdana"/>
          <w:spacing w:val="-12"/>
          <w:sz w:val="16"/>
          <w:szCs w:val="16"/>
          <w:lang w:val="es-VE"/>
        </w:rPr>
        <w:t>exp</w:t>
      </w:r>
      <w:proofErr w:type="spellEnd"/>
      <w:r w:rsidRPr="000536CF">
        <w:rPr>
          <w:rFonts w:ascii="Verdana" w:hAnsi="Verdana"/>
          <w:spacing w:val="-12"/>
          <w:sz w:val="16"/>
          <w:szCs w:val="16"/>
          <w:lang w:val="es-VE"/>
        </w:rPr>
        <w:t xml:space="preserve">. prueba, </w:t>
      </w:r>
      <w:r w:rsidRPr="001C16AC">
        <w:rPr>
          <w:rFonts w:ascii="Verdana" w:hAnsi="Verdana"/>
          <w:spacing w:val="-12"/>
          <w:sz w:val="16"/>
          <w:szCs w:val="16"/>
          <w:lang w:val="es-VE"/>
        </w:rPr>
        <w:t xml:space="preserve"> </w:t>
      </w:r>
      <w:r w:rsidRPr="006001C8">
        <w:rPr>
          <w:rFonts w:ascii="Verdana" w:hAnsi="Verdana"/>
          <w:spacing w:val="-12"/>
          <w:sz w:val="16"/>
          <w:szCs w:val="16"/>
          <w:lang w:val="es-VE"/>
        </w:rPr>
        <w:t>f</w:t>
      </w:r>
      <w:r w:rsidRPr="00D55480">
        <w:rPr>
          <w:rFonts w:ascii="Verdana" w:hAnsi="Verdana"/>
          <w:spacing w:val="-12"/>
          <w:sz w:val="16"/>
          <w:szCs w:val="16"/>
          <w:lang w:val="es-VE"/>
        </w:rPr>
        <w:t>olio</w:t>
      </w:r>
      <w:r w:rsidRPr="009E7E48">
        <w:rPr>
          <w:rFonts w:ascii="Verdana" w:hAnsi="Verdana"/>
          <w:spacing w:val="-12"/>
          <w:sz w:val="16"/>
          <w:szCs w:val="16"/>
          <w:lang w:val="es-VE"/>
        </w:rPr>
        <w:t xml:space="preserve"> </w:t>
      </w:r>
      <w:r w:rsidRPr="008B6122">
        <w:rPr>
          <w:rFonts w:ascii="Verdana" w:hAnsi="Verdana"/>
          <w:spacing w:val="-12"/>
          <w:sz w:val="16"/>
          <w:szCs w:val="16"/>
          <w:lang w:val="es-VE"/>
        </w:rPr>
        <w:t>3330)</w:t>
      </w:r>
      <w:r w:rsidRPr="0012407E">
        <w:rPr>
          <w:rFonts w:ascii="Verdana" w:hAnsi="Verdana"/>
          <w:spacing w:val="-12"/>
          <w:sz w:val="16"/>
          <w:szCs w:val="16"/>
          <w:lang w:val="es-VE"/>
        </w:rPr>
        <w:t xml:space="preserve">. </w:t>
      </w:r>
      <w:r w:rsidRPr="00C7142E">
        <w:rPr>
          <w:rFonts w:ascii="Verdana" w:hAnsi="Verdana"/>
          <w:spacing w:val="-12"/>
          <w:sz w:val="16"/>
          <w:szCs w:val="16"/>
          <w:lang w:val="es-VE"/>
        </w:rPr>
        <w:t>En</w:t>
      </w:r>
      <w:r>
        <w:rPr>
          <w:rFonts w:ascii="Verdana" w:hAnsi="Verdana"/>
          <w:spacing w:val="-12"/>
          <w:sz w:val="16"/>
          <w:szCs w:val="16"/>
          <w:lang w:val="es-VE"/>
        </w:rPr>
        <w:t xml:space="preserve"> particular, el testigo declaró</w:t>
      </w:r>
      <w:r w:rsidRPr="00C7142E">
        <w:rPr>
          <w:rFonts w:ascii="Verdana" w:hAnsi="Verdana"/>
          <w:spacing w:val="-12"/>
          <w:sz w:val="16"/>
          <w:szCs w:val="16"/>
          <w:lang w:val="es-VE"/>
        </w:rPr>
        <w:t xml:space="preserve"> que “la Lic. Belén </w:t>
      </w:r>
      <w:proofErr w:type="spellStart"/>
      <w:r w:rsidRPr="00C7142E">
        <w:rPr>
          <w:rFonts w:ascii="Verdana" w:hAnsi="Verdana"/>
          <w:spacing w:val="-12"/>
          <w:sz w:val="16"/>
          <w:szCs w:val="16"/>
          <w:lang w:val="es-VE"/>
        </w:rPr>
        <w:t>Vielma</w:t>
      </w:r>
      <w:proofErr w:type="spellEnd"/>
      <w:r w:rsidRPr="00C7142E">
        <w:rPr>
          <w:rFonts w:ascii="Verdana" w:hAnsi="Verdana"/>
          <w:spacing w:val="-12"/>
          <w:sz w:val="16"/>
          <w:szCs w:val="16"/>
          <w:lang w:val="es-VE"/>
        </w:rPr>
        <w:t xml:space="preserve">, Directora </w:t>
      </w:r>
      <w:r w:rsidRPr="006C24C0">
        <w:rPr>
          <w:rFonts w:ascii="Verdana" w:hAnsi="Verdana"/>
          <w:spacing w:val="-12"/>
          <w:sz w:val="16"/>
          <w:szCs w:val="16"/>
          <w:lang w:val="es-CR"/>
        </w:rPr>
        <w:t>General de Recursos Humanos del Ministerio del Interior y Justicia, fue quien, por instrucciones del Ministro de</w:t>
      </w:r>
      <w:r w:rsidRPr="003100FE">
        <w:rPr>
          <w:rFonts w:ascii="Verdana" w:hAnsi="Verdana"/>
          <w:spacing w:val="-12"/>
          <w:sz w:val="16"/>
          <w:szCs w:val="16"/>
          <w:lang w:val="es-CR"/>
        </w:rPr>
        <w:t>l</w:t>
      </w:r>
      <w:r w:rsidRPr="0003211A">
        <w:rPr>
          <w:rFonts w:ascii="Verdana" w:hAnsi="Verdana"/>
          <w:spacing w:val="-12"/>
          <w:sz w:val="16"/>
          <w:szCs w:val="16"/>
          <w:lang w:val="es-CR"/>
        </w:rPr>
        <w:t xml:space="preserve"> Interior y Justicia, [le] orden</w:t>
      </w:r>
      <w:r w:rsidRPr="00CE7020">
        <w:rPr>
          <w:rFonts w:ascii="Verdana" w:hAnsi="Verdana"/>
          <w:spacing w:val="-12"/>
          <w:sz w:val="16"/>
          <w:szCs w:val="16"/>
          <w:lang w:val="es-CR"/>
        </w:rPr>
        <w:t>ó botar</w:t>
      </w:r>
      <w:r w:rsidRPr="00773F82">
        <w:rPr>
          <w:rFonts w:ascii="Verdana" w:hAnsi="Verdana"/>
          <w:spacing w:val="-12"/>
          <w:sz w:val="16"/>
          <w:szCs w:val="16"/>
          <w:lang w:val="es-CR"/>
        </w:rPr>
        <w:t xml:space="preserve">, por haber firmado, a siete personas de [su] despacho” </w:t>
      </w:r>
      <w:r w:rsidRPr="00CF3AED">
        <w:rPr>
          <w:rFonts w:ascii="Verdana" w:hAnsi="Verdana"/>
          <w:spacing w:val="-12"/>
          <w:sz w:val="16"/>
          <w:szCs w:val="16"/>
          <w:lang w:val="es-CR"/>
        </w:rPr>
        <w:t>(</w:t>
      </w:r>
      <w:proofErr w:type="spellStart"/>
      <w:r w:rsidRPr="00CF3AED">
        <w:rPr>
          <w:rFonts w:ascii="Verdana" w:hAnsi="Verdana"/>
          <w:spacing w:val="-12"/>
          <w:sz w:val="16"/>
          <w:szCs w:val="16"/>
          <w:lang w:val="es-CR"/>
        </w:rPr>
        <w:t>exp</w:t>
      </w:r>
      <w:proofErr w:type="spellEnd"/>
      <w:r w:rsidRPr="00CF3AED">
        <w:rPr>
          <w:rFonts w:ascii="Verdana" w:hAnsi="Verdana"/>
          <w:spacing w:val="-12"/>
          <w:sz w:val="16"/>
          <w:szCs w:val="16"/>
          <w:lang w:val="es-CR"/>
        </w:rPr>
        <w:t xml:space="preserve">. prueba,  </w:t>
      </w:r>
      <w:r w:rsidRPr="007C51D0">
        <w:rPr>
          <w:rFonts w:ascii="Verdana" w:hAnsi="Verdana"/>
          <w:spacing w:val="-12"/>
          <w:sz w:val="16"/>
          <w:szCs w:val="16"/>
          <w:lang w:val="es-CR"/>
        </w:rPr>
        <w:t>f</w:t>
      </w:r>
      <w:r w:rsidRPr="00CF3AED">
        <w:rPr>
          <w:rFonts w:ascii="Verdana" w:hAnsi="Verdana"/>
          <w:spacing w:val="-12"/>
          <w:sz w:val="16"/>
          <w:szCs w:val="16"/>
          <w:lang w:val="es-CR"/>
        </w:rPr>
        <w:t>olio 3331).</w:t>
      </w:r>
    </w:p>
  </w:footnote>
  <w:footnote w:id="109">
    <w:p w14:paraId="1291BCBD" w14:textId="12FD6AF7" w:rsidR="00837BB9" w:rsidRPr="00CF3AED"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6203B0">
        <w:rPr>
          <w:rFonts w:ascii="Verdana" w:hAnsi="Verdana"/>
          <w:spacing w:val="-12"/>
          <w:sz w:val="16"/>
          <w:szCs w:val="16"/>
        </w:rPr>
        <w:t xml:space="preserve"> </w:t>
      </w:r>
      <w:r w:rsidRPr="00FC1D38">
        <w:rPr>
          <w:rFonts w:ascii="Verdana" w:hAnsi="Verdana"/>
          <w:spacing w:val="-12"/>
          <w:sz w:val="16"/>
          <w:szCs w:val="16"/>
          <w:lang w:val="es-VE"/>
        </w:rPr>
        <w:tab/>
        <w:t xml:space="preserve">El testigo Alejandro </w:t>
      </w:r>
      <w:proofErr w:type="spellStart"/>
      <w:r w:rsidRPr="00FC1D38">
        <w:rPr>
          <w:rFonts w:ascii="Verdana" w:hAnsi="Verdana"/>
          <w:spacing w:val="-12"/>
          <w:sz w:val="16"/>
          <w:szCs w:val="16"/>
          <w:lang w:val="es-VE"/>
        </w:rPr>
        <w:t>Plaz</w:t>
      </w:r>
      <w:proofErr w:type="spellEnd"/>
      <w:r w:rsidRPr="00FC1D38">
        <w:rPr>
          <w:rFonts w:ascii="Verdana" w:hAnsi="Verdana"/>
          <w:spacing w:val="-12"/>
          <w:sz w:val="16"/>
          <w:szCs w:val="16"/>
          <w:lang w:val="es-VE"/>
        </w:rPr>
        <w:t xml:space="preserve"> declaró que, “durante los dos años que Súmate participó en los diversos procesos refrendarios, sus directores fueron sometidos a todo tip</w:t>
      </w:r>
      <w:r w:rsidRPr="000536CF">
        <w:rPr>
          <w:rFonts w:ascii="Verdana" w:hAnsi="Verdana"/>
          <w:spacing w:val="-12"/>
          <w:sz w:val="16"/>
          <w:szCs w:val="16"/>
          <w:lang w:val="es-VE"/>
        </w:rPr>
        <w:t>o de presiones y amenazas”, entre las que destacan que</w:t>
      </w:r>
      <w:r w:rsidRPr="001C16AC">
        <w:rPr>
          <w:rFonts w:ascii="Verdana" w:hAnsi="Verdana"/>
          <w:spacing w:val="-12"/>
          <w:sz w:val="16"/>
          <w:szCs w:val="16"/>
          <w:lang w:val="es-VE"/>
        </w:rPr>
        <w:t>:</w:t>
      </w:r>
      <w:r w:rsidRPr="006001C8">
        <w:rPr>
          <w:rFonts w:ascii="Verdana" w:hAnsi="Verdana"/>
          <w:spacing w:val="-12"/>
          <w:sz w:val="16"/>
          <w:szCs w:val="16"/>
          <w:lang w:val="es-VE"/>
        </w:rPr>
        <w:t xml:space="preserve"> el Presidente Hugo Chávez</w:t>
      </w:r>
      <w:r w:rsidRPr="00D55480">
        <w:rPr>
          <w:rFonts w:ascii="Verdana" w:hAnsi="Verdana"/>
          <w:spacing w:val="-12"/>
          <w:sz w:val="16"/>
          <w:szCs w:val="16"/>
          <w:lang w:val="es-VE"/>
        </w:rPr>
        <w:t>, en cadena nacional en múltiples ocasiones, los llamó traidores a la patria y pidió públicamente a la Fiscalía General de la República que fuesen investigados y a</w:t>
      </w:r>
      <w:r w:rsidRPr="009E7E48">
        <w:rPr>
          <w:rFonts w:ascii="Verdana" w:hAnsi="Verdana"/>
          <w:spacing w:val="-12"/>
          <w:sz w:val="16"/>
          <w:szCs w:val="16"/>
          <w:lang w:val="es-VE"/>
        </w:rPr>
        <w:t>cusados de t</w:t>
      </w:r>
      <w:r w:rsidRPr="008B6122">
        <w:rPr>
          <w:rFonts w:ascii="Verdana" w:hAnsi="Verdana"/>
          <w:spacing w:val="-12"/>
          <w:sz w:val="16"/>
          <w:szCs w:val="16"/>
          <w:lang w:val="es-VE"/>
        </w:rPr>
        <w:t>raición a la patria; la Asamblea Nacional (AN) condujo una investigación sobre el posible delito de traición a la patria cometido</w:t>
      </w:r>
      <w:r w:rsidRPr="0012407E">
        <w:rPr>
          <w:rFonts w:ascii="Verdana" w:hAnsi="Verdana"/>
          <w:spacing w:val="-12"/>
          <w:sz w:val="16"/>
          <w:szCs w:val="16"/>
          <w:lang w:val="es-VE"/>
        </w:rPr>
        <w:t xml:space="preserve"> por los directivos de Súmate; e</w:t>
      </w:r>
      <w:r w:rsidRPr="00C7142E">
        <w:rPr>
          <w:rFonts w:ascii="Verdana" w:hAnsi="Verdana"/>
          <w:spacing w:val="-12"/>
          <w:sz w:val="16"/>
          <w:szCs w:val="16"/>
          <w:lang w:val="es-VE"/>
        </w:rPr>
        <w:t xml:space="preserve">n su </w:t>
      </w:r>
      <w:r w:rsidRPr="0069409D">
        <w:rPr>
          <w:rFonts w:ascii="Verdana" w:hAnsi="Verdana"/>
          <w:spacing w:val="-12"/>
          <w:sz w:val="16"/>
          <w:szCs w:val="16"/>
          <w:lang w:val="es-VE"/>
        </w:rPr>
        <w:t xml:space="preserve">condición entonces de Presidente de Súmate y último responsable de sus finanzas, fue </w:t>
      </w:r>
      <w:r w:rsidRPr="006C24C0">
        <w:rPr>
          <w:rFonts w:ascii="Verdana" w:hAnsi="Verdana"/>
          <w:spacing w:val="-12"/>
          <w:sz w:val="16"/>
          <w:szCs w:val="16"/>
          <w:lang w:val="es-VE"/>
        </w:rPr>
        <w:t>inter</w:t>
      </w:r>
      <w:r w:rsidRPr="003100FE">
        <w:rPr>
          <w:rFonts w:ascii="Verdana" w:hAnsi="Verdana"/>
          <w:spacing w:val="-12"/>
          <w:sz w:val="16"/>
          <w:szCs w:val="16"/>
          <w:lang w:val="es-VE"/>
        </w:rPr>
        <w:t>pelado por una comisión de la AN, la cual, como resultado de su investigación, solicitó a la Fiscalía acusarlos del delito de traición a la patria. Cuatro miembros de la directiva de Súmate f</w:t>
      </w:r>
      <w:r w:rsidRPr="0003211A">
        <w:rPr>
          <w:rFonts w:ascii="Verdana" w:hAnsi="Verdana"/>
          <w:spacing w:val="-12"/>
          <w:sz w:val="16"/>
          <w:szCs w:val="16"/>
          <w:lang w:val="es-VE"/>
        </w:rPr>
        <w:t>ueron llevados a juicio en una c</w:t>
      </w:r>
      <w:r w:rsidRPr="00CE7020">
        <w:rPr>
          <w:rFonts w:ascii="Verdana" w:hAnsi="Verdana"/>
          <w:spacing w:val="-12"/>
          <w:sz w:val="16"/>
          <w:szCs w:val="16"/>
          <w:lang w:val="es-VE"/>
        </w:rPr>
        <w:t>orte p</w:t>
      </w:r>
      <w:r w:rsidRPr="00773F82">
        <w:rPr>
          <w:rFonts w:ascii="Verdana" w:hAnsi="Verdana"/>
          <w:spacing w:val="-12"/>
          <w:sz w:val="16"/>
          <w:szCs w:val="16"/>
          <w:lang w:val="es-VE"/>
        </w:rPr>
        <w:t>enal acusados por la Fiscal</w:t>
      </w:r>
      <w:r w:rsidRPr="00290E0C">
        <w:rPr>
          <w:rFonts w:ascii="Verdana" w:hAnsi="Verdana"/>
          <w:spacing w:val="-12"/>
          <w:sz w:val="16"/>
          <w:szCs w:val="16"/>
          <w:lang w:val="es-VE"/>
        </w:rPr>
        <w:t>ía de “Traición a la Patria” y “Conspiración para Derrocar el</w:t>
      </w:r>
      <w:r w:rsidRPr="00B252EB">
        <w:rPr>
          <w:rFonts w:ascii="Verdana" w:hAnsi="Verdana"/>
          <w:spacing w:val="-12"/>
          <w:sz w:val="16"/>
          <w:szCs w:val="16"/>
          <w:lang w:val="es-VE"/>
        </w:rPr>
        <w:t xml:space="preserve"> Sistema Democrático Venezol</w:t>
      </w:r>
      <w:r>
        <w:rPr>
          <w:rFonts w:ascii="Verdana" w:hAnsi="Verdana"/>
          <w:spacing w:val="-12"/>
          <w:sz w:val="16"/>
          <w:szCs w:val="16"/>
          <w:lang w:val="es-VE"/>
        </w:rPr>
        <w:t>ano” (</w:t>
      </w:r>
      <w:proofErr w:type="spellStart"/>
      <w:r>
        <w:rPr>
          <w:rFonts w:ascii="Verdana" w:hAnsi="Verdana"/>
          <w:spacing w:val="-12"/>
          <w:sz w:val="16"/>
          <w:szCs w:val="16"/>
          <w:lang w:val="es-VE"/>
        </w:rPr>
        <w:t>exp</w:t>
      </w:r>
      <w:proofErr w:type="spellEnd"/>
      <w:r>
        <w:rPr>
          <w:rFonts w:ascii="Verdana" w:hAnsi="Verdana"/>
          <w:spacing w:val="-12"/>
          <w:sz w:val="16"/>
          <w:szCs w:val="16"/>
          <w:lang w:val="es-VE"/>
        </w:rPr>
        <w:t xml:space="preserve"> p. folio 3283). El testigo </w:t>
      </w:r>
      <w:r w:rsidRPr="00CF3AED">
        <w:rPr>
          <w:rFonts w:ascii="Verdana" w:hAnsi="Verdana"/>
          <w:spacing w:val="-12"/>
          <w:sz w:val="16"/>
          <w:szCs w:val="16"/>
          <w:lang w:val="es-VE"/>
        </w:rPr>
        <w:t xml:space="preserve">Ricardo Ludwig E. Maza </w:t>
      </w:r>
      <w:r>
        <w:rPr>
          <w:rFonts w:ascii="Verdana" w:hAnsi="Verdana"/>
          <w:spacing w:val="-12"/>
          <w:sz w:val="16"/>
          <w:szCs w:val="16"/>
          <w:lang w:val="es-VE"/>
        </w:rPr>
        <w:t>declaró que “e</w:t>
      </w:r>
      <w:r w:rsidRPr="00CF3AED">
        <w:rPr>
          <w:rFonts w:ascii="Verdana" w:hAnsi="Verdana"/>
          <w:spacing w:val="-12"/>
          <w:sz w:val="16"/>
          <w:szCs w:val="16"/>
          <w:lang w:val="es-VE"/>
        </w:rPr>
        <w:t>l CNE y el TSJ desatendieron los recursos administrativos y jurisdiccionales debidamente intentados por SÚMATE en su labor de contraloría ciudadana electoral que siguió efectuando respecto a otros procesos electorales. En una sentencia, el TSJ amenazó con eliminarle la seguridad procesal debida, en caso de que SÚMATE continuara con su labor (a través del sometimiento de recursos jurídicos ante el TSJ denunciando irregularidades y violaciones a la legalidad en la gestión del CNE)</w:t>
      </w:r>
      <w:r>
        <w:rPr>
          <w:rFonts w:ascii="Verdana" w:hAnsi="Verdana"/>
          <w:spacing w:val="-12"/>
          <w:sz w:val="16"/>
          <w:szCs w:val="16"/>
          <w:lang w:val="es-VE"/>
        </w:rPr>
        <w:t>” (</w:t>
      </w:r>
      <w:proofErr w:type="spellStart"/>
      <w:r>
        <w:rPr>
          <w:rFonts w:ascii="Verdana" w:hAnsi="Verdana"/>
          <w:spacing w:val="-12"/>
          <w:sz w:val="16"/>
          <w:szCs w:val="16"/>
          <w:lang w:val="es-VE"/>
        </w:rPr>
        <w:t>exp</w:t>
      </w:r>
      <w:proofErr w:type="spellEnd"/>
      <w:r>
        <w:rPr>
          <w:rFonts w:ascii="Verdana" w:hAnsi="Verdana"/>
          <w:spacing w:val="-12"/>
          <w:sz w:val="16"/>
          <w:szCs w:val="16"/>
          <w:lang w:val="es-VE"/>
        </w:rPr>
        <w:t xml:space="preserve"> p. folio 3107).</w:t>
      </w:r>
      <w:r w:rsidRPr="00CF3AED">
        <w:rPr>
          <w:rFonts w:ascii="Verdana" w:hAnsi="Verdana"/>
          <w:spacing w:val="-12"/>
          <w:sz w:val="16"/>
          <w:szCs w:val="16"/>
          <w:lang w:val="es-VE"/>
        </w:rPr>
        <w:t xml:space="preserve"> </w:t>
      </w:r>
      <w:r>
        <w:rPr>
          <w:rFonts w:ascii="Verdana" w:hAnsi="Verdana"/>
          <w:spacing w:val="-12"/>
          <w:sz w:val="16"/>
          <w:szCs w:val="16"/>
          <w:lang w:val="es-VE"/>
        </w:rPr>
        <w:t>Ver</w:t>
      </w:r>
      <w:r w:rsidRPr="00CF3AED">
        <w:rPr>
          <w:rFonts w:ascii="Verdana" w:hAnsi="Verdana"/>
          <w:spacing w:val="-12"/>
          <w:sz w:val="16"/>
          <w:szCs w:val="16"/>
          <w:lang w:val="es-VE"/>
        </w:rPr>
        <w:t xml:space="preserve"> </w:t>
      </w:r>
      <w:r>
        <w:rPr>
          <w:rFonts w:ascii="Verdana" w:hAnsi="Verdana"/>
          <w:spacing w:val="-12"/>
          <w:sz w:val="16"/>
          <w:szCs w:val="16"/>
          <w:lang w:val="es-VE"/>
        </w:rPr>
        <w:t xml:space="preserve">también declaraciones de </w:t>
      </w:r>
      <w:r w:rsidRPr="00CF3AED">
        <w:rPr>
          <w:rFonts w:ascii="Verdana" w:hAnsi="Verdana"/>
          <w:spacing w:val="-12"/>
          <w:sz w:val="16"/>
          <w:szCs w:val="16"/>
          <w:lang w:val="es-VE"/>
        </w:rPr>
        <w:t>Roberto Abdul-</w:t>
      </w:r>
      <w:proofErr w:type="spellStart"/>
      <w:r w:rsidRPr="00CF3AED">
        <w:rPr>
          <w:rFonts w:ascii="Verdana" w:hAnsi="Verdana"/>
          <w:spacing w:val="-12"/>
          <w:sz w:val="16"/>
          <w:szCs w:val="16"/>
          <w:lang w:val="es-VE"/>
        </w:rPr>
        <w:t>Hadi</w:t>
      </w:r>
      <w:proofErr w:type="spellEnd"/>
      <w:r w:rsidRPr="00CF3AED">
        <w:rPr>
          <w:rFonts w:ascii="Verdana" w:hAnsi="Verdana"/>
          <w:spacing w:val="-12"/>
          <w:sz w:val="16"/>
          <w:szCs w:val="16"/>
          <w:lang w:val="es-VE"/>
        </w:rPr>
        <w:t xml:space="preserve"> Casanova</w:t>
      </w:r>
      <w:r>
        <w:rPr>
          <w:rFonts w:ascii="Verdana" w:hAnsi="Verdana"/>
          <w:spacing w:val="-12"/>
          <w:sz w:val="16"/>
          <w:szCs w:val="16"/>
          <w:lang w:val="es-VE"/>
        </w:rPr>
        <w:t xml:space="preserve"> (</w:t>
      </w:r>
      <w:proofErr w:type="spellStart"/>
      <w:r>
        <w:rPr>
          <w:rFonts w:ascii="Verdana" w:hAnsi="Verdana"/>
          <w:spacing w:val="-12"/>
          <w:sz w:val="16"/>
          <w:szCs w:val="16"/>
          <w:lang w:val="es-VE"/>
        </w:rPr>
        <w:t>exp</w:t>
      </w:r>
      <w:proofErr w:type="spellEnd"/>
      <w:r>
        <w:rPr>
          <w:rFonts w:ascii="Verdana" w:hAnsi="Verdana"/>
          <w:spacing w:val="-12"/>
          <w:sz w:val="16"/>
          <w:szCs w:val="16"/>
          <w:lang w:val="es-VE"/>
        </w:rPr>
        <w:t xml:space="preserve">. prueba, folio 3116) y </w:t>
      </w:r>
      <w:r w:rsidRPr="00CF3AED">
        <w:rPr>
          <w:rFonts w:ascii="Verdana" w:hAnsi="Verdana"/>
          <w:spacing w:val="-12"/>
          <w:sz w:val="16"/>
          <w:szCs w:val="16"/>
          <w:lang w:val="es-VE"/>
        </w:rPr>
        <w:t xml:space="preserve">de Oscar </w:t>
      </w:r>
      <w:proofErr w:type="spellStart"/>
      <w:r w:rsidRPr="00CF3AED">
        <w:rPr>
          <w:rFonts w:ascii="Verdana" w:hAnsi="Verdana"/>
          <w:spacing w:val="-12"/>
          <w:sz w:val="16"/>
          <w:szCs w:val="16"/>
          <w:lang w:val="es-VE"/>
        </w:rPr>
        <w:t>Lucién</w:t>
      </w:r>
      <w:proofErr w:type="spellEnd"/>
      <w:r w:rsidRPr="00CF3AED">
        <w:rPr>
          <w:rFonts w:ascii="Verdana" w:hAnsi="Verdana"/>
          <w:spacing w:val="-12"/>
          <w:sz w:val="16"/>
          <w:szCs w:val="16"/>
          <w:lang w:val="es-VE"/>
        </w:rPr>
        <w:t xml:space="preserve">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  3228).</w:t>
      </w:r>
    </w:p>
  </w:footnote>
  <w:footnote w:id="110">
    <w:p w14:paraId="2B32D101" w14:textId="19A2A033" w:rsidR="00837BB9" w:rsidRPr="00CF3AED" w:rsidRDefault="00837BB9" w:rsidP="008349B1">
      <w:pPr>
        <w:autoSpaceDE w:val="0"/>
        <w:autoSpaceDN w:val="0"/>
        <w:adjustRightInd w:val="0"/>
        <w:spacing w:before="120" w:after="120" w:line="240" w:lineRule="auto"/>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lang w:val="es-VE"/>
        </w:rPr>
        <w:t>Cfr</w:t>
      </w:r>
      <w:r w:rsidRPr="00CF3AED">
        <w:rPr>
          <w:rFonts w:ascii="Verdana" w:hAnsi="Verdana"/>
          <w:spacing w:val="-12"/>
          <w:sz w:val="16"/>
          <w:szCs w:val="16"/>
          <w:lang w:val="es-VE"/>
        </w:rPr>
        <w:t xml:space="preserve">. Declaraciones de </w:t>
      </w:r>
      <w:proofErr w:type="spellStart"/>
      <w:r w:rsidRPr="00CF3AED">
        <w:rPr>
          <w:rFonts w:ascii="Verdana" w:hAnsi="Verdana"/>
          <w:spacing w:val="-12"/>
          <w:sz w:val="16"/>
          <w:szCs w:val="16"/>
          <w:lang w:val="es-VE"/>
        </w:rPr>
        <w:t>Ibéyise</w:t>
      </w:r>
      <w:proofErr w:type="spellEnd"/>
      <w:r w:rsidRPr="00CF3AED">
        <w:rPr>
          <w:rFonts w:ascii="Verdana" w:hAnsi="Verdana"/>
          <w:spacing w:val="-12"/>
          <w:sz w:val="16"/>
          <w:szCs w:val="16"/>
          <w:lang w:val="es-VE"/>
        </w:rPr>
        <w:t xml:space="preserve"> María Pacheco Martini,</w:t>
      </w:r>
      <w:r w:rsidRPr="006203B0">
        <w:rPr>
          <w:rFonts w:ascii="Verdana" w:hAnsi="Verdana"/>
          <w:spacing w:val="-12"/>
          <w:sz w:val="16"/>
          <w:szCs w:val="16"/>
          <w:lang w:val="es-VE"/>
        </w:rPr>
        <w:t xml:space="preserve"> (</w:t>
      </w:r>
      <w:proofErr w:type="spellStart"/>
      <w:r w:rsidRPr="00FC1D38">
        <w:rPr>
          <w:rFonts w:ascii="Verdana" w:hAnsi="Verdana"/>
          <w:spacing w:val="-12"/>
          <w:sz w:val="16"/>
          <w:szCs w:val="16"/>
          <w:lang w:val="es-VE"/>
        </w:rPr>
        <w:t>exp</w:t>
      </w:r>
      <w:proofErr w:type="spellEnd"/>
      <w:r w:rsidRPr="00FC1D38">
        <w:rPr>
          <w:rFonts w:ascii="Verdana" w:hAnsi="Verdana"/>
          <w:spacing w:val="-12"/>
          <w:sz w:val="16"/>
          <w:szCs w:val="16"/>
          <w:lang w:val="es-VE"/>
        </w:rPr>
        <w:t xml:space="preserve">. prueba, </w:t>
      </w:r>
      <w:r w:rsidRPr="000536CF">
        <w:rPr>
          <w:rFonts w:ascii="Verdana" w:hAnsi="Verdana"/>
          <w:spacing w:val="-12"/>
          <w:sz w:val="16"/>
          <w:szCs w:val="16"/>
          <w:lang w:val="es-VE"/>
        </w:rPr>
        <w:t>folio</w:t>
      </w:r>
      <w:r w:rsidRPr="001C16AC">
        <w:rPr>
          <w:rFonts w:ascii="Verdana" w:hAnsi="Verdana"/>
          <w:spacing w:val="-12"/>
          <w:sz w:val="16"/>
          <w:szCs w:val="16"/>
          <w:lang w:val="es-VE"/>
        </w:rPr>
        <w:t xml:space="preserve"> </w:t>
      </w:r>
      <w:r w:rsidRPr="00D55480">
        <w:rPr>
          <w:rFonts w:ascii="Verdana" w:hAnsi="Verdana"/>
          <w:spacing w:val="-12"/>
          <w:sz w:val="16"/>
          <w:szCs w:val="16"/>
          <w:lang w:val="es-VE"/>
        </w:rPr>
        <w:t xml:space="preserve">3314); Maria Gabriela Cuevas, </w:t>
      </w:r>
      <w:r w:rsidRPr="009E7E48">
        <w:rPr>
          <w:rFonts w:ascii="Verdana" w:hAnsi="Verdana"/>
          <w:spacing w:val="-12"/>
          <w:sz w:val="16"/>
          <w:szCs w:val="16"/>
          <w:lang w:val="es-VE"/>
        </w:rPr>
        <w:t>(</w:t>
      </w:r>
      <w:proofErr w:type="spellStart"/>
      <w:r w:rsidRPr="008B6122">
        <w:rPr>
          <w:rFonts w:ascii="Verdana" w:hAnsi="Verdana"/>
          <w:spacing w:val="-12"/>
          <w:sz w:val="16"/>
          <w:szCs w:val="16"/>
          <w:lang w:val="es-VE"/>
        </w:rPr>
        <w:t>exp</w:t>
      </w:r>
      <w:proofErr w:type="spellEnd"/>
      <w:r w:rsidRPr="008B6122">
        <w:rPr>
          <w:rFonts w:ascii="Verdana" w:hAnsi="Verdana"/>
          <w:spacing w:val="-12"/>
          <w:sz w:val="16"/>
          <w:szCs w:val="16"/>
          <w:lang w:val="es-VE"/>
        </w:rPr>
        <w:t xml:space="preserve">. prueba,  </w:t>
      </w:r>
      <w:r w:rsidRPr="0012407E">
        <w:rPr>
          <w:rFonts w:ascii="Verdana" w:hAnsi="Verdana"/>
          <w:spacing w:val="-12"/>
          <w:sz w:val="16"/>
          <w:szCs w:val="16"/>
          <w:lang w:val="es-VE"/>
        </w:rPr>
        <w:t>f</w:t>
      </w:r>
      <w:r w:rsidRPr="00C7142E">
        <w:rPr>
          <w:rFonts w:ascii="Verdana" w:hAnsi="Verdana"/>
          <w:spacing w:val="-12"/>
          <w:sz w:val="16"/>
          <w:szCs w:val="16"/>
          <w:lang w:val="es-VE"/>
        </w:rPr>
        <w:t>olio</w:t>
      </w:r>
      <w:r w:rsidRPr="0069409D">
        <w:rPr>
          <w:rFonts w:ascii="Verdana" w:hAnsi="Verdana"/>
          <w:spacing w:val="-12"/>
          <w:sz w:val="16"/>
          <w:szCs w:val="16"/>
          <w:lang w:val="es-VE"/>
        </w:rPr>
        <w:t xml:space="preserve"> </w:t>
      </w:r>
      <w:r w:rsidRPr="003100FE">
        <w:rPr>
          <w:rFonts w:ascii="Verdana" w:hAnsi="Verdana"/>
          <w:spacing w:val="-12"/>
          <w:sz w:val="16"/>
          <w:szCs w:val="16"/>
          <w:lang w:val="es-VE"/>
        </w:rPr>
        <w:t>3124)</w:t>
      </w:r>
      <w:r w:rsidRPr="0003211A">
        <w:rPr>
          <w:rFonts w:ascii="Verdana" w:hAnsi="Verdana"/>
          <w:spacing w:val="-12"/>
          <w:sz w:val="16"/>
          <w:szCs w:val="16"/>
          <w:lang w:val="es-VE"/>
        </w:rPr>
        <w:t xml:space="preserve">; José </w:t>
      </w:r>
      <w:proofErr w:type="spellStart"/>
      <w:r w:rsidRPr="0003211A">
        <w:rPr>
          <w:rFonts w:ascii="Verdana" w:hAnsi="Verdana"/>
          <w:spacing w:val="-12"/>
          <w:sz w:val="16"/>
          <w:szCs w:val="16"/>
          <w:lang w:val="es-VE"/>
        </w:rPr>
        <w:t>Angel</w:t>
      </w:r>
      <w:proofErr w:type="spellEnd"/>
      <w:r w:rsidRPr="00CE7020">
        <w:rPr>
          <w:rFonts w:ascii="Verdana" w:hAnsi="Verdana"/>
          <w:spacing w:val="-12"/>
          <w:sz w:val="16"/>
          <w:szCs w:val="16"/>
          <w:lang w:val="es-VE"/>
        </w:rPr>
        <w:t xml:space="preserve"> Guerra, (</w:t>
      </w:r>
      <w:proofErr w:type="spellStart"/>
      <w:r w:rsidRPr="00773F82">
        <w:rPr>
          <w:rFonts w:ascii="Verdana" w:hAnsi="Verdana"/>
          <w:spacing w:val="-12"/>
          <w:sz w:val="16"/>
          <w:szCs w:val="16"/>
          <w:lang w:val="es-VE"/>
        </w:rPr>
        <w:t>exp</w:t>
      </w:r>
      <w:proofErr w:type="spellEnd"/>
      <w:r w:rsidRPr="00773F82">
        <w:rPr>
          <w:rFonts w:ascii="Verdana" w:hAnsi="Verdana"/>
          <w:spacing w:val="-12"/>
          <w:sz w:val="16"/>
          <w:szCs w:val="16"/>
          <w:lang w:val="es-VE"/>
        </w:rPr>
        <w:t xml:space="preserve">. prueba, </w:t>
      </w:r>
      <w:r w:rsidRPr="00290E0C">
        <w:rPr>
          <w:rFonts w:ascii="Verdana" w:hAnsi="Verdana"/>
          <w:spacing w:val="-12"/>
          <w:sz w:val="16"/>
          <w:szCs w:val="16"/>
          <w:lang w:val="es-VE"/>
        </w:rPr>
        <w:t>f</w:t>
      </w:r>
      <w:r w:rsidRPr="00B252EB">
        <w:rPr>
          <w:rFonts w:ascii="Verdana" w:hAnsi="Verdana"/>
          <w:spacing w:val="-12"/>
          <w:sz w:val="16"/>
          <w:szCs w:val="16"/>
          <w:lang w:val="es-VE"/>
        </w:rPr>
        <w:t>olio</w:t>
      </w:r>
      <w:r w:rsidRPr="00D758B5">
        <w:rPr>
          <w:rFonts w:ascii="Verdana" w:hAnsi="Verdana"/>
          <w:spacing w:val="-12"/>
          <w:sz w:val="16"/>
          <w:szCs w:val="16"/>
          <w:lang w:val="es-VE"/>
        </w:rPr>
        <w:t xml:space="preserve"> </w:t>
      </w:r>
      <w:r w:rsidRPr="00CF3AED">
        <w:rPr>
          <w:rFonts w:ascii="Verdana" w:hAnsi="Verdana"/>
          <w:spacing w:val="-12"/>
          <w:sz w:val="16"/>
          <w:szCs w:val="16"/>
          <w:lang w:val="es-VE"/>
        </w:rPr>
        <w:t>3145); testigo Froilán Alejandro Barrios Nieves,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 3154; Vicente Carmelo Bello Ríos,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 3170); Antonio José Rivero González,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folio 3332). </w:t>
      </w:r>
      <w:r>
        <w:rPr>
          <w:rFonts w:ascii="Verdana" w:hAnsi="Verdana"/>
          <w:spacing w:val="-12"/>
          <w:sz w:val="16"/>
          <w:szCs w:val="16"/>
          <w:lang w:val="es-VE"/>
        </w:rPr>
        <w:t>Ver también</w:t>
      </w:r>
      <w:r w:rsidRPr="00CF3AED">
        <w:rPr>
          <w:rFonts w:ascii="Verdana" w:hAnsi="Verdana"/>
          <w:spacing w:val="-12"/>
          <w:sz w:val="16"/>
          <w:szCs w:val="16"/>
          <w:lang w:val="es-VE"/>
        </w:rPr>
        <w:t xml:space="preserve"> la declaración de María Vicenta </w:t>
      </w:r>
      <w:proofErr w:type="spellStart"/>
      <w:r w:rsidRPr="00CF3AED">
        <w:rPr>
          <w:rFonts w:ascii="Verdana" w:hAnsi="Verdana"/>
          <w:spacing w:val="-12"/>
          <w:sz w:val="16"/>
          <w:szCs w:val="16"/>
          <w:lang w:val="es-VE"/>
        </w:rPr>
        <w:t>Verdeal</w:t>
      </w:r>
      <w:proofErr w:type="spellEnd"/>
      <w:r w:rsidRPr="00CF3AED">
        <w:rPr>
          <w:rFonts w:ascii="Verdana" w:hAnsi="Verdana"/>
          <w:spacing w:val="-12"/>
          <w:sz w:val="16"/>
          <w:szCs w:val="16"/>
          <w:lang w:val="es-VE"/>
        </w:rPr>
        <w:t xml:space="preserve"> Durán</w:t>
      </w:r>
      <w:r>
        <w:rPr>
          <w:rFonts w:ascii="Verdana" w:hAnsi="Verdana"/>
          <w:spacing w:val="-12"/>
          <w:sz w:val="16"/>
          <w:szCs w:val="16"/>
          <w:lang w:val="es-VE"/>
        </w:rPr>
        <w:t xml:space="preserve">, quien afirmó que “con más de veinte </w:t>
      </w:r>
      <w:r w:rsidRPr="00CF3AED">
        <w:rPr>
          <w:rFonts w:ascii="Verdana" w:hAnsi="Verdana"/>
          <w:spacing w:val="-12"/>
          <w:sz w:val="16"/>
          <w:szCs w:val="16"/>
          <w:lang w:val="es-VE"/>
        </w:rPr>
        <w:t>(20) años de servicio en la administración pública no [ha] podido ingresar nuevamente a ninguna instancia desde que [fue] destituida en el 2004 de la Defensoría del Pueblo” y que “siempre antes de revisar las credenciales se hace la pregunta: ¿firmaste el revocatorio? Entonces no ingresas”,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 3159).</w:t>
      </w:r>
    </w:p>
  </w:footnote>
  <w:footnote w:id="111">
    <w:p w14:paraId="050504AD" w14:textId="4FAFC849"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VE"/>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w:t>
      </w:r>
      <w:r w:rsidRPr="006C24C0">
        <w:rPr>
          <w:rFonts w:ascii="Verdana" w:hAnsi="Verdana"/>
          <w:spacing w:val="-12"/>
          <w:sz w:val="16"/>
          <w:szCs w:val="16"/>
          <w:lang w:val="es-VE"/>
        </w:rPr>
        <w:t xml:space="preserve">Declaración </w:t>
      </w:r>
      <w:r w:rsidRPr="003100FE">
        <w:rPr>
          <w:rFonts w:ascii="Verdana" w:hAnsi="Verdana"/>
          <w:spacing w:val="-12"/>
          <w:sz w:val="16"/>
          <w:szCs w:val="16"/>
          <w:lang w:val="es-VE"/>
        </w:rPr>
        <w:t xml:space="preserve">de Horacio Medina </w:t>
      </w:r>
      <w:r w:rsidRPr="00CE7020">
        <w:rPr>
          <w:rFonts w:ascii="Verdana" w:hAnsi="Verdana"/>
          <w:spacing w:val="-12"/>
          <w:sz w:val="16"/>
          <w:szCs w:val="16"/>
          <w:lang w:val="es-VE"/>
        </w:rPr>
        <w:t>(</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 xml:space="preserve">. prueba, </w:t>
      </w:r>
      <w:r w:rsidRPr="00773F82">
        <w:rPr>
          <w:rFonts w:ascii="Verdana" w:hAnsi="Verdana"/>
          <w:spacing w:val="-12"/>
          <w:sz w:val="16"/>
          <w:szCs w:val="16"/>
          <w:lang w:val="es-VE"/>
        </w:rPr>
        <w:t>f</w:t>
      </w:r>
      <w:r w:rsidRPr="00290E0C">
        <w:rPr>
          <w:rFonts w:ascii="Verdana" w:hAnsi="Verdana"/>
          <w:spacing w:val="-12"/>
          <w:sz w:val="16"/>
          <w:szCs w:val="16"/>
          <w:lang w:val="es-VE"/>
        </w:rPr>
        <w:t>olios</w:t>
      </w:r>
      <w:r w:rsidRPr="00B252EB">
        <w:rPr>
          <w:rFonts w:ascii="Verdana" w:hAnsi="Verdana"/>
          <w:spacing w:val="-12"/>
          <w:sz w:val="16"/>
          <w:szCs w:val="16"/>
          <w:lang w:val="es-VE"/>
        </w:rPr>
        <w:t xml:space="preserve">  </w:t>
      </w:r>
      <w:r w:rsidRPr="00D758B5">
        <w:rPr>
          <w:rFonts w:ascii="Verdana" w:hAnsi="Verdana"/>
          <w:spacing w:val="-12"/>
          <w:sz w:val="16"/>
          <w:szCs w:val="16"/>
          <w:lang w:val="es-VE"/>
        </w:rPr>
        <w:t>3338 y 3342).</w:t>
      </w:r>
      <w:r w:rsidRPr="00CF3AED">
        <w:rPr>
          <w:rFonts w:ascii="Verdana" w:hAnsi="Verdana"/>
          <w:spacing w:val="-12"/>
          <w:sz w:val="16"/>
          <w:szCs w:val="16"/>
          <w:lang w:val="es-VE"/>
        </w:rPr>
        <w:t xml:space="preserve"> </w:t>
      </w:r>
    </w:p>
  </w:footnote>
  <w:footnote w:id="112">
    <w:p w14:paraId="5DC719CC" w14:textId="25A366AC" w:rsidR="00837BB9" w:rsidRPr="00B252EB"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El Universal, “</w:t>
      </w:r>
      <w:r w:rsidRPr="006C24C0">
        <w:rPr>
          <w:rFonts w:ascii="Verdana" w:hAnsi="Verdana"/>
          <w:spacing w:val="-12"/>
          <w:sz w:val="16"/>
          <w:szCs w:val="16"/>
          <w:lang w:val="es-VE"/>
        </w:rPr>
        <w:t>Fiscalía abre investigación por discriminación a firmantes del RR</w:t>
      </w:r>
      <w:r w:rsidRPr="003100FE">
        <w:rPr>
          <w:rFonts w:ascii="Verdana" w:hAnsi="Verdana"/>
          <w:spacing w:val="-12"/>
          <w:sz w:val="16"/>
          <w:szCs w:val="16"/>
          <w:lang w:val="es-VE"/>
        </w:rPr>
        <w:t>”</w:t>
      </w:r>
      <w:r w:rsidRPr="0003211A">
        <w:rPr>
          <w:rFonts w:ascii="Verdana" w:hAnsi="Verdana"/>
          <w:spacing w:val="-12"/>
          <w:sz w:val="16"/>
          <w:szCs w:val="16"/>
          <w:lang w:val="es-VE"/>
        </w:rPr>
        <w:t>, 28 de abril de 2005 (</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 prueba, f</w:t>
      </w:r>
      <w:r w:rsidRPr="00773F82">
        <w:rPr>
          <w:rFonts w:ascii="Verdana" w:hAnsi="Verdana"/>
          <w:spacing w:val="-12"/>
          <w:sz w:val="16"/>
          <w:szCs w:val="16"/>
          <w:lang w:val="es-VE"/>
        </w:rPr>
        <w:t>olio</w:t>
      </w:r>
      <w:r w:rsidRPr="00B252EB">
        <w:rPr>
          <w:rFonts w:ascii="Verdana" w:hAnsi="Verdana"/>
          <w:spacing w:val="-12"/>
          <w:sz w:val="16"/>
          <w:szCs w:val="16"/>
          <w:lang w:val="es-VE"/>
        </w:rPr>
        <w:t xml:space="preserve"> 186).</w:t>
      </w:r>
    </w:p>
  </w:footnote>
  <w:footnote w:id="113">
    <w:p w14:paraId="3A35952E" w14:textId="08A69946" w:rsidR="00837BB9" w:rsidRPr="00D758B5"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Comunicado del Ministerio Público: “</w:t>
      </w:r>
      <w:r w:rsidRPr="006C24C0">
        <w:rPr>
          <w:rFonts w:ascii="Verdana" w:hAnsi="Verdana"/>
          <w:spacing w:val="-12"/>
          <w:sz w:val="16"/>
          <w:szCs w:val="16"/>
          <w:lang w:val="es-VE"/>
        </w:rPr>
        <w:t>Ministerio Público inició averiguación sobre uso de listados para solicit</w:t>
      </w:r>
      <w:r w:rsidRPr="003100FE">
        <w:rPr>
          <w:rFonts w:ascii="Verdana" w:hAnsi="Verdana"/>
          <w:spacing w:val="-12"/>
          <w:sz w:val="16"/>
          <w:szCs w:val="16"/>
          <w:lang w:val="es-VE"/>
        </w:rPr>
        <w:t>ud de referendos en 2004</w:t>
      </w:r>
      <w:r w:rsidRPr="0003211A">
        <w:rPr>
          <w:rFonts w:ascii="Verdana" w:hAnsi="Verdana"/>
          <w:spacing w:val="-12"/>
          <w:sz w:val="16"/>
          <w:szCs w:val="16"/>
          <w:lang w:val="es-VE"/>
        </w:rPr>
        <w:t>”</w:t>
      </w:r>
      <w:r w:rsidRPr="00CE7020">
        <w:rPr>
          <w:rFonts w:ascii="Verdana" w:hAnsi="Verdana"/>
          <w:spacing w:val="-12"/>
          <w:sz w:val="16"/>
          <w:szCs w:val="16"/>
          <w:lang w:val="es-VE"/>
        </w:rPr>
        <w:t xml:space="preserve"> (</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w:t>
      </w:r>
      <w:r w:rsidRPr="00773F82">
        <w:rPr>
          <w:rFonts w:ascii="Verdana" w:hAnsi="Verdana"/>
          <w:spacing w:val="-12"/>
          <w:sz w:val="16"/>
          <w:szCs w:val="16"/>
          <w:lang w:val="es-VE"/>
        </w:rPr>
        <w:t xml:space="preserve"> prueba, </w:t>
      </w:r>
      <w:r w:rsidRPr="00290E0C">
        <w:rPr>
          <w:rFonts w:ascii="Verdana" w:hAnsi="Verdana"/>
          <w:spacing w:val="-12"/>
          <w:sz w:val="16"/>
          <w:szCs w:val="16"/>
          <w:lang w:val="es-VE"/>
        </w:rPr>
        <w:t>f</w:t>
      </w:r>
      <w:r w:rsidRPr="00B252EB">
        <w:rPr>
          <w:rFonts w:ascii="Verdana" w:hAnsi="Verdana"/>
          <w:spacing w:val="-12"/>
          <w:sz w:val="16"/>
          <w:szCs w:val="16"/>
          <w:lang w:val="es-VE"/>
        </w:rPr>
        <w:t>olios</w:t>
      </w:r>
      <w:r w:rsidRPr="00D758B5">
        <w:rPr>
          <w:rFonts w:ascii="Verdana" w:hAnsi="Verdana"/>
          <w:spacing w:val="-12"/>
          <w:sz w:val="16"/>
          <w:szCs w:val="16"/>
          <w:lang w:val="es-VE"/>
        </w:rPr>
        <w:t xml:space="preserve"> 188-189).</w:t>
      </w:r>
    </w:p>
  </w:footnote>
  <w:footnote w:id="114">
    <w:p w14:paraId="34A8D908" w14:textId="5290A57F" w:rsidR="00837BB9" w:rsidRPr="0069409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w:t>
      </w:r>
      <w:r w:rsidRPr="0069409D">
        <w:rPr>
          <w:rFonts w:ascii="Verdana" w:hAnsi="Verdana"/>
          <w:spacing w:val="-12"/>
          <w:sz w:val="16"/>
          <w:szCs w:val="16"/>
          <w:lang w:val="es-EC"/>
        </w:rPr>
        <w:t>Pronunciamiento del Presidente de la República, Hugo Chávez</w:t>
      </w:r>
      <w:r>
        <w:rPr>
          <w:rFonts w:ascii="Verdana" w:hAnsi="Verdana"/>
          <w:spacing w:val="-12"/>
          <w:sz w:val="16"/>
          <w:szCs w:val="16"/>
          <w:lang w:val="es-EC"/>
        </w:rPr>
        <w:t>,</w:t>
      </w:r>
      <w:r w:rsidRPr="0069409D">
        <w:rPr>
          <w:rFonts w:ascii="Verdana" w:hAnsi="Verdana"/>
          <w:spacing w:val="-12"/>
          <w:sz w:val="16"/>
          <w:szCs w:val="16"/>
          <w:lang w:val="es-EC"/>
        </w:rPr>
        <w:t xml:space="preserve"> durante el V Gabinete Móvil 15 de abril de 2005 en la ciudad de Puerto Ordaz</w:t>
      </w:r>
      <w:r w:rsidRPr="006C24C0">
        <w:rPr>
          <w:rFonts w:ascii="Verdana" w:hAnsi="Verdana"/>
          <w:spacing w:val="-12"/>
          <w:sz w:val="16"/>
          <w:szCs w:val="16"/>
          <w:lang w:val="es-EC"/>
        </w:rPr>
        <w:t>,</w:t>
      </w:r>
      <w:r w:rsidRPr="003100FE">
        <w:rPr>
          <w:rFonts w:ascii="Verdana" w:hAnsi="Verdana"/>
          <w:spacing w:val="-12"/>
          <w:sz w:val="16"/>
          <w:szCs w:val="16"/>
          <w:lang w:val="es-EC"/>
        </w:rPr>
        <w:t xml:space="preserve"> citado en </w:t>
      </w:r>
      <w:r w:rsidRPr="0003211A">
        <w:rPr>
          <w:rFonts w:ascii="Verdana" w:hAnsi="Verdana"/>
          <w:spacing w:val="-12"/>
          <w:sz w:val="16"/>
          <w:szCs w:val="16"/>
          <w:lang w:val="es-VE"/>
        </w:rPr>
        <w:t>CIDH, Democracia y derechos hum</w:t>
      </w:r>
      <w:r w:rsidRPr="00CE7020">
        <w:rPr>
          <w:rFonts w:ascii="Verdana" w:hAnsi="Verdana"/>
          <w:spacing w:val="-12"/>
          <w:sz w:val="16"/>
          <w:szCs w:val="16"/>
          <w:lang w:val="es-VE"/>
        </w:rPr>
        <w:t>anos en Venezuela, OEA/</w:t>
      </w:r>
      <w:proofErr w:type="spellStart"/>
      <w:r w:rsidRPr="00CE7020">
        <w:rPr>
          <w:rFonts w:ascii="Verdana" w:hAnsi="Verdana"/>
          <w:spacing w:val="-12"/>
          <w:sz w:val="16"/>
          <w:szCs w:val="16"/>
          <w:lang w:val="es-VE"/>
        </w:rPr>
        <w:t>Ser.L</w:t>
      </w:r>
      <w:proofErr w:type="spellEnd"/>
      <w:r w:rsidRPr="00CE7020">
        <w:rPr>
          <w:rFonts w:ascii="Verdana" w:hAnsi="Verdana"/>
          <w:spacing w:val="-12"/>
          <w:sz w:val="16"/>
          <w:szCs w:val="16"/>
          <w:lang w:val="es-VE"/>
        </w:rPr>
        <w:t xml:space="preserve">/V/II.Doc.54, 30 de diciembre de 2009, cap. </w:t>
      </w:r>
      <w:proofErr w:type="spellStart"/>
      <w:r w:rsidRPr="00CE7020">
        <w:rPr>
          <w:rFonts w:ascii="Verdana" w:hAnsi="Verdana"/>
          <w:spacing w:val="-12"/>
          <w:sz w:val="16"/>
          <w:szCs w:val="16"/>
          <w:lang w:val="es-VE"/>
        </w:rPr>
        <w:t>II.a</w:t>
      </w:r>
      <w:proofErr w:type="spellEnd"/>
      <w:r w:rsidRPr="00CE7020">
        <w:rPr>
          <w:rFonts w:ascii="Verdana" w:hAnsi="Verdana"/>
          <w:spacing w:val="-12"/>
          <w:sz w:val="16"/>
          <w:szCs w:val="16"/>
          <w:lang w:val="es-VE"/>
        </w:rPr>
        <w:t>, párr. 99,</w:t>
      </w:r>
      <w:r w:rsidRPr="00290E0C">
        <w:rPr>
          <w:rFonts w:ascii="Verdana" w:hAnsi="Verdana"/>
          <w:spacing w:val="-12"/>
          <w:sz w:val="16"/>
          <w:szCs w:val="16"/>
          <w:lang w:val="es-VE"/>
        </w:rPr>
        <w:t xml:space="preserve"> </w:t>
      </w:r>
      <w:r w:rsidRPr="0054215F">
        <w:rPr>
          <w:rFonts w:ascii="Verdana" w:hAnsi="Verdana"/>
          <w:spacing w:val="-12"/>
          <w:sz w:val="16"/>
          <w:szCs w:val="16"/>
          <w:lang w:val="es-VE"/>
        </w:rPr>
        <w:t>d</w:t>
      </w:r>
      <w:r w:rsidRPr="00D758B5">
        <w:rPr>
          <w:rFonts w:ascii="Verdana" w:hAnsi="Verdana"/>
          <w:spacing w:val="-12"/>
          <w:sz w:val="16"/>
          <w:szCs w:val="16"/>
          <w:lang w:val="es-VE"/>
        </w:rPr>
        <w:t xml:space="preserve">isponible en: </w:t>
      </w:r>
      <w:hyperlink r:id="rId32" w:anchor="_ftn75" w:history="1">
        <w:r w:rsidRPr="00CF3AED">
          <w:rPr>
            <w:rStyle w:val="Hyperlink"/>
            <w:rFonts w:ascii="Verdana" w:hAnsi="Verdana"/>
            <w:spacing w:val="-12"/>
            <w:sz w:val="16"/>
            <w:szCs w:val="16"/>
            <w:lang w:val="es-VE"/>
          </w:rPr>
          <w:t>http://www.cidh.org/countryrep/Venezuela2009sp/VE09CAPIISP.htm#_ftn75</w:t>
        </w:r>
      </w:hyperlink>
      <w:r w:rsidRPr="00C7142E">
        <w:rPr>
          <w:rStyle w:val="Hyperlink"/>
          <w:rFonts w:ascii="Verdana" w:hAnsi="Verdana"/>
          <w:spacing w:val="-12"/>
          <w:sz w:val="16"/>
          <w:szCs w:val="16"/>
          <w:lang w:val="es-VE"/>
        </w:rPr>
        <w:t>.</w:t>
      </w:r>
      <w:r w:rsidRPr="00C7142E">
        <w:rPr>
          <w:rFonts w:ascii="Verdana" w:hAnsi="Verdana"/>
          <w:spacing w:val="-12"/>
          <w:sz w:val="16"/>
          <w:szCs w:val="16"/>
          <w:lang w:val="es-VE"/>
        </w:rPr>
        <w:t xml:space="preserve"> </w:t>
      </w:r>
      <w:r w:rsidRPr="0069409D">
        <w:rPr>
          <w:rFonts w:ascii="Verdana" w:hAnsi="Verdana"/>
          <w:spacing w:val="-12"/>
          <w:sz w:val="16"/>
          <w:szCs w:val="16"/>
          <w:lang w:val="es-VE"/>
        </w:rPr>
        <w:t xml:space="preserve"> </w:t>
      </w:r>
    </w:p>
  </w:footnote>
  <w:footnote w:id="115">
    <w:p w14:paraId="4F5C75FE" w14:textId="0D1592F4" w:rsidR="00837BB9" w:rsidRPr="00D758B5"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Nota de prensa de 6 de mayo de 2005 de “Últimas Noticias”, en cadenaglobal.com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prueba, f</w:t>
      </w:r>
      <w:r w:rsidRPr="00773F82">
        <w:rPr>
          <w:rFonts w:ascii="Verdana" w:hAnsi="Verdana"/>
          <w:spacing w:val="-12"/>
          <w:sz w:val="16"/>
          <w:szCs w:val="16"/>
          <w:lang w:val="es-VE"/>
        </w:rPr>
        <w:t>olio</w:t>
      </w:r>
      <w:r w:rsidRPr="00B252EB">
        <w:rPr>
          <w:rFonts w:ascii="Verdana" w:hAnsi="Verdana"/>
          <w:spacing w:val="-12"/>
          <w:sz w:val="16"/>
          <w:szCs w:val="16"/>
          <w:lang w:val="es-VE"/>
        </w:rPr>
        <w:t xml:space="preserve"> 33)</w:t>
      </w:r>
      <w:r w:rsidRPr="0054215F">
        <w:rPr>
          <w:rFonts w:ascii="Verdana" w:hAnsi="Verdana"/>
          <w:spacing w:val="-12"/>
          <w:sz w:val="16"/>
          <w:szCs w:val="16"/>
          <w:lang w:val="es-VE"/>
        </w:rPr>
        <w:t>.</w:t>
      </w:r>
    </w:p>
  </w:footnote>
  <w:footnote w:id="116">
    <w:p w14:paraId="7D800C6D" w14:textId="1229DB86"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CIDH, Democracia y derechos humanos en Venezuela, </w:t>
      </w:r>
      <w:r w:rsidRPr="0069409D">
        <w:rPr>
          <w:rFonts w:ascii="Verdana" w:hAnsi="Verdana"/>
          <w:i/>
          <w:spacing w:val="-12"/>
          <w:sz w:val="16"/>
          <w:szCs w:val="16"/>
          <w:lang w:val="es-VE"/>
        </w:rPr>
        <w:t>supra</w:t>
      </w:r>
      <w:r w:rsidRPr="006C24C0">
        <w:rPr>
          <w:rFonts w:ascii="Verdana" w:hAnsi="Verdana"/>
          <w:spacing w:val="-12"/>
          <w:sz w:val="16"/>
          <w:szCs w:val="16"/>
          <w:lang w:val="es-VE"/>
        </w:rPr>
        <w:t xml:space="preserve">, cap. </w:t>
      </w:r>
      <w:proofErr w:type="spellStart"/>
      <w:r w:rsidRPr="006C24C0">
        <w:rPr>
          <w:rFonts w:ascii="Verdana" w:hAnsi="Verdana"/>
          <w:spacing w:val="-12"/>
          <w:sz w:val="16"/>
          <w:szCs w:val="16"/>
          <w:lang w:val="es-VE"/>
        </w:rPr>
        <w:t>II.a</w:t>
      </w:r>
      <w:proofErr w:type="spellEnd"/>
      <w:r w:rsidRPr="006C24C0">
        <w:rPr>
          <w:rFonts w:ascii="Verdana" w:hAnsi="Verdana"/>
          <w:spacing w:val="-12"/>
          <w:sz w:val="16"/>
          <w:szCs w:val="16"/>
          <w:lang w:val="es-VE"/>
        </w:rPr>
        <w:t xml:space="preserve">, párr. 101. </w:t>
      </w:r>
      <w:r w:rsidRPr="003100FE">
        <w:rPr>
          <w:rFonts w:ascii="Verdana" w:eastAsiaTheme="minorHAnsi" w:hAnsi="Verdana" w:cstheme="minorBidi"/>
          <w:spacing w:val="-12"/>
          <w:sz w:val="16"/>
          <w:szCs w:val="16"/>
          <w:lang w:val="es-VE"/>
        </w:rPr>
        <w:t>El testigo Roberto Anton</w:t>
      </w:r>
      <w:r w:rsidRPr="0003211A">
        <w:rPr>
          <w:rFonts w:ascii="Verdana" w:eastAsiaTheme="minorHAnsi" w:hAnsi="Verdana" w:cstheme="minorBidi"/>
          <w:spacing w:val="-12"/>
          <w:sz w:val="16"/>
          <w:szCs w:val="16"/>
          <w:lang w:val="es-VE"/>
        </w:rPr>
        <w:t>io Picón</w:t>
      </w:r>
      <w:r w:rsidRPr="00CE7020">
        <w:rPr>
          <w:rFonts w:ascii="Verdana" w:eastAsiaTheme="minorHAnsi" w:hAnsi="Verdana" w:cstheme="minorBidi"/>
          <w:spacing w:val="-12"/>
          <w:sz w:val="16"/>
          <w:szCs w:val="16"/>
          <w:lang w:val="es-VE"/>
        </w:rPr>
        <w:t xml:space="preserve"> Herrera declaró que “la lista </w:t>
      </w:r>
      <w:proofErr w:type="spellStart"/>
      <w:r w:rsidRPr="00CE7020">
        <w:rPr>
          <w:rFonts w:ascii="Verdana" w:eastAsiaTheme="minorHAnsi" w:hAnsi="Verdana" w:cstheme="minorBidi"/>
          <w:spacing w:val="-12"/>
          <w:sz w:val="16"/>
          <w:szCs w:val="16"/>
          <w:lang w:val="es-VE"/>
        </w:rPr>
        <w:t>Maisanta</w:t>
      </w:r>
      <w:proofErr w:type="spellEnd"/>
      <w:r w:rsidRPr="00CE7020">
        <w:rPr>
          <w:rFonts w:ascii="Verdana" w:eastAsiaTheme="minorHAnsi" w:hAnsi="Verdana" w:cstheme="minorBidi"/>
          <w:spacing w:val="-12"/>
          <w:sz w:val="16"/>
          <w:szCs w:val="16"/>
          <w:lang w:val="es-VE"/>
        </w:rPr>
        <w:t xml:space="preserve"> es un programa de computación elaborado por el Comando Electoral </w:t>
      </w:r>
      <w:proofErr w:type="spellStart"/>
      <w:r w:rsidRPr="00CE7020">
        <w:rPr>
          <w:rFonts w:ascii="Verdana" w:eastAsiaTheme="minorHAnsi" w:hAnsi="Verdana" w:cstheme="minorBidi"/>
          <w:spacing w:val="-12"/>
          <w:sz w:val="16"/>
          <w:szCs w:val="16"/>
          <w:lang w:val="es-VE"/>
        </w:rPr>
        <w:t>Maisanta</w:t>
      </w:r>
      <w:proofErr w:type="spellEnd"/>
      <w:r w:rsidRPr="00CE7020">
        <w:rPr>
          <w:rFonts w:ascii="Verdana" w:eastAsiaTheme="minorHAnsi" w:hAnsi="Verdana" w:cstheme="minorBidi"/>
          <w:spacing w:val="-12"/>
          <w:sz w:val="16"/>
          <w:szCs w:val="16"/>
          <w:lang w:val="es-VE"/>
        </w:rPr>
        <w:t xml:space="preserve"> (del partido fundado por Hugo Chávez) que integra varias tablas de datos y permite su consulta mediante una interfaz amigable. Las tablas con</w:t>
      </w:r>
      <w:r w:rsidRPr="00773F82">
        <w:rPr>
          <w:rFonts w:ascii="Verdana" w:eastAsiaTheme="minorHAnsi" w:hAnsi="Verdana" w:cstheme="minorBidi"/>
          <w:spacing w:val="-12"/>
          <w:sz w:val="16"/>
          <w:szCs w:val="16"/>
          <w:lang w:val="es-VE"/>
        </w:rPr>
        <w:t xml:space="preserve">sultadas son entre otras el registro electoral, los firmantes para solicitar el revocatorio presidencial (Lista </w:t>
      </w:r>
      <w:proofErr w:type="spellStart"/>
      <w:r w:rsidRPr="00773F82">
        <w:rPr>
          <w:rFonts w:ascii="Verdana" w:eastAsiaTheme="minorHAnsi" w:hAnsi="Verdana" w:cstheme="minorBidi"/>
          <w:spacing w:val="-12"/>
          <w:sz w:val="16"/>
          <w:szCs w:val="16"/>
          <w:lang w:val="es-VE"/>
        </w:rPr>
        <w:t>Tasc</w:t>
      </w:r>
      <w:r>
        <w:rPr>
          <w:rFonts w:ascii="Verdana" w:eastAsiaTheme="minorHAnsi" w:hAnsi="Verdana" w:cstheme="minorBidi"/>
          <w:spacing w:val="-12"/>
          <w:sz w:val="16"/>
          <w:szCs w:val="16"/>
          <w:lang w:val="es-VE"/>
        </w:rPr>
        <w:t>ó</w:t>
      </w:r>
      <w:r w:rsidRPr="00773F82">
        <w:rPr>
          <w:rFonts w:ascii="Verdana" w:eastAsiaTheme="minorHAnsi" w:hAnsi="Verdana" w:cstheme="minorBidi"/>
          <w:spacing w:val="-12"/>
          <w:sz w:val="16"/>
          <w:szCs w:val="16"/>
          <w:lang w:val="es-VE"/>
        </w:rPr>
        <w:t>n</w:t>
      </w:r>
      <w:proofErr w:type="spellEnd"/>
      <w:r w:rsidRPr="00773F82">
        <w:rPr>
          <w:rFonts w:ascii="Verdana" w:eastAsiaTheme="minorHAnsi" w:hAnsi="Verdana" w:cstheme="minorBidi"/>
          <w:spacing w:val="-12"/>
          <w:sz w:val="16"/>
          <w:szCs w:val="16"/>
          <w:lang w:val="es-VE"/>
        </w:rPr>
        <w:t>), y otra información privada (custodiada por el Estado, no para ser compartida con ningún partido político o persona) como la dirección d</w:t>
      </w:r>
      <w:r w:rsidRPr="00290E0C">
        <w:rPr>
          <w:rFonts w:ascii="Verdana" w:eastAsiaTheme="minorHAnsi" w:hAnsi="Verdana" w:cstheme="minorBidi"/>
          <w:spacing w:val="-12"/>
          <w:sz w:val="16"/>
          <w:szCs w:val="16"/>
          <w:lang w:val="es-VE"/>
        </w:rPr>
        <w:t xml:space="preserve">e habitación, la participación de </w:t>
      </w:r>
      <w:r>
        <w:rPr>
          <w:rFonts w:ascii="Verdana" w:eastAsiaTheme="minorHAnsi" w:hAnsi="Verdana" w:cstheme="minorBidi"/>
          <w:spacing w:val="-12"/>
          <w:sz w:val="16"/>
          <w:szCs w:val="16"/>
          <w:lang w:val="es-VE"/>
        </w:rPr>
        <w:t>l</w:t>
      </w:r>
      <w:r w:rsidRPr="00290E0C">
        <w:rPr>
          <w:rFonts w:ascii="Verdana" w:eastAsiaTheme="minorHAnsi" w:hAnsi="Verdana" w:cstheme="minorBidi"/>
          <w:spacing w:val="-12"/>
          <w:sz w:val="16"/>
          <w:szCs w:val="16"/>
          <w:lang w:val="es-VE"/>
        </w:rPr>
        <w:t>a persona en eventos electorales anteriores, la condición de beneficiario de programas sociales del Estado (Misiones)”</w:t>
      </w:r>
      <w:r w:rsidRPr="00B252EB">
        <w:rPr>
          <w:rFonts w:ascii="Verdana" w:eastAsiaTheme="minorHAnsi" w:hAnsi="Verdana" w:cstheme="minorBidi"/>
          <w:spacing w:val="-12"/>
          <w:sz w:val="16"/>
          <w:szCs w:val="16"/>
          <w:lang w:val="es-VE"/>
        </w:rPr>
        <w:t xml:space="preserve"> (</w:t>
      </w:r>
      <w:proofErr w:type="spellStart"/>
      <w:r w:rsidRPr="0054215F">
        <w:rPr>
          <w:rFonts w:ascii="Verdana" w:eastAsiaTheme="minorHAnsi" w:hAnsi="Verdana" w:cstheme="minorBidi"/>
          <w:spacing w:val="-12"/>
          <w:sz w:val="16"/>
          <w:szCs w:val="16"/>
          <w:lang w:val="es-VE"/>
        </w:rPr>
        <w:t>exp</w:t>
      </w:r>
      <w:proofErr w:type="spellEnd"/>
      <w:r w:rsidRPr="0054215F">
        <w:rPr>
          <w:rFonts w:ascii="Verdana" w:eastAsiaTheme="minorHAnsi" w:hAnsi="Verdana" w:cstheme="minorBidi"/>
          <w:spacing w:val="-12"/>
          <w:sz w:val="16"/>
          <w:szCs w:val="16"/>
          <w:lang w:val="es-VE"/>
        </w:rPr>
        <w:t xml:space="preserve">. prueba, </w:t>
      </w:r>
      <w:r w:rsidRPr="00D758B5">
        <w:rPr>
          <w:rFonts w:ascii="Verdana" w:eastAsiaTheme="minorHAnsi" w:hAnsi="Verdana" w:cstheme="minorBidi"/>
          <w:spacing w:val="-12"/>
          <w:sz w:val="16"/>
          <w:szCs w:val="16"/>
          <w:lang w:val="es-VE"/>
        </w:rPr>
        <w:t>folio 3162)</w:t>
      </w:r>
      <w:r w:rsidRPr="00CF3AED">
        <w:rPr>
          <w:rFonts w:ascii="Verdana" w:eastAsiaTheme="minorHAnsi" w:hAnsi="Verdana" w:cstheme="minorBidi"/>
          <w:spacing w:val="-12"/>
          <w:sz w:val="16"/>
          <w:szCs w:val="16"/>
          <w:lang w:val="es-VE"/>
        </w:rPr>
        <w:t xml:space="preserve">.  </w:t>
      </w:r>
    </w:p>
  </w:footnote>
  <w:footnote w:id="117">
    <w:p w14:paraId="03D06FAD" w14:textId="5E47E437"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Declaración del testigo Roberto Antonio Picón Herrera, </w:t>
      </w:r>
      <w:r w:rsidRPr="006C24C0">
        <w:rPr>
          <w:rFonts w:ascii="Verdana" w:hAnsi="Verdana"/>
          <w:spacing w:val="-12"/>
          <w:sz w:val="16"/>
          <w:szCs w:val="16"/>
          <w:lang w:val="es-VE"/>
        </w:rPr>
        <w:t>(</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prue</w:t>
      </w:r>
      <w:r w:rsidRPr="0003211A">
        <w:rPr>
          <w:rFonts w:ascii="Verdana" w:hAnsi="Verdana"/>
          <w:spacing w:val="-12"/>
          <w:sz w:val="16"/>
          <w:szCs w:val="16"/>
          <w:lang w:val="es-VE"/>
        </w:rPr>
        <w:t>ba,</w:t>
      </w:r>
      <w:r w:rsidRPr="00CE7020">
        <w:rPr>
          <w:rFonts w:ascii="Verdana" w:hAnsi="Verdana"/>
          <w:spacing w:val="-12"/>
          <w:sz w:val="16"/>
          <w:szCs w:val="16"/>
          <w:lang w:val="es-VE"/>
        </w:rPr>
        <w:t xml:space="preserve"> f</w:t>
      </w:r>
      <w:r w:rsidRPr="00773F82">
        <w:rPr>
          <w:rFonts w:ascii="Verdana" w:hAnsi="Verdana"/>
          <w:spacing w:val="-12"/>
          <w:sz w:val="16"/>
          <w:szCs w:val="16"/>
          <w:lang w:val="es-VE"/>
        </w:rPr>
        <w:t>olio</w:t>
      </w:r>
      <w:r w:rsidRPr="00B252EB">
        <w:rPr>
          <w:rFonts w:ascii="Verdana" w:hAnsi="Verdana"/>
          <w:spacing w:val="-12"/>
          <w:sz w:val="16"/>
          <w:szCs w:val="16"/>
          <w:lang w:val="es-VE"/>
        </w:rPr>
        <w:t xml:space="preserve"> </w:t>
      </w:r>
      <w:r w:rsidRPr="00D758B5">
        <w:rPr>
          <w:rFonts w:ascii="Verdana" w:hAnsi="Verdana"/>
          <w:spacing w:val="-12"/>
          <w:sz w:val="16"/>
          <w:szCs w:val="16"/>
          <w:lang w:val="es-VE"/>
        </w:rPr>
        <w:t>3163)</w:t>
      </w:r>
      <w:r w:rsidRPr="00CF3AED">
        <w:rPr>
          <w:rFonts w:ascii="Verdana" w:hAnsi="Verdana"/>
          <w:spacing w:val="-12"/>
          <w:sz w:val="16"/>
          <w:szCs w:val="16"/>
          <w:lang w:val="es-VE"/>
        </w:rPr>
        <w:t>.</w:t>
      </w:r>
    </w:p>
  </w:footnote>
  <w:footnote w:id="118">
    <w:p w14:paraId="05584095" w14:textId="0D06C0EF" w:rsidR="00837BB9" w:rsidRPr="00CF3AED" w:rsidRDefault="00837BB9" w:rsidP="008349B1">
      <w:pPr>
        <w:autoSpaceDE w:val="0"/>
        <w:autoSpaceDN w:val="0"/>
        <w:adjustRightInd w:val="0"/>
        <w:spacing w:before="120" w:after="120" w:line="240" w:lineRule="auto"/>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lang w:val="es-VE"/>
        </w:rPr>
        <w:t>Cfr</w:t>
      </w:r>
      <w:r>
        <w:rPr>
          <w:rFonts w:ascii="Verdana" w:hAnsi="Verdana"/>
          <w:spacing w:val="-12"/>
          <w:sz w:val="16"/>
          <w:szCs w:val="16"/>
          <w:lang w:val="es-VE"/>
        </w:rPr>
        <w:t>. Declaraciones de</w:t>
      </w:r>
      <w:r w:rsidRPr="00CF3AED">
        <w:rPr>
          <w:rFonts w:ascii="Verdana" w:hAnsi="Verdana"/>
          <w:spacing w:val="-12"/>
          <w:sz w:val="16"/>
          <w:szCs w:val="16"/>
          <w:lang w:val="es-VE"/>
        </w:rPr>
        <w:t xml:space="preserve"> Roberto Antonio Picón Herrera, </w:t>
      </w:r>
      <w:r w:rsidRPr="006203B0">
        <w:rPr>
          <w:rFonts w:ascii="Verdana" w:hAnsi="Verdana"/>
          <w:spacing w:val="-12"/>
          <w:sz w:val="16"/>
          <w:szCs w:val="16"/>
          <w:lang w:val="es-VE"/>
        </w:rPr>
        <w:t>(</w:t>
      </w:r>
      <w:proofErr w:type="spellStart"/>
      <w:r w:rsidRPr="00FC1D38">
        <w:rPr>
          <w:rFonts w:ascii="Verdana" w:hAnsi="Verdana"/>
          <w:spacing w:val="-12"/>
          <w:sz w:val="16"/>
          <w:szCs w:val="16"/>
          <w:lang w:val="es-VE"/>
        </w:rPr>
        <w:t>exp</w:t>
      </w:r>
      <w:proofErr w:type="spellEnd"/>
      <w:r w:rsidRPr="00FC1D38">
        <w:rPr>
          <w:rFonts w:ascii="Verdana" w:hAnsi="Verdana"/>
          <w:spacing w:val="-12"/>
          <w:sz w:val="16"/>
          <w:szCs w:val="16"/>
          <w:lang w:val="es-VE"/>
        </w:rPr>
        <w:t>. prueba,</w:t>
      </w:r>
      <w:r w:rsidRPr="000536CF">
        <w:rPr>
          <w:rFonts w:ascii="Verdana" w:hAnsi="Verdana"/>
          <w:spacing w:val="-12"/>
          <w:sz w:val="16"/>
          <w:szCs w:val="16"/>
          <w:lang w:val="es-VE"/>
        </w:rPr>
        <w:t xml:space="preserve"> folio</w:t>
      </w:r>
      <w:r w:rsidRPr="006001C8">
        <w:rPr>
          <w:rFonts w:ascii="Verdana" w:hAnsi="Verdana"/>
          <w:spacing w:val="-12"/>
          <w:sz w:val="16"/>
          <w:szCs w:val="16"/>
          <w:lang w:val="es-VE"/>
        </w:rPr>
        <w:t xml:space="preserve"> </w:t>
      </w:r>
      <w:r w:rsidRPr="00D55480">
        <w:rPr>
          <w:rFonts w:ascii="Verdana" w:hAnsi="Verdana"/>
          <w:spacing w:val="-12"/>
          <w:sz w:val="16"/>
          <w:szCs w:val="16"/>
          <w:lang w:val="es-VE"/>
        </w:rPr>
        <w:t>3164)</w:t>
      </w:r>
      <w:r w:rsidRPr="009E7E48">
        <w:rPr>
          <w:rFonts w:ascii="Verdana" w:hAnsi="Verdana"/>
          <w:spacing w:val="-12"/>
          <w:sz w:val="16"/>
          <w:szCs w:val="16"/>
          <w:lang w:val="es-VE"/>
        </w:rPr>
        <w:t xml:space="preserve">; Vicente Carmelo Bello Ríos, </w:t>
      </w:r>
      <w:r w:rsidRPr="008B6122">
        <w:rPr>
          <w:rFonts w:ascii="Verdana" w:hAnsi="Verdana"/>
          <w:spacing w:val="-12"/>
          <w:sz w:val="16"/>
          <w:szCs w:val="16"/>
          <w:lang w:val="es-VE"/>
        </w:rPr>
        <w:t>(</w:t>
      </w:r>
      <w:proofErr w:type="spellStart"/>
      <w:r w:rsidRPr="008B6122">
        <w:rPr>
          <w:rFonts w:ascii="Verdana" w:hAnsi="Verdana"/>
          <w:spacing w:val="-12"/>
          <w:sz w:val="16"/>
          <w:szCs w:val="16"/>
          <w:lang w:val="es-VE"/>
        </w:rPr>
        <w:t>exp</w:t>
      </w:r>
      <w:proofErr w:type="spellEnd"/>
      <w:r w:rsidRPr="008B6122">
        <w:rPr>
          <w:rFonts w:ascii="Verdana" w:hAnsi="Verdana"/>
          <w:spacing w:val="-12"/>
          <w:sz w:val="16"/>
          <w:szCs w:val="16"/>
          <w:lang w:val="es-VE"/>
        </w:rPr>
        <w:t>. prueba,</w:t>
      </w:r>
      <w:r w:rsidRPr="0012407E">
        <w:rPr>
          <w:rFonts w:ascii="Verdana" w:hAnsi="Verdana"/>
          <w:spacing w:val="-12"/>
          <w:sz w:val="16"/>
          <w:szCs w:val="16"/>
          <w:lang w:val="es-VE"/>
        </w:rPr>
        <w:t xml:space="preserve"> </w:t>
      </w:r>
      <w:r w:rsidRPr="00C7142E">
        <w:rPr>
          <w:rFonts w:ascii="Verdana" w:hAnsi="Verdana"/>
          <w:spacing w:val="-12"/>
          <w:sz w:val="16"/>
          <w:szCs w:val="16"/>
          <w:lang w:val="es-VE"/>
        </w:rPr>
        <w:t>folio</w:t>
      </w:r>
      <w:r w:rsidRPr="0069409D">
        <w:rPr>
          <w:rFonts w:ascii="Verdana" w:hAnsi="Verdana"/>
          <w:spacing w:val="-12"/>
          <w:sz w:val="16"/>
          <w:szCs w:val="16"/>
          <w:lang w:val="es-VE"/>
        </w:rPr>
        <w:t xml:space="preserve"> </w:t>
      </w:r>
      <w:r w:rsidRPr="003100FE">
        <w:rPr>
          <w:rFonts w:ascii="Verdana" w:hAnsi="Verdana"/>
          <w:spacing w:val="-12"/>
          <w:sz w:val="16"/>
          <w:szCs w:val="16"/>
          <w:lang w:val="es-VE"/>
        </w:rPr>
        <w:t>3169)</w:t>
      </w:r>
      <w:r w:rsidRPr="0003211A">
        <w:rPr>
          <w:rFonts w:ascii="Verdana" w:hAnsi="Verdana"/>
          <w:spacing w:val="-12"/>
          <w:sz w:val="16"/>
          <w:szCs w:val="16"/>
          <w:lang w:val="es-VE"/>
        </w:rPr>
        <w:t>; Anton</w:t>
      </w:r>
      <w:r w:rsidRPr="00CE7020">
        <w:rPr>
          <w:rFonts w:ascii="Verdana" w:hAnsi="Verdana"/>
          <w:spacing w:val="-12"/>
          <w:sz w:val="16"/>
          <w:szCs w:val="16"/>
          <w:lang w:val="es-VE"/>
        </w:rPr>
        <w:t>io José Rivero González, (</w:t>
      </w:r>
      <w:proofErr w:type="spellStart"/>
      <w:r w:rsidRPr="00773F82">
        <w:rPr>
          <w:rFonts w:ascii="Verdana" w:hAnsi="Verdana"/>
          <w:spacing w:val="-12"/>
          <w:sz w:val="16"/>
          <w:szCs w:val="16"/>
          <w:lang w:val="es-VE"/>
        </w:rPr>
        <w:t>exp</w:t>
      </w:r>
      <w:proofErr w:type="spellEnd"/>
      <w:r w:rsidRPr="00773F82">
        <w:rPr>
          <w:rFonts w:ascii="Verdana" w:hAnsi="Verdana"/>
          <w:spacing w:val="-12"/>
          <w:sz w:val="16"/>
          <w:szCs w:val="16"/>
          <w:lang w:val="es-VE"/>
        </w:rPr>
        <w:t xml:space="preserve">. prueba, </w:t>
      </w:r>
      <w:r w:rsidRPr="00290E0C">
        <w:rPr>
          <w:rFonts w:ascii="Verdana" w:hAnsi="Verdana"/>
          <w:spacing w:val="-12"/>
          <w:sz w:val="16"/>
          <w:szCs w:val="16"/>
          <w:lang w:val="es-VE"/>
        </w:rPr>
        <w:t>f</w:t>
      </w:r>
      <w:r w:rsidRPr="00B252EB">
        <w:rPr>
          <w:rFonts w:ascii="Verdana" w:hAnsi="Verdana"/>
          <w:spacing w:val="-12"/>
          <w:sz w:val="16"/>
          <w:szCs w:val="16"/>
          <w:lang w:val="es-VE"/>
        </w:rPr>
        <w:t>olio</w:t>
      </w:r>
      <w:r w:rsidRPr="00D758B5">
        <w:rPr>
          <w:rFonts w:ascii="Verdana" w:hAnsi="Verdana"/>
          <w:spacing w:val="-12"/>
          <w:sz w:val="16"/>
          <w:szCs w:val="16"/>
          <w:lang w:val="es-VE"/>
        </w:rPr>
        <w:t xml:space="preserve"> </w:t>
      </w:r>
      <w:r w:rsidRPr="00CF3AED">
        <w:rPr>
          <w:rFonts w:ascii="Verdana" w:hAnsi="Verdana"/>
          <w:spacing w:val="-12"/>
          <w:sz w:val="16"/>
          <w:szCs w:val="16"/>
          <w:lang w:val="es-VE"/>
        </w:rPr>
        <w:t>3330). Ver también la declaración de Froilán Alejandro Barrios Nieves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 3153).</w:t>
      </w:r>
    </w:p>
  </w:footnote>
  <w:footnote w:id="119">
    <w:p w14:paraId="0A677FB8" w14:textId="774F80BE"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 xml:space="preserve">Según un informe de la Oficina de Análisis y Asesoría Jurídica de la Vicepresidencia, la utilización de dichos contratos sin las garantías de estabilidad propias de los funcionarios fijos, obedeció a la falta de aprobación de la Ley Orgánica de Fronteras, la cual crearía un organismo para dirigir los asuntos fronterizos del Estado y permitiría la estabilidad de sus funcionarios. </w:t>
      </w:r>
      <w:r w:rsidRPr="006C24C0">
        <w:rPr>
          <w:rFonts w:ascii="Verdana" w:hAnsi="Verdana"/>
          <w:i/>
          <w:spacing w:val="-12"/>
          <w:sz w:val="16"/>
          <w:szCs w:val="16"/>
          <w:lang w:val="es-VE"/>
        </w:rPr>
        <w:t>Cfr.</w:t>
      </w:r>
      <w:r w:rsidRPr="003100FE">
        <w:rPr>
          <w:rFonts w:ascii="Verdana" w:hAnsi="Verdana"/>
          <w:spacing w:val="-12"/>
          <w:sz w:val="16"/>
          <w:szCs w:val="16"/>
          <w:lang w:val="es-VE"/>
        </w:rPr>
        <w:t xml:space="preserve"> Informe de la Coordinadora de Análisis y Asesorí</w:t>
      </w:r>
      <w:r w:rsidRPr="0003211A">
        <w:rPr>
          <w:rFonts w:ascii="Verdana" w:hAnsi="Verdana"/>
          <w:spacing w:val="-12"/>
          <w:sz w:val="16"/>
          <w:szCs w:val="16"/>
          <w:lang w:val="es-VE"/>
        </w:rPr>
        <w:t>a Jurídica de la Vicepresidencia de la República dirigido al Vicepresidente de Venezuela, 8 de diciembre de 2003 (</w:t>
      </w:r>
      <w:proofErr w:type="spellStart"/>
      <w:r w:rsidRPr="00CE7020">
        <w:rPr>
          <w:rFonts w:ascii="Verdana" w:hAnsi="Verdana"/>
          <w:spacing w:val="-12"/>
          <w:sz w:val="16"/>
          <w:szCs w:val="16"/>
          <w:lang w:val="es-VE"/>
        </w:rPr>
        <w:t>exp</w:t>
      </w:r>
      <w:proofErr w:type="spellEnd"/>
      <w:r w:rsidRPr="00773F82">
        <w:rPr>
          <w:rFonts w:ascii="Verdana" w:hAnsi="Verdana"/>
          <w:spacing w:val="-12"/>
          <w:sz w:val="16"/>
          <w:szCs w:val="16"/>
          <w:lang w:val="es-VE"/>
        </w:rPr>
        <w:t>.</w:t>
      </w:r>
      <w:r w:rsidRPr="00290E0C">
        <w:rPr>
          <w:rFonts w:ascii="Verdana" w:hAnsi="Verdana"/>
          <w:spacing w:val="-12"/>
          <w:sz w:val="16"/>
          <w:szCs w:val="16"/>
          <w:lang w:val="es-VE"/>
        </w:rPr>
        <w:t xml:space="preserve"> </w:t>
      </w:r>
      <w:r w:rsidRPr="0054215F">
        <w:rPr>
          <w:rFonts w:ascii="Verdana" w:hAnsi="Verdana"/>
          <w:spacing w:val="-12"/>
          <w:sz w:val="16"/>
          <w:szCs w:val="16"/>
          <w:lang w:val="es-VE"/>
        </w:rPr>
        <w:t>prueba, f</w:t>
      </w:r>
      <w:r w:rsidRPr="00D758B5">
        <w:rPr>
          <w:rFonts w:ascii="Verdana" w:hAnsi="Verdana"/>
          <w:spacing w:val="-12"/>
          <w:sz w:val="16"/>
          <w:szCs w:val="16"/>
          <w:lang w:val="es-VE"/>
        </w:rPr>
        <w:t>olio</w:t>
      </w:r>
      <w:r w:rsidRPr="00CF3AED">
        <w:rPr>
          <w:rFonts w:ascii="Verdana" w:hAnsi="Verdana"/>
          <w:spacing w:val="-12"/>
          <w:sz w:val="16"/>
          <w:szCs w:val="16"/>
          <w:lang w:val="es-VE"/>
        </w:rPr>
        <w:t xml:space="preserve"> 192). </w:t>
      </w:r>
    </w:p>
  </w:footnote>
  <w:footnote w:id="120">
    <w:p w14:paraId="3F9B5AC9" w14:textId="400AFD9C"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Contratos de Rocío San Miguel con el Consejo Nacional de Fronteras:  Del 1 de julio de 1996 hasta el 31 de diciembre de 1996, del 1 de enero de 1997 al 31 de diciembre de 1997, del 1 de enero de 1998 al 31 de diciembre de 1998, del 1 de enero de 2000 al 31 de marzo de 2000, del 1 de enero de 2001 al 31 de diciembre de 2001, del 1 de enero de 2002 </w:t>
      </w:r>
      <w:r w:rsidRPr="006C24C0">
        <w:rPr>
          <w:rFonts w:ascii="Verdana" w:hAnsi="Verdana"/>
          <w:spacing w:val="-12"/>
          <w:sz w:val="16"/>
          <w:szCs w:val="16"/>
          <w:lang w:val="es-VE"/>
        </w:rPr>
        <w:t>a 31 de diciembre de 2002, del 1 de enero de 2003 a 31 de diciembre de 2003 y del 1 de enero de 2004 al 31 de diciembre de 2004.(</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p</w:t>
      </w:r>
      <w:r w:rsidRPr="00773F82">
        <w:rPr>
          <w:rFonts w:ascii="Verdana" w:hAnsi="Verdana"/>
          <w:spacing w:val="-12"/>
          <w:sz w:val="16"/>
          <w:szCs w:val="16"/>
          <w:lang w:val="es-VE"/>
        </w:rPr>
        <w:t>rueba</w:t>
      </w:r>
      <w:r w:rsidRPr="00290E0C">
        <w:rPr>
          <w:rFonts w:ascii="Verdana" w:hAnsi="Verdana"/>
          <w:spacing w:val="-12"/>
          <w:sz w:val="16"/>
          <w:szCs w:val="16"/>
          <w:lang w:val="es-VE"/>
        </w:rPr>
        <w:t>, f</w:t>
      </w:r>
      <w:r w:rsidRPr="00B252EB">
        <w:rPr>
          <w:rFonts w:ascii="Verdana" w:hAnsi="Verdana"/>
          <w:spacing w:val="-12"/>
          <w:sz w:val="16"/>
          <w:szCs w:val="16"/>
          <w:lang w:val="es-VE"/>
        </w:rPr>
        <w:t>olios</w:t>
      </w:r>
      <w:r w:rsidRPr="0054215F">
        <w:rPr>
          <w:rFonts w:ascii="Verdana" w:hAnsi="Verdana"/>
          <w:spacing w:val="-12"/>
          <w:sz w:val="16"/>
          <w:szCs w:val="16"/>
          <w:lang w:val="es-VE"/>
        </w:rPr>
        <w:t xml:space="preserve"> 195</w:t>
      </w:r>
      <w:r w:rsidRPr="00D758B5">
        <w:rPr>
          <w:rFonts w:ascii="Verdana" w:hAnsi="Verdana"/>
          <w:spacing w:val="-12"/>
          <w:sz w:val="16"/>
          <w:szCs w:val="16"/>
          <w:lang w:val="es-VE"/>
        </w:rPr>
        <w:t xml:space="preserve"> a </w:t>
      </w:r>
      <w:r w:rsidRPr="00CF3AED">
        <w:rPr>
          <w:rFonts w:ascii="Verdana" w:hAnsi="Verdana"/>
          <w:spacing w:val="-12"/>
          <w:sz w:val="16"/>
          <w:szCs w:val="16"/>
          <w:lang w:val="es-VE"/>
        </w:rPr>
        <w:t>216).</w:t>
      </w:r>
    </w:p>
  </w:footnote>
  <w:footnote w:id="121">
    <w:p w14:paraId="45F6998D" w14:textId="4D3787DA"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Contrato laboral celebrado entre el titular del Consejo Nacional de Fronteras con Rocío San Miguel Sosa el 31 de diciembre de 2003 (</w:t>
      </w:r>
      <w:proofErr w:type="spellStart"/>
      <w:r w:rsidRPr="006C24C0">
        <w:rPr>
          <w:rFonts w:ascii="Verdana" w:hAnsi="Verdana"/>
          <w:spacing w:val="-12"/>
          <w:sz w:val="16"/>
          <w:szCs w:val="16"/>
          <w:lang w:val="es-VE"/>
        </w:rPr>
        <w:t>exp</w:t>
      </w:r>
      <w:proofErr w:type="spellEnd"/>
      <w:r w:rsidRPr="003100FE">
        <w:rPr>
          <w:rFonts w:ascii="Verdana" w:hAnsi="Verdana"/>
          <w:spacing w:val="-12"/>
          <w:sz w:val="16"/>
          <w:szCs w:val="16"/>
          <w:lang w:val="es-VE"/>
        </w:rPr>
        <w:t>.</w:t>
      </w:r>
      <w:r w:rsidRPr="0003211A">
        <w:rPr>
          <w:rFonts w:ascii="Verdana" w:hAnsi="Verdana"/>
          <w:spacing w:val="-12"/>
          <w:sz w:val="16"/>
          <w:szCs w:val="16"/>
          <w:lang w:val="es-VE"/>
        </w:rPr>
        <w:t xml:space="preserve"> </w:t>
      </w:r>
      <w:r w:rsidRPr="00CE7020">
        <w:rPr>
          <w:rFonts w:ascii="Verdana" w:hAnsi="Verdana"/>
          <w:spacing w:val="-12"/>
          <w:sz w:val="16"/>
          <w:szCs w:val="16"/>
          <w:lang w:val="es-VE"/>
        </w:rPr>
        <w:t>prueba, f</w:t>
      </w:r>
      <w:r w:rsidRPr="00773F82">
        <w:rPr>
          <w:rFonts w:ascii="Verdana" w:hAnsi="Verdana"/>
          <w:spacing w:val="-12"/>
          <w:sz w:val="16"/>
          <w:szCs w:val="16"/>
          <w:lang w:val="es-VE"/>
        </w:rPr>
        <w:t>olios</w:t>
      </w:r>
      <w:r w:rsidRPr="00290E0C">
        <w:rPr>
          <w:rFonts w:ascii="Verdana" w:hAnsi="Verdana"/>
          <w:spacing w:val="-12"/>
          <w:sz w:val="16"/>
          <w:szCs w:val="16"/>
          <w:lang w:val="es-VE"/>
        </w:rPr>
        <w:t xml:space="preserve"> 218</w:t>
      </w:r>
      <w:r w:rsidRPr="00B252EB">
        <w:rPr>
          <w:rFonts w:ascii="Verdana" w:hAnsi="Verdana"/>
          <w:spacing w:val="-12"/>
          <w:sz w:val="16"/>
          <w:szCs w:val="16"/>
          <w:lang w:val="es-VE"/>
        </w:rPr>
        <w:t xml:space="preserve"> a </w:t>
      </w:r>
      <w:r w:rsidRPr="00D758B5">
        <w:rPr>
          <w:rFonts w:ascii="Verdana" w:hAnsi="Verdana"/>
          <w:spacing w:val="-12"/>
          <w:sz w:val="16"/>
          <w:szCs w:val="16"/>
          <w:lang w:val="es-VE"/>
        </w:rPr>
        <w:t>219).</w:t>
      </w:r>
    </w:p>
  </w:footnote>
  <w:footnote w:id="122">
    <w:p w14:paraId="13D99C10" w14:textId="089378AD"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 xml:space="preserve">Cfr. </w:t>
      </w:r>
      <w:proofErr w:type="spellStart"/>
      <w:r w:rsidRPr="00C7142E">
        <w:rPr>
          <w:rFonts w:ascii="Verdana" w:hAnsi="Verdana"/>
          <w:spacing w:val="-12"/>
          <w:sz w:val="16"/>
          <w:szCs w:val="16"/>
          <w:lang w:val="es-VE"/>
        </w:rPr>
        <w:t>Magally</w:t>
      </w:r>
      <w:proofErr w:type="spellEnd"/>
      <w:r w:rsidRPr="00C7142E">
        <w:rPr>
          <w:rFonts w:ascii="Verdana" w:hAnsi="Verdana"/>
          <w:spacing w:val="-12"/>
          <w:sz w:val="16"/>
          <w:szCs w:val="16"/>
          <w:lang w:val="es-VE"/>
        </w:rPr>
        <w:t xml:space="preserve"> Chang Girón celebró 12 contratos </w:t>
      </w:r>
      <w:r w:rsidRPr="0069409D">
        <w:rPr>
          <w:rFonts w:ascii="Verdana" w:hAnsi="Verdana"/>
          <w:spacing w:val="-12"/>
          <w:sz w:val="16"/>
          <w:szCs w:val="16"/>
          <w:lang w:val="es-VE"/>
        </w:rPr>
        <w:t>con el Consejo Nacional de Fronteras: del 1 de mayo de 1997 al 31 de diciembre de 1997, del 1 de enero de 1998 al 31 d</w:t>
      </w:r>
      <w:r w:rsidRPr="006C24C0">
        <w:rPr>
          <w:rFonts w:ascii="Verdana" w:hAnsi="Verdana"/>
          <w:spacing w:val="-12"/>
          <w:sz w:val="16"/>
          <w:szCs w:val="16"/>
          <w:lang w:val="es-VE"/>
        </w:rPr>
        <w:t>e diciembre de 1998, del 1 de enero de 1999 al 31 de marzo de 1999, del 1 de abril de 1999 al 31 de mayo de 1999, del 1 de junio de 1999 al 30 de junio de 1999, del 1 de julio de 1999 al 31 de diciembre de 1999, del 1 de enero de 2000 al 31 de marzo de 200</w:t>
      </w:r>
      <w:r w:rsidRPr="003100FE">
        <w:rPr>
          <w:rFonts w:ascii="Verdana" w:hAnsi="Verdana"/>
          <w:spacing w:val="-12"/>
          <w:sz w:val="16"/>
          <w:szCs w:val="16"/>
          <w:lang w:val="es-VE"/>
        </w:rPr>
        <w:t xml:space="preserve">0, del 1 de abril de 2000 al 31 diciembre de 2000, del 1 de enero de 2001 al 31 de diciembre de 2001, del 1 de enero de 2002 al 31 de diciembre de 2002, del 1 de enero de 2003 al 31 de diciembre de 2003 y del 1 de enero de 2004 al 31 de diciembre de 2004, </w:t>
      </w:r>
      <w:r w:rsidRPr="0003211A">
        <w:rPr>
          <w:rFonts w:ascii="Verdana" w:hAnsi="Verdana"/>
          <w:spacing w:val="-12"/>
          <w:sz w:val="16"/>
          <w:szCs w:val="16"/>
          <w:lang w:val="es-VE"/>
        </w:rPr>
        <w:t>(</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w:t>
      </w:r>
      <w:r w:rsidRPr="00773F82">
        <w:rPr>
          <w:rFonts w:ascii="Verdana" w:hAnsi="Verdana"/>
          <w:spacing w:val="-12"/>
          <w:sz w:val="16"/>
          <w:szCs w:val="16"/>
          <w:lang w:val="es-VE"/>
        </w:rPr>
        <w:t xml:space="preserve"> </w:t>
      </w:r>
      <w:r w:rsidRPr="00B252EB">
        <w:rPr>
          <w:rFonts w:ascii="Verdana" w:hAnsi="Verdana"/>
          <w:spacing w:val="-12"/>
          <w:sz w:val="16"/>
          <w:szCs w:val="16"/>
          <w:lang w:val="es-VE"/>
        </w:rPr>
        <w:t>prueba, f</w:t>
      </w:r>
      <w:r w:rsidRPr="0054215F">
        <w:rPr>
          <w:rFonts w:ascii="Verdana" w:hAnsi="Verdana"/>
          <w:spacing w:val="-12"/>
          <w:sz w:val="16"/>
          <w:szCs w:val="16"/>
          <w:lang w:val="es-VE"/>
        </w:rPr>
        <w:t>olios</w:t>
      </w:r>
      <w:r w:rsidRPr="00CF3AED">
        <w:rPr>
          <w:rFonts w:ascii="Verdana" w:hAnsi="Verdana"/>
          <w:spacing w:val="-12"/>
          <w:sz w:val="16"/>
          <w:szCs w:val="16"/>
          <w:lang w:val="es-VE"/>
        </w:rPr>
        <w:t xml:space="preserve"> 221 a 255). </w:t>
      </w:r>
    </w:p>
  </w:footnote>
  <w:footnote w:id="123">
    <w:p w14:paraId="253F92DE" w14:textId="5645A534" w:rsidR="00837BB9" w:rsidRPr="00B252EB"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Contrato laboral celebrado entre el titular del Consejo Nacional de Fronteras con </w:t>
      </w:r>
      <w:proofErr w:type="spellStart"/>
      <w:r w:rsidRPr="0069409D">
        <w:rPr>
          <w:rFonts w:ascii="Verdana" w:hAnsi="Verdana"/>
          <w:spacing w:val="-12"/>
          <w:sz w:val="16"/>
          <w:szCs w:val="16"/>
          <w:lang w:val="es-VE"/>
        </w:rPr>
        <w:t>Magally</w:t>
      </w:r>
      <w:proofErr w:type="spellEnd"/>
      <w:r w:rsidRPr="0069409D">
        <w:rPr>
          <w:rFonts w:ascii="Verdana" w:hAnsi="Verdana"/>
          <w:spacing w:val="-12"/>
          <w:sz w:val="16"/>
          <w:szCs w:val="16"/>
          <w:lang w:val="es-VE"/>
        </w:rPr>
        <w:t xml:space="preserve"> M. Chang Girón el 31 de diciembre de 2003 (</w:t>
      </w:r>
      <w:proofErr w:type="spellStart"/>
      <w:r w:rsidRPr="0069409D">
        <w:rPr>
          <w:rFonts w:ascii="Verdana" w:hAnsi="Verdana"/>
          <w:spacing w:val="-12"/>
          <w:sz w:val="16"/>
          <w:szCs w:val="16"/>
          <w:lang w:val="es-VE"/>
        </w:rPr>
        <w:t>exp</w:t>
      </w:r>
      <w:proofErr w:type="spellEnd"/>
      <w:r w:rsidRPr="006C24C0">
        <w:rPr>
          <w:rFonts w:ascii="Verdana" w:hAnsi="Verdana"/>
          <w:spacing w:val="-12"/>
          <w:sz w:val="16"/>
          <w:szCs w:val="16"/>
          <w:lang w:val="es-VE"/>
        </w:rPr>
        <w:t xml:space="preserve">. prueba, </w:t>
      </w:r>
      <w:r w:rsidRPr="003100FE">
        <w:rPr>
          <w:rFonts w:ascii="Verdana" w:hAnsi="Verdana"/>
          <w:spacing w:val="-12"/>
          <w:sz w:val="16"/>
          <w:szCs w:val="16"/>
          <w:lang w:val="es-VE"/>
        </w:rPr>
        <w:t>f</w:t>
      </w:r>
      <w:r w:rsidRPr="0003211A">
        <w:rPr>
          <w:rFonts w:ascii="Verdana" w:hAnsi="Verdana"/>
          <w:spacing w:val="-12"/>
          <w:sz w:val="16"/>
          <w:szCs w:val="16"/>
          <w:lang w:val="es-VE"/>
        </w:rPr>
        <w:t>olios</w:t>
      </w:r>
      <w:r w:rsidRPr="00CE7020">
        <w:rPr>
          <w:rFonts w:ascii="Verdana" w:hAnsi="Verdana"/>
          <w:spacing w:val="-12"/>
          <w:sz w:val="16"/>
          <w:szCs w:val="16"/>
          <w:lang w:val="es-VE"/>
        </w:rPr>
        <w:t xml:space="preserve"> 257</w:t>
      </w:r>
      <w:r w:rsidRPr="00773F82">
        <w:rPr>
          <w:rFonts w:ascii="Verdana" w:hAnsi="Verdana"/>
          <w:spacing w:val="-12"/>
          <w:sz w:val="16"/>
          <w:szCs w:val="16"/>
          <w:lang w:val="es-VE"/>
        </w:rPr>
        <w:t xml:space="preserve"> a </w:t>
      </w:r>
      <w:r w:rsidRPr="00B252EB">
        <w:rPr>
          <w:rFonts w:ascii="Verdana" w:hAnsi="Verdana"/>
          <w:spacing w:val="-12"/>
          <w:sz w:val="16"/>
          <w:szCs w:val="16"/>
          <w:lang w:val="es-VE"/>
        </w:rPr>
        <w:t xml:space="preserve">258). </w:t>
      </w:r>
    </w:p>
  </w:footnote>
  <w:footnote w:id="124">
    <w:p w14:paraId="12F21310" w14:textId="569AA6FD"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Cfr. Contratos de Thais Coromoto Peña con el Consejo Nacional de Fronteras del 1 de abril de 2000 al 31 de diciembre de 2000, 1 de enero de 2002 al 31 de diciembre de 2002, 1 de enero de 2003 al 31 de diciembre de 2003 y 1 de enero de 2004 al 31 de diciembre 2004(</w:t>
      </w:r>
      <w:proofErr w:type="spellStart"/>
      <w:r w:rsidRPr="006C24C0">
        <w:rPr>
          <w:rFonts w:ascii="Verdana" w:hAnsi="Verdana"/>
          <w:spacing w:val="-12"/>
          <w:sz w:val="16"/>
          <w:szCs w:val="16"/>
          <w:lang w:val="es-VE"/>
        </w:rPr>
        <w:t>exp</w:t>
      </w:r>
      <w:proofErr w:type="spellEnd"/>
      <w:r w:rsidRPr="003100FE">
        <w:rPr>
          <w:rFonts w:ascii="Verdana" w:hAnsi="Verdana"/>
          <w:spacing w:val="-12"/>
          <w:sz w:val="16"/>
          <w:szCs w:val="16"/>
          <w:lang w:val="es-VE"/>
        </w:rPr>
        <w:t>.</w:t>
      </w:r>
      <w:r w:rsidRPr="0003211A">
        <w:rPr>
          <w:rFonts w:ascii="Verdana" w:hAnsi="Verdana"/>
          <w:spacing w:val="-12"/>
          <w:sz w:val="16"/>
          <w:szCs w:val="16"/>
          <w:lang w:val="es-VE"/>
        </w:rPr>
        <w:t xml:space="preserve"> </w:t>
      </w:r>
      <w:r w:rsidRPr="00CE7020">
        <w:rPr>
          <w:rFonts w:ascii="Verdana" w:hAnsi="Verdana"/>
          <w:spacing w:val="-12"/>
          <w:sz w:val="16"/>
          <w:szCs w:val="16"/>
          <w:lang w:val="es-VE"/>
        </w:rPr>
        <w:t>prueba</w:t>
      </w:r>
      <w:r w:rsidRPr="00773F82">
        <w:rPr>
          <w:rFonts w:ascii="Verdana" w:hAnsi="Verdana"/>
          <w:spacing w:val="-12"/>
          <w:sz w:val="16"/>
          <w:szCs w:val="16"/>
          <w:lang w:val="es-VE"/>
        </w:rPr>
        <w:t>,</w:t>
      </w:r>
      <w:r w:rsidRPr="00290E0C">
        <w:rPr>
          <w:rFonts w:ascii="Verdana" w:hAnsi="Verdana"/>
          <w:spacing w:val="-12"/>
          <w:sz w:val="16"/>
          <w:szCs w:val="16"/>
          <w:lang w:val="es-VE"/>
        </w:rPr>
        <w:t xml:space="preserve"> </w:t>
      </w:r>
      <w:r w:rsidRPr="00B252EB">
        <w:rPr>
          <w:rFonts w:ascii="Verdana" w:hAnsi="Verdana"/>
          <w:spacing w:val="-12"/>
          <w:sz w:val="16"/>
          <w:szCs w:val="16"/>
          <w:lang w:val="es-VE"/>
        </w:rPr>
        <w:t>f</w:t>
      </w:r>
      <w:r w:rsidRPr="0054215F">
        <w:rPr>
          <w:rFonts w:ascii="Verdana" w:hAnsi="Verdana"/>
          <w:spacing w:val="-12"/>
          <w:sz w:val="16"/>
          <w:szCs w:val="16"/>
          <w:lang w:val="es-VE"/>
        </w:rPr>
        <w:t>olios</w:t>
      </w:r>
      <w:r w:rsidRPr="00CF3AED">
        <w:rPr>
          <w:rFonts w:ascii="Verdana" w:hAnsi="Verdana"/>
          <w:spacing w:val="-12"/>
          <w:sz w:val="16"/>
          <w:szCs w:val="16"/>
          <w:lang w:val="es-VE"/>
        </w:rPr>
        <w:t xml:space="preserve"> 260 a 270).</w:t>
      </w:r>
    </w:p>
  </w:footnote>
  <w:footnote w:id="125">
    <w:p w14:paraId="6BD1FA11" w14:textId="30AFF7FC" w:rsidR="00837BB9" w:rsidRPr="00D758B5"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Contrato celebrado entre el titular del Consejo Nacional de Fronteras con Thais Coromoto Peña el 31 de diciembre de 2003 (</w:t>
      </w:r>
      <w:proofErr w:type="spellStart"/>
      <w:r w:rsidRPr="0069409D">
        <w:rPr>
          <w:rFonts w:ascii="Verdana" w:hAnsi="Verdana"/>
          <w:spacing w:val="-12"/>
          <w:sz w:val="16"/>
          <w:szCs w:val="16"/>
          <w:lang w:val="es-VE"/>
        </w:rPr>
        <w:t>exp</w:t>
      </w:r>
      <w:proofErr w:type="spellEnd"/>
      <w:r w:rsidRPr="006C24C0">
        <w:rPr>
          <w:rFonts w:ascii="Verdana" w:hAnsi="Verdana"/>
          <w:spacing w:val="-12"/>
          <w:sz w:val="16"/>
          <w:szCs w:val="16"/>
          <w:lang w:val="es-VE"/>
        </w:rPr>
        <w:t>.</w:t>
      </w:r>
      <w:r w:rsidRPr="003100FE">
        <w:rPr>
          <w:rFonts w:ascii="Verdana" w:hAnsi="Verdana"/>
          <w:spacing w:val="-12"/>
          <w:sz w:val="16"/>
          <w:szCs w:val="16"/>
          <w:lang w:val="es-VE"/>
        </w:rPr>
        <w:t xml:space="preserve"> </w:t>
      </w:r>
      <w:r w:rsidRPr="00CE7020">
        <w:rPr>
          <w:rFonts w:ascii="Verdana" w:hAnsi="Verdana"/>
          <w:spacing w:val="-12"/>
          <w:sz w:val="16"/>
          <w:szCs w:val="16"/>
          <w:lang w:val="es-VE"/>
        </w:rPr>
        <w:t>prueba, folios</w:t>
      </w:r>
      <w:r w:rsidRPr="00290E0C">
        <w:rPr>
          <w:rFonts w:ascii="Verdana" w:hAnsi="Verdana"/>
          <w:spacing w:val="-12"/>
          <w:sz w:val="16"/>
          <w:szCs w:val="16"/>
          <w:lang w:val="es-VE"/>
        </w:rPr>
        <w:t xml:space="preserve"> 272</w:t>
      </w:r>
      <w:r w:rsidRPr="00B252EB">
        <w:rPr>
          <w:rFonts w:ascii="Verdana" w:hAnsi="Verdana"/>
          <w:spacing w:val="-12"/>
          <w:sz w:val="16"/>
          <w:szCs w:val="16"/>
          <w:lang w:val="es-VE"/>
        </w:rPr>
        <w:t xml:space="preserve"> a</w:t>
      </w:r>
      <w:r w:rsidRPr="00D758B5">
        <w:rPr>
          <w:rFonts w:ascii="Verdana" w:hAnsi="Verdana"/>
          <w:spacing w:val="-12"/>
          <w:sz w:val="16"/>
          <w:szCs w:val="16"/>
          <w:lang w:val="es-VE"/>
        </w:rPr>
        <w:t>273).</w:t>
      </w:r>
    </w:p>
  </w:footnote>
  <w:footnote w:id="126">
    <w:p w14:paraId="71735349" w14:textId="4D5F5BE9"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Pr>
          <w:rFonts w:ascii="Verdana" w:hAnsi="Verdana"/>
          <w:spacing w:val="-12"/>
          <w:sz w:val="16"/>
          <w:szCs w:val="16"/>
          <w:lang w:val="es-VE"/>
        </w:rPr>
        <w:t xml:space="preserve"> Planilla de r</w:t>
      </w:r>
      <w:r w:rsidRPr="0069409D">
        <w:rPr>
          <w:rFonts w:ascii="Verdana" w:hAnsi="Verdana"/>
          <w:spacing w:val="-12"/>
          <w:sz w:val="16"/>
          <w:szCs w:val="16"/>
          <w:lang w:val="es-VE"/>
        </w:rPr>
        <w:t xml:space="preserve">ecolección de </w:t>
      </w:r>
      <w:r>
        <w:rPr>
          <w:rFonts w:ascii="Verdana" w:hAnsi="Verdana"/>
          <w:spacing w:val="-12"/>
          <w:sz w:val="16"/>
          <w:szCs w:val="16"/>
          <w:lang w:val="es-VE"/>
        </w:rPr>
        <w:t>f</w:t>
      </w:r>
      <w:r w:rsidRPr="0069409D">
        <w:rPr>
          <w:rFonts w:ascii="Verdana" w:hAnsi="Verdana"/>
          <w:spacing w:val="-12"/>
          <w:sz w:val="16"/>
          <w:szCs w:val="16"/>
          <w:lang w:val="es-VE"/>
        </w:rPr>
        <w:t>irmas, 19 de agosto del 2000 (</w:t>
      </w:r>
      <w:proofErr w:type="spellStart"/>
      <w:r w:rsidRPr="0069409D">
        <w:rPr>
          <w:rFonts w:ascii="Verdana" w:hAnsi="Verdana"/>
          <w:spacing w:val="-12"/>
          <w:sz w:val="16"/>
          <w:szCs w:val="16"/>
          <w:lang w:val="es-VE"/>
        </w:rPr>
        <w:t>exp</w:t>
      </w:r>
      <w:proofErr w:type="spellEnd"/>
      <w:r w:rsidRPr="006C24C0">
        <w:rPr>
          <w:rFonts w:ascii="Verdana" w:hAnsi="Verdana"/>
          <w:spacing w:val="-12"/>
          <w:sz w:val="16"/>
          <w:szCs w:val="16"/>
          <w:lang w:val="es-VE"/>
        </w:rPr>
        <w:t>.</w:t>
      </w:r>
      <w:r w:rsidRPr="003100FE">
        <w:rPr>
          <w:rFonts w:ascii="Verdana" w:hAnsi="Verdana"/>
          <w:spacing w:val="-12"/>
          <w:sz w:val="16"/>
          <w:szCs w:val="16"/>
          <w:lang w:val="es-VE"/>
        </w:rPr>
        <w:t xml:space="preserve"> </w:t>
      </w:r>
      <w:r w:rsidRPr="00CE7020">
        <w:rPr>
          <w:rFonts w:ascii="Verdana" w:hAnsi="Verdana"/>
          <w:spacing w:val="-12"/>
          <w:sz w:val="16"/>
          <w:szCs w:val="16"/>
          <w:lang w:val="es-VE"/>
        </w:rPr>
        <w:t>prueba, f</w:t>
      </w:r>
      <w:r w:rsidRPr="00773F82">
        <w:rPr>
          <w:rFonts w:ascii="Verdana" w:hAnsi="Verdana"/>
          <w:spacing w:val="-12"/>
          <w:sz w:val="16"/>
          <w:szCs w:val="16"/>
          <w:lang w:val="es-VE"/>
        </w:rPr>
        <w:t>olios</w:t>
      </w:r>
      <w:r w:rsidRPr="00B252EB">
        <w:rPr>
          <w:rFonts w:ascii="Verdana" w:hAnsi="Verdana"/>
          <w:spacing w:val="-12"/>
          <w:sz w:val="16"/>
          <w:szCs w:val="16"/>
          <w:lang w:val="es-VE"/>
        </w:rPr>
        <w:t xml:space="preserve"> 275</w:t>
      </w:r>
      <w:r w:rsidRPr="0054215F">
        <w:rPr>
          <w:rFonts w:ascii="Verdana" w:hAnsi="Verdana"/>
          <w:spacing w:val="-12"/>
          <w:sz w:val="16"/>
          <w:szCs w:val="16"/>
          <w:lang w:val="es-VE"/>
        </w:rPr>
        <w:t xml:space="preserve"> a </w:t>
      </w:r>
      <w:r w:rsidRPr="00CF3AED">
        <w:rPr>
          <w:rFonts w:ascii="Verdana" w:hAnsi="Verdana"/>
          <w:spacing w:val="-12"/>
          <w:sz w:val="16"/>
          <w:szCs w:val="16"/>
          <w:lang w:val="es-VE"/>
        </w:rPr>
        <w:t>278).</w:t>
      </w:r>
    </w:p>
  </w:footnote>
  <w:footnote w:id="127">
    <w:p w14:paraId="24C3EC2A" w14:textId="37850A3D" w:rsidR="00837BB9" w:rsidRPr="00C7142E"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t xml:space="preserve">La notificación a Rocío San Miguel contiene una firma de recepción con fecha 25 de marzo de 2004. A su vez, la notificación a </w:t>
      </w:r>
      <w:proofErr w:type="spellStart"/>
      <w:r w:rsidRPr="00C7142E">
        <w:rPr>
          <w:rFonts w:ascii="Verdana" w:hAnsi="Verdana"/>
          <w:spacing w:val="-12"/>
          <w:sz w:val="16"/>
          <w:szCs w:val="16"/>
          <w:lang w:val="es-VE"/>
        </w:rPr>
        <w:t>Magally</w:t>
      </w:r>
      <w:proofErr w:type="spellEnd"/>
      <w:r w:rsidRPr="00C7142E">
        <w:rPr>
          <w:rFonts w:ascii="Verdana" w:hAnsi="Verdana"/>
          <w:spacing w:val="-12"/>
          <w:sz w:val="16"/>
          <w:szCs w:val="16"/>
          <w:lang w:val="es-VE"/>
        </w:rPr>
        <w:t xml:space="preserve"> Chang Girón contiene una firma de acuse y recepción con fecha 22 de marzo de 2004. En el caso de Thais Coromoto Peña dicha comunicación contiene una firma de recepción con fecha 31 de marzo de 2004.</w:t>
      </w:r>
    </w:p>
  </w:footnote>
  <w:footnote w:id="128">
    <w:p w14:paraId="6E237C2B" w14:textId="6DBCC948"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Cartas de 12 de marzo de 2004 del Presidente del Consejo Nacional de Fronteras dirigidas a Rocío San Miguel, </w:t>
      </w:r>
      <w:proofErr w:type="spellStart"/>
      <w:r w:rsidRPr="0069409D">
        <w:rPr>
          <w:rFonts w:ascii="Verdana" w:hAnsi="Verdana"/>
          <w:spacing w:val="-12"/>
          <w:sz w:val="16"/>
          <w:szCs w:val="16"/>
          <w:lang w:val="es-VE"/>
        </w:rPr>
        <w:t>Magally</w:t>
      </w:r>
      <w:proofErr w:type="spellEnd"/>
      <w:r w:rsidRPr="0069409D">
        <w:rPr>
          <w:rFonts w:ascii="Verdana" w:hAnsi="Verdana"/>
          <w:spacing w:val="-12"/>
          <w:sz w:val="16"/>
          <w:szCs w:val="16"/>
          <w:lang w:val="es-VE"/>
        </w:rPr>
        <w:t xml:space="preserve"> Chang Girón y Thais Coromoto</w:t>
      </w:r>
      <w:r w:rsidRPr="006C24C0">
        <w:rPr>
          <w:rFonts w:ascii="Verdana" w:hAnsi="Verdana"/>
          <w:spacing w:val="-12"/>
          <w:sz w:val="16"/>
          <w:szCs w:val="16"/>
          <w:lang w:val="es-VE"/>
        </w:rPr>
        <w:t xml:space="preserve"> Peña (</w:t>
      </w:r>
      <w:proofErr w:type="spellStart"/>
      <w:r w:rsidRPr="006C24C0">
        <w:rPr>
          <w:rFonts w:ascii="Verdana" w:hAnsi="Verdana"/>
          <w:spacing w:val="-12"/>
          <w:sz w:val="16"/>
          <w:szCs w:val="16"/>
          <w:lang w:val="es-VE"/>
        </w:rPr>
        <w:t>exp</w:t>
      </w:r>
      <w:proofErr w:type="spellEnd"/>
      <w:r w:rsidRPr="003100FE">
        <w:rPr>
          <w:rFonts w:ascii="Verdana" w:hAnsi="Verdana"/>
          <w:spacing w:val="-12"/>
          <w:sz w:val="16"/>
          <w:szCs w:val="16"/>
          <w:lang w:val="es-VE"/>
        </w:rPr>
        <w:t xml:space="preserve">. </w:t>
      </w:r>
      <w:r w:rsidRPr="0003211A">
        <w:rPr>
          <w:rFonts w:ascii="Verdana" w:hAnsi="Verdana"/>
          <w:spacing w:val="-12"/>
          <w:sz w:val="16"/>
          <w:szCs w:val="16"/>
          <w:lang w:val="es-VE"/>
        </w:rPr>
        <w:t>p</w:t>
      </w:r>
      <w:r w:rsidRPr="00CE7020">
        <w:rPr>
          <w:rFonts w:ascii="Verdana" w:hAnsi="Verdana"/>
          <w:spacing w:val="-12"/>
          <w:sz w:val="16"/>
          <w:szCs w:val="16"/>
          <w:lang w:val="es-VE"/>
        </w:rPr>
        <w:t>rueba, f</w:t>
      </w:r>
      <w:r w:rsidRPr="00773F82">
        <w:rPr>
          <w:rFonts w:ascii="Verdana" w:hAnsi="Verdana"/>
          <w:spacing w:val="-12"/>
          <w:sz w:val="16"/>
          <w:szCs w:val="16"/>
          <w:lang w:val="es-VE"/>
        </w:rPr>
        <w:t>olios</w:t>
      </w:r>
      <w:r w:rsidRPr="00B252EB">
        <w:rPr>
          <w:rFonts w:ascii="Verdana" w:hAnsi="Verdana"/>
          <w:spacing w:val="-12"/>
          <w:sz w:val="16"/>
          <w:szCs w:val="16"/>
          <w:lang w:val="es-VE"/>
        </w:rPr>
        <w:t xml:space="preserve"> 329, 331 y 333). Ver también oficio de 13 de julio de 2004</w:t>
      </w:r>
      <w:r w:rsidRPr="0054215F">
        <w:rPr>
          <w:rFonts w:ascii="Verdana" w:hAnsi="Verdana"/>
          <w:spacing w:val="-12"/>
          <w:sz w:val="16"/>
          <w:szCs w:val="16"/>
          <w:lang w:val="es-VE"/>
        </w:rPr>
        <w:t xml:space="preserve"> </w:t>
      </w:r>
      <w:r w:rsidRPr="00D758B5">
        <w:rPr>
          <w:rFonts w:ascii="Verdana" w:hAnsi="Verdana"/>
          <w:spacing w:val="-12"/>
          <w:sz w:val="16"/>
          <w:szCs w:val="16"/>
          <w:lang w:val="es-VE"/>
        </w:rPr>
        <w:t>d</w:t>
      </w:r>
      <w:r w:rsidRPr="00CF3AED">
        <w:rPr>
          <w:rFonts w:ascii="Verdana" w:hAnsi="Verdana"/>
          <w:spacing w:val="-12"/>
          <w:sz w:val="16"/>
          <w:szCs w:val="16"/>
          <w:lang w:val="es-VE"/>
        </w:rPr>
        <w:t>el Secretario Ejecutivo del Consejo Nacional de Fronteras dirigido al Fiscal 37 del Ministerio Público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folios 335 a 336). </w:t>
      </w:r>
    </w:p>
  </w:footnote>
  <w:footnote w:id="129">
    <w:p w14:paraId="65D27640" w14:textId="7BFAC6EC" w:rsidR="00837BB9" w:rsidRPr="007C51D0" w:rsidRDefault="00837BB9" w:rsidP="008349B1">
      <w:pPr>
        <w:pStyle w:val="FootnoteText"/>
        <w:jc w:val="both"/>
        <w:rPr>
          <w:rFonts w:ascii="Verdana" w:hAnsi="Verdana"/>
          <w:sz w:val="16"/>
          <w:szCs w:val="16"/>
          <w:lang w:val="es-CR"/>
        </w:rPr>
      </w:pPr>
      <w:r w:rsidRPr="00C7142E">
        <w:rPr>
          <w:rStyle w:val="FootnoteReference"/>
          <w:rFonts w:ascii="Verdana" w:eastAsiaTheme="minorHAnsi" w:hAnsi="Verdana" w:cstheme="minorBidi"/>
          <w:spacing w:val="-12"/>
          <w:sz w:val="16"/>
          <w:szCs w:val="16"/>
          <w:lang w:val="es-CR"/>
        </w:rPr>
        <w:footnoteRef/>
      </w:r>
      <w:r w:rsidRPr="007C51D0">
        <w:rPr>
          <w:rFonts w:ascii="Verdana" w:hAnsi="Verdana"/>
          <w:sz w:val="16"/>
          <w:szCs w:val="16"/>
        </w:rPr>
        <w:t xml:space="preserve"> </w:t>
      </w:r>
      <w:r w:rsidRPr="007C51D0">
        <w:rPr>
          <w:rFonts w:ascii="Verdana" w:hAnsi="Verdana"/>
          <w:sz w:val="16"/>
          <w:szCs w:val="16"/>
        </w:rPr>
        <w:tab/>
      </w:r>
      <w:r w:rsidRPr="00CF3AED">
        <w:rPr>
          <w:rFonts w:ascii="Verdana" w:hAnsi="Verdana"/>
          <w:i/>
          <w:spacing w:val="-12"/>
          <w:sz w:val="16"/>
          <w:szCs w:val="16"/>
          <w:lang w:val="es-VE"/>
        </w:rPr>
        <w:t>Cfr</w:t>
      </w:r>
      <w:r w:rsidRPr="00CF3AED">
        <w:rPr>
          <w:rFonts w:ascii="Verdana" w:hAnsi="Verdana"/>
          <w:spacing w:val="-12"/>
          <w:sz w:val="16"/>
          <w:szCs w:val="16"/>
          <w:lang w:val="es-VE"/>
        </w:rPr>
        <w:t>. Cheque</w:t>
      </w:r>
      <w:r w:rsidRPr="006203B0">
        <w:rPr>
          <w:rFonts w:ascii="Verdana" w:hAnsi="Verdana"/>
          <w:spacing w:val="-12"/>
          <w:sz w:val="16"/>
          <w:szCs w:val="16"/>
          <w:lang w:val="es-VE"/>
        </w:rPr>
        <w:t>s de liquidaciones y pagos de vacaciones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w:t>
      </w:r>
      <w:r>
        <w:rPr>
          <w:rFonts w:ascii="Verdana" w:hAnsi="Verdana"/>
          <w:spacing w:val="-12"/>
          <w:sz w:val="16"/>
          <w:szCs w:val="16"/>
          <w:lang w:val="es-VE"/>
        </w:rPr>
        <w:t xml:space="preserve"> </w:t>
      </w:r>
      <w:r w:rsidRPr="006203B0">
        <w:rPr>
          <w:rFonts w:ascii="Verdana" w:hAnsi="Verdana"/>
          <w:spacing w:val="-12"/>
          <w:sz w:val="16"/>
          <w:szCs w:val="16"/>
          <w:lang w:val="es-VE"/>
        </w:rPr>
        <w:t xml:space="preserve">prueba, anexo a.36 </w:t>
      </w:r>
      <w:r w:rsidRPr="00FC1D38">
        <w:rPr>
          <w:rFonts w:ascii="Verdana" w:hAnsi="Verdana"/>
          <w:spacing w:val="-12"/>
          <w:sz w:val="16"/>
          <w:szCs w:val="16"/>
          <w:lang w:val="es-VE"/>
        </w:rPr>
        <w:t xml:space="preserve">del </w:t>
      </w:r>
      <w:r w:rsidRPr="000536CF">
        <w:rPr>
          <w:rFonts w:ascii="Verdana" w:hAnsi="Verdana"/>
          <w:spacing w:val="-12"/>
          <w:sz w:val="16"/>
          <w:szCs w:val="16"/>
          <w:lang w:val="es-VE"/>
        </w:rPr>
        <w:t xml:space="preserve">ESAP, folios 2049 a 2065). Ver también </w:t>
      </w:r>
      <w:r w:rsidRPr="001C16AC">
        <w:rPr>
          <w:rFonts w:ascii="Verdana" w:hAnsi="Verdana"/>
          <w:spacing w:val="-12"/>
          <w:sz w:val="16"/>
          <w:szCs w:val="16"/>
          <w:lang w:val="es-VE"/>
        </w:rPr>
        <w:t>Informe de la Fiscalía Tr</w:t>
      </w:r>
      <w:r w:rsidRPr="006001C8">
        <w:rPr>
          <w:rFonts w:ascii="Verdana" w:hAnsi="Verdana"/>
          <w:spacing w:val="-12"/>
          <w:sz w:val="16"/>
          <w:szCs w:val="16"/>
          <w:lang w:val="es-VE"/>
        </w:rPr>
        <w:t>i</w:t>
      </w:r>
      <w:r w:rsidRPr="00D55480">
        <w:rPr>
          <w:rFonts w:ascii="Verdana" w:hAnsi="Verdana"/>
          <w:spacing w:val="-12"/>
          <w:sz w:val="16"/>
          <w:szCs w:val="16"/>
          <w:lang w:val="es-VE"/>
        </w:rPr>
        <w:t>gésima  Séptima, (</w:t>
      </w:r>
      <w:proofErr w:type="spellStart"/>
      <w:r w:rsidRPr="00D55480">
        <w:rPr>
          <w:rFonts w:ascii="Verdana" w:hAnsi="Verdana"/>
          <w:spacing w:val="-12"/>
          <w:sz w:val="16"/>
          <w:szCs w:val="16"/>
          <w:lang w:val="es-VE"/>
        </w:rPr>
        <w:t>exp</w:t>
      </w:r>
      <w:proofErr w:type="spellEnd"/>
      <w:r w:rsidRPr="00D55480">
        <w:rPr>
          <w:rFonts w:ascii="Verdana" w:hAnsi="Verdana"/>
          <w:spacing w:val="-12"/>
          <w:sz w:val="16"/>
          <w:szCs w:val="16"/>
          <w:lang w:val="es-VE"/>
        </w:rPr>
        <w:t xml:space="preserve">. prueba, </w:t>
      </w:r>
      <w:r w:rsidRPr="009E7E48">
        <w:rPr>
          <w:rFonts w:ascii="Verdana" w:hAnsi="Verdana"/>
          <w:spacing w:val="-12"/>
          <w:sz w:val="16"/>
          <w:szCs w:val="16"/>
          <w:lang w:val="es-VE"/>
        </w:rPr>
        <w:t xml:space="preserve"> </w:t>
      </w:r>
      <w:r w:rsidRPr="008B6122">
        <w:rPr>
          <w:rFonts w:ascii="Verdana" w:hAnsi="Verdana"/>
          <w:spacing w:val="-12"/>
          <w:sz w:val="16"/>
          <w:szCs w:val="16"/>
          <w:lang w:val="es-VE"/>
        </w:rPr>
        <w:t>folio</w:t>
      </w:r>
      <w:r w:rsidRPr="00C7142E">
        <w:rPr>
          <w:rFonts w:ascii="Verdana" w:hAnsi="Verdana"/>
          <w:spacing w:val="-12"/>
          <w:sz w:val="16"/>
          <w:szCs w:val="16"/>
          <w:lang w:val="es-VE"/>
        </w:rPr>
        <w:t xml:space="preserve"> 644).</w:t>
      </w:r>
      <w:r w:rsidRPr="0069409D">
        <w:rPr>
          <w:rFonts w:ascii="Verdana" w:hAnsi="Verdana"/>
          <w:spacing w:val="-12"/>
          <w:sz w:val="16"/>
          <w:szCs w:val="16"/>
          <w:lang w:val="es-VE"/>
        </w:rPr>
        <w:t xml:space="preserve"> </w:t>
      </w:r>
    </w:p>
  </w:footnote>
  <w:footnote w:id="130">
    <w:p w14:paraId="73D6EA4C" w14:textId="7C597A6D" w:rsidR="00837BB9" w:rsidRPr="006203B0" w:rsidRDefault="00837BB9" w:rsidP="008349B1">
      <w:pPr>
        <w:spacing w:before="120" w:after="120" w:line="240" w:lineRule="auto"/>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lang w:val="es-VE"/>
        </w:rPr>
        <w:t>Cfr</w:t>
      </w:r>
      <w:r w:rsidRPr="00CF3AED">
        <w:rPr>
          <w:rFonts w:ascii="Verdana" w:hAnsi="Verdana"/>
          <w:spacing w:val="-12"/>
          <w:sz w:val="16"/>
          <w:szCs w:val="16"/>
          <w:lang w:val="es-VE"/>
        </w:rPr>
        <w:t>. Declaración de Rocío San Miguel en audiencia pública a</w:t>
      </w:r>
      <w:r>
        <w:rPr>
          <w:rFonts w:ascii="Verdana" w:hAnsi="Verdana"/>
          <w:spacing w:val="-12"/>
          <w:sz w:val="16"/>
          <w:szCs w:val="16"/>
          <w:lang w:val="es-VE"/>
        </w:rPr>
        <w:t>nte la Corte</w:t>
      </w:r>
      <w:r w:rsidRPr="006203B0">
        <w:rPr>
          <w:rFonts w:ascii="Verdana" w:hAnsi="Verdana"/>
          <w:spacing w:val="-12"/>
          <w:sz w:val="16"/>
          <w:szCs w:val="16"/>
          <w:lang w:val="es-VE"/>
        </w:rPr>
        <w:t>.</w:t>
      </w:r>
    </w:p>
  </w:footnote>
  <w:footnote w:id="131">
    <w:p w14:paraId="16E75FAC" w14:textId="27D7B167" w:rsidR="00837BB9" w:rsidRPr="0069409D" w:rsidRDefault="00837BB9" w:rsidP="008349B1">
      <w:pPr>
        <w:pStyle w:val="FootnoteText"/>
        <w:spacing w:before="120" w:after="120"/>
        <w:jc w:val="both"/>
        <w:rPr>
          <w:rFonts w:ascii="Verdana" w:hAnsi="Verdana"/>
          <w:spacing w:val="-12"/>
          <w:sz w:val="16"/>
          <w:szCs w:val="16"/>
          <w:lang w:val="es-VE"/>
        </w:rPr>
      </w:pPr>
      <w:r w:rsidRPr="00FC1D38">
        <w:rPr>
          <w:rStyle w:val="FootnoteReference"/>
          <w:rFonts w:ascii="Verdana" w:hAnsi="Verdana"/>
          <w:spacing w:val="-12"/>
          <w:sz w:val="16"/>
          <w:szCs w:val="16"/>
        </w:rPr>
        <w:footnoteRef/>
      </w:r>
      <w:r w:rsidRPr="000536CF">
        <w:rPr>
          <w:rFonts w:ascii="Verdana" w:hAnsi="Verdana"/>
          <w:spacing w:val="-12"/>
          <w:sz w:val="16"/>
          <w:szCs w:val="16"/>
          <w:lang w:val="es-VE"/>
        </w:rPr>
        <w:t xml:space="preserve"> </w:t>
      </w:r>
      <w:r w:rsidRPr="000536CF">
        <w:rPr>
          <w:rFonts w:ascii="Verdana" w:hAnsi="Verdana"/>
          <w:spacing w:val="-12"/>
          <w:sz w:val="16"/>
          <w:szCs w:val="16"/>
          <w:lang w:val="es-VE"/>
        </w:rPr>
        <w:tab/>
      </w:r>
      <w:r w:rsidRPr="000536CF">
        <w:rPr>
          <w:rFonts w:ascii="Verdana" w:hAnsi="Verdana"/>
          <w:i/>
          <w:spacing w:val="-12"/>
          <w:sz w:val="16"/>
          <w:szCs w:val="16"/>
          <w:lang w:val="es-VE"/>
        </w:rPr>
        <w:t>Cfr</w:t>
      </w:r>
      <w:r w:rsidRPr="000536CF">
        <w:rPr>
          <w:rFonts w:ascii="Verdana" w:hAnsi="Verdana"/>
          <w:spacing w:val="-12"/>
          <w:sz w:val="16"/>
          <w:szCs w:val="16"/>
          <w:lang w:val="es-VE"/>
        </w:rPr>
        <w:t xml:space="preserve">. Conversación telefónica entre Feijoo </w:t>
      </w:r>
      <w:proofErr w:type="spellStart"/>
      <w:r w:rsidRPr="000536CF">
        <w:rPr>
          <w:rFonts w:ascii="Verdana" w:hAnsi="Verdana"/>
          <w:spacing w:val="-12"/>
          <w:sz w:val="16"/>
          <w:szCs w:val="16"/>
          <w:lang w:val="es-VE"/>
        </w:rPr>
        <w:t>Colomine</w:t>
      </w:r>
      <w:proofErr w:type="spellEnd"/>
      <w:r w:rsidRPr="000536CF">
        <w:rPr>
          <w:rFonts w:ascii="Verdana" w:hAnsi="Verdana"/>
          <w:spacing w:val="-12"/>
          <w:sz w:val="16"/>
          <w:szCs w:val="16"/>
          <w:lang w:val="es-VE"/>
        </w:rPr>
        <w:t xml:space="preserve"> y Rocío San Miguel, 24 de marzo de 2004 (</w:t>
      </w:r>
      <w:proofErr w:type="spellStart"/>
      <w:r w:rsidRPr="006001C8">
        <w:rPr>
          <w:rFonts w:ascii="Verdana" w:hAnsi="Verdana"/>
          <w:spacing w:val="-12"/>
          <w:sz w:val="16"/>
          <w:szCs w:val="16"/>
          <w:lang w:val="es-VE"/>
        </w:rPr>
        <w:t>exp</w:t>
      </w:r>
      <w:proofErr w:type="spellEnd"/>
      <w:r w:rsidRPr="00D55480">
        <w:rPr>
          <w:rFonts w:ascii="Verdana" w:hAnsi="Verdana"/>
          <w:spacing w:val="-12"/>
          <w:sz w:val="16"/>
          <w:szCs w:val="16"/>
          <w:lang w:val="es-VE"/>
        </w:rPr>
        <w:t>.</w:t>
      </w:r>
      <w:r w:rsidRPr="009E7E48">
        <w:rPr>
          <w:rFonts w:ascii="Verdana" w:hAnsi="Verdana"/>
          <w:spacing w:val="-12"/>
          <w:sz w:val="16"/>
          <w:szCs w:val="16"/>
          <w:lang w:val="es-VE"/>
        </w:rPr>
        <w:t xml:space="preserve"> prueba, f</w:t>
      </w:r>
      <w:r w:rsidRPr="008B6122">
        <w:rPr>
          <w:rFonts w:ascii="Verdana" w:hAnsi="Verdana"/>
          <w:spacing w:val="-12"/>
          <w:sz w:val="16"/>
          <w:szCs w:val="16"/>
          <w:lang w:val="es-VE"/>
        </w:rPr>
        <w:t>olios</w:t>
      </w:r>
      <w:r w:rsidRPr="0012407E">
        <w:rPr>
          <w:rFonts w:ascii="Verdana" w:hAnsi="Verdana"/>
          <w:spacing w:val="-12"/>
          <w:sz w:val="16"/>
          <w:szCs w:val="16"/>
          <w:lang w:val="es-VE"/>
        </w:rPr>
        <w:t xml:space="preserve"> 338</w:t>
      </w:r>
      <w:r w:rsidRPr="00C7142E">
        <w:rPr>
          <w:rFonts w:ascii="Verdana" w:hAnsi="Verdana"/>
          <w:spacing w:val="-12"/>
          <w:sz w:val="16"/>
          <w:szCs w:val="16"/>
          <w:lang w:val="es-VE"/>
        </w:rPr>
        <w:t xml:space="preserve"> a</w:t>
      </w:r>
      <w:r w:rsidRPr="0069409D">
        <w:rPr>
          <w:rFonts w:ascii="Verdana" w:hAnsi="Verdana"/>
          <w:spacing w:val="-12"/>
          <w:sz w:val="16"/>
          <w:szCs w:val="16"/>
          <w:lang w:val="es-VE"/>
        </w:rPr>
        <w:t xml:space="preserve"> 358). </w:t>
      </w:r>
    </w:p>
  </w:footnote>
  <w:footnote w:id="132">
    <w:p w14:paraId="454DF8EA" w14:textId="3FA64219"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Conversación telefónica entre Feijoo </w:t>
      </w:r>
      <w:proofErr w:type="spellStart"/>
      <w:r w:rsidRPr="0069409D">
        <w:rPr>
          <w:rFonts w:ascii="Verdana" w:hAnsi="Verdana"/>
          <w:spacing w:val="-12"/>
          <w:sz w:val="16"/>
          <w:szCs w:val="16"/>
          <w:lang w:val="es-VE"/>
        </w:rPr>
        <w:t>Colomine</w:t>
      </w:r>
      <w:proofErr w:type="spellEnd"/>
      <w:r w:rsidRPr="0069409D">
        <w:rPr>
          <w:rFonts w:ascii="Verdana" w:hAnsi="Verdana"/>
          <w:spacing w:val="-12"/>
          <w:sz w:val="16"/>
          <w:szCs w:val="16"/>
          <w:lang w:val="es-VE"/>
        </w:rPr>
        <w:t xml:space="preserve"> y Rocío San Miguel, 24 de marzo de 2004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w:t>
      </w:r>
      <w:r w:rsidRPr="00773F82">
        <w:rPr>
          <w:rFonts w:ascii="Verdana" w:hAnsi="Verdana"/>
          <w:spacing w:val="-12"/>
          <w:sz w:val="16"/>
          <w:szCs w:val="16"/>
          <w:lang w:val="es-VE"/>
        </w:rPr>
        <w:t>prueba, f</w:t>
      </w:r>
      <w:r w:rsidRPr="00290E0C">
        <w:rPr>
          <w:rFonts w:ascii="Verdana" w:hAnsi="Verdana"/>
          <w:spacing w:val="-12"/>
          <w:sz w:val="16"/>
          <w:szCs w:val="16"/>
          <w:lang w:val="es-VE"/>
        </w:rPr>
        <w:t>olios</w:t>
      </w:r>
      <w:r w:rsidRPr="0054215F">
        <w:rPr>
          <w:rFonts w:ascii="Verdana" w:hAnsi="Verdana"/>
          <w:spacing w:val="-12"/>
          <w:sz w:val="16"/>
          <w:szCs w:val="16"/>
          <w:lang w:val="es-VE"/>
        </w:rPr>
        <w:t xml:space="preserve"> 338</w:t>
      </w:r>
      <w:r w:rsidRPr="00D758B5">
        <w:rPr>
          <w:rFonts w:ascii="Verdana" w:hAnsi="Verdana"/>
          <w:spacing w:val="-12"/>
          <w:sz w:val="16"/>
          <w:szCs w:val="16"/>
          <w:lang w:val="es-VE"/>
        </w:rPr>
        <w:t xml:space="preserve"> a </w:t>
      </w:r>
      <w:r w:rsidRPr="00CF3AED">
        <w:rPr>
          <w:rFonts w:ascii="Verdana" w:hAnsi="Verdana"/>
          <w:spacing w:val="-12"/>
          <w:sz w:val="16"/>
          <w:szCs w:val="16"/>
          <w:lang w:val="es-VE"/>
        </w:rPr>
        <w:t xml:space="preserve">358). </w:t>
      </w:r>
    </w:p>
  </w:footnote>
  <w:footnote w:id="133">
    <w:p w14:paraId="1A8171EE" w14:textId="562CAFA1"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Conversación telefónica Rocío San Miguel e Ilia </w:t>
      </w:r>
      <w:proofErr w:type="spellStart"/>
      <w:r w:rsidRPr="0069409D">
        <w:rPr>
          <w:rFonts w:ascii="Verdana" w:hAnsi="Verdana"/>
          <w:spacing w:val="-12"/>
          <w:sz w:val="16"/>
          <w:szCs w:val="16"/>
          <w:lang w:val="es-VE"/>
        </w:rPr>
        <w:t>Azpurua</w:t>
      </w:r>
      <w:proofErr w:type="spellEnd"/>
      <w:r w:rsidRPr="0069409D">
        <w:rPr>
          <w:rFonts w:ascii="Verdana" w:hAnsi="Verdana"/>
          <w:spacing w:val="-12"/>
          <w:sz w:val="16"/>
          <w:szCs w:val="16"/>
          <w:lang w:val="es-VE"/>
        </w:rPr>
        <w:t>, 31 de marzo de 2004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w:t>
      </w:r>
      <w:r w:rsidRPr="00773F82">
        <w:rPr>
          <w:rFonts w:ascii="Verdana" w:hAnsi="Verdana"/>
          <w:spacing w:val="-12"/>
          <w:sz w:val="16"/>
          <w:szCs w:val="16"/>
          <w:lang w:val="es-VE"/>
        </w:rPr>
        <w:t>prueba, f</w:t>
      </w:r>
      <w:r w:rsidRPr="00290E0C">
        <w:rPr>
          <w:rFonts w:ascii="Verdana" w:hAnsi="Verdana"/>
          <w:spacing w:val="-12"/>
          <w:sz w:val="16"/>
          <w:szCs w:val="16"/>
          <w:lang w:val="es-VE"/>
        </w:rPr>
        <w:t>olios</w:t>
      </w:r>
      <w:r w:rsidRPr="0054215F">
        <w:rPr>
          <w:rFonts w:ascii="Verdana" w:hAnsi="Verdana"/>
          <w:spacing w:val="-12"/>
          <w:sz w:val="16"/>
          <w:szCs w:val="16"/>
          <w:lang w:val="es-VE"/>
        </w:rPr>
        <w:t xml:space="preserve"> 391</w:t>
      </w:r>
      <w:r w:rsidRPr="00D758B5">
        <w:rPr>
          <w:rFonts w:ascii="Verdana" w:hAnsi="Verdana"/>
          <w:spacing w:val="-12"/>
          <w:sz w:val="16"/>
          <w:szCs w:val="16"/>
          <w:lang w:val="es-VE"/>
        </w:rPr>
        <w:t xml:space="preserve"> a </w:t>
      </w:r>
      <w:r w:rsidRPr="00CF3AED">
        <w:rPr>
          <w:rFonts w:ascii="Verdana" w:hAnsi="Verdana"/>
          <w:spacing w:val="-12"/>
          <w:sz w:val="16"/>
          <w:szCs w:val="16"/>
          <w:lang w:val="es-VE"/>
        </w:rPr>
        <w:t>395).</w:t>
      </w:r>
    </w:p>
  </w:footnote>
  <w:footnote w:id="134">
    <w:p w14:paraId="7B7F6355" w14:textId="21E134EA" w:rsidR="00837BB9" w:rsidRPr="0054215F"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Carta de Rocío San Miguel al Presidente del Consejo Nacional de Fronteras, 29 de marzo de 2004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w:t>
      </w:r>
      <w:r w:rsidRPr="00773F82">
        <w:rPr>
          <w:rFonts w:ascii="Verdana" w:hAnsi="Verdana"/>
          <w:spacing w:val="-12"/>
          <w:sz w:val="16"/>
          <w:szCs w:val="16"/>
          <w:lang w:val="es-VE"/>
        </w:rPr>
        <w:t>prueba, f</w:t>
      </w:r>
      <w:r w:rsidRPr="00290E0C">
        <w:rPr>
          <w:rFonts w:ascii="Verdana" w:hAnsi="Verdana"/>
          <w:spacing w:val="-12"/>
          <w:sz w:val="16"/>
          <w:szCs w:val="16"/>
          <w:lang w:val="es-VE"/>
        </w:rPr>
        <w:t>olio</w:t>
      </w:r>
      <w:r w:rsidRPr="0054215F">
        <w:rPr>
          <w:rFonts w:ascii="Verdana" w:hAnsi="Verdana"/>
          <w:spacing w:val="-12"/>
          <w:sz w:val="16"/>
          <w:szCs w:val="16"/>
          <w:lang w:val="es-VE"/>
        </w:rPr>
        <w:t xml:space="preserve"> 366). </w:t>
      </w:r>
    </w:p>
  </w:footnote>
  <w:footnote w:id="135">
    <w:p w14:paraId="419FE09B" w14:textId="1F391174"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Oficio de 13 de julio de 2004 del Secretario Ejecutivo del Consejo Nacional de Fronteras dirigido a la Fiscal 37 del Ministerio Público (</w:t>
      </w:r>
      <w:proofErr w:type="spellStart"/>
      <w:r w:rsidRPr="0069409D">
        <w:rPr>
          <w:rFonts w:ascii="Verdana" w:hAnsi="Verdana"/>
          <w:spacing w:val="-12"/>
          <w:sz w:val="16"/>
          <w:szCs w:val="16"/>
          <w:lang w:val="es-VE"/>
        </w:rPr>
        <w:t>exp</w:t>
      </w:r>
      <w:proofErr w:type="spellEnd"/>
      <w:r w:rsidRPr="006C24C0">
        <w:rPr>
          <w:rFonts w:ascii="Verdana" w:hAnsi="Verdana"/>
          <w:spacing w:val="-12"/>
          <w:sz w:val="16"/>
          <w:szCs w:val="16"/>
          <w:lang w:val="es-VE"/>
        </w:rPr>
        <w:t>.</w:t>
      </w:r>
      <w:r w:rsidRPr="0003211A">
        <w:rPr>
          <w:rFonts w:ascii="Verdana" w:hAnsi="Verdana"/>
          <w:spacing w:val="-12"/>
          <w:sz w:val="16"/>
          <w:szCs w:val="16"/>
          <w:lang w:val="es-VE"/>
        </w:rPr>
        <w:t xml:space="preserve"> </w:t>
      </w:r>
      <w:r w:rsidRPr="00CE7020">
        <w:rPr>
          <w:rFonts w:ascii="Verdana" w:hAnsi="Verdana"/>
          <w:spacing w:val="-12"/>
          <w:sz w:val="16"/>
          <w:szCs w:val="16"/>
          <w:lang w:val="es-VE"/>
        </w:rPr>
        <w:t>prueba, f</w:t>
      </w:r>
      <w:r w:rsidRPr="00773F82">
        <w:rPr>
          <w:rFonts w:ascii="Verdana" w:hAnsi="Verdana"/>
          <w:spacing w:val="-12"/>
          <w:sz w:val="16"/>
          <w:szCs w:val="16"/>
          <w:lang w:val="es-VE"/>
        </w:rPr>
        <w:t>o</w:t>
      </w:r>
      <w:r w:rsidRPr="00290E0C">
        <w:rPr>
          <w:rFonts w:ascii="Verdana" w:hAnsi="Verdana"/>
          <w:spacing w:val="-12"/>
          <w:sz w:val="16"/>
          <w:szCs w:val="16"/>
          <w:lang w:val="es-VE"/>
        </w:rPr>
        <w:t>lio</w:t>
      </w:r>
      <w:r w:rsidRPr="0054215F">
        <w:rPr>
          <w:rFonts w:ascii="Verdana" w:hAnsi="Verdana"/>
          <w:spacing w:val="-12"/>
          <w:sz w:val="16"/>
          <w:szCs w:val="16"/>
          <w:lang w:val="es-VE"/>
        </w:rPr>
        <w:t xml:space="preserve"> 335); oficio de 14 de julio de 2004 del Secretario Ejecutivo del Consejo Nacional de</w:t>
      </w:r>
      <w:r w:rsidRPr="00D758B5">
        <w:rPr>
          <w:rFonts w:ascii="Verdana" w:hAnsi="Verdana"/>
          <w:spacing w:val="-12"/>
          <w:sz w:val="16"/>
          <w:szCs w:val="16"/>
          <w:lang w:val="es-VE"/>
        </w:rPr>
        <w:t xml:space="preserve"> Fronteras dirigido a la Defensora Delegada del Área Metropolitana de Caracas (</w:t>
      </w:r>
      <w:proofErr w:type="spellStart"/>
      <w:r w:rsidRPr="00D758B5">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folio 369); acta de entrevista a Feijoo </w:t>
      </w:r>
      <w:proofErr w:type="spellStart"/>
      <w:r w:rsidRPr="00CF3AED">
        <w:rPr>
          <w:rFonts w:ascii="Verdana" w:hAnsi="Verdana"/>
          <w:spacing w:val="-12"/>
          <w:sz w:val="16"/>
          <w:szCs w:val="16"/>
          <w:lang w:val="es-VE"/>
        </w:rPr>
        <w:t>Colomine</w:t>
      </w:r>
      <w:proofErr w:type="spellEnd"/>
      <w:r w:rsidRPr="00CF3AED">
        <w:rPr>
          <w:rFonts w:ascii="Verdana" w:hAnsi="Verdana"/>
          <w:spacing w:val="-12"/>
          <w:sz w:val="16"/>
          <w:szCs w:val="16"/>
          <w:lang w:val="es-VE"/>
        </w:rPr>
        <w:t xml:space="preserve"> Rincones rendida ante la Fiscalía Trigésima Séptima el 14 de julio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folios 381 a 382).</w:t>
      </w:r>
    </w:p>
  </w:footnote>
  <w:footnote w:id="136">
    <w:p w14:paraId="47C85D32" w14:textId="0ED41A05"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Nota de prensa, diario El Nacional de 3 de agosto de 2004, </w:t>
      </w:r>
      <w:r w:rsidRPr="006C24C0">
        <w:rPr>
          <w:rFonts w:ascii="Verdana" w:hAnsi="Verdana"/>
          <w:spacing w:val="-12"/>
          <w:sz w:val="16"/>
          <w:szCs w:val="16"/>
          <w:lang w:val="es-VE"/>
        </w:rPr>
        <w:t xml:space="preserve">Anexo D.1 del ESAP, </w:t>
      </w:r>
      <w:r w:rsidRPr="003100FE">
        <w:rPr>
          <w:rFonts w:ascii="Verdana" w:hAnsi="Verdana"/>
          <w:spacing w:val="-12"/>
          <w:sz w:val="16"/>
          <w:szCs w:val="16"/>
          <w:lang w:val="es-VE"/>
        </w:rPr>
        <w:t>(</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w:t>
      </w:r>
      <w:r w:rsidRPr="00290E0C">
        <w:rPr>
          <w:rFonts w:ascii="Verdana" w:hAnsi="Verdana"/>
          <w:spacing w:val="-12"/>
          <w:sz w:val="16"/>
          <w:szCs w:val="16"/>
          <w:lang w:val="es-VE"/>
        </w:rPr>
        <w:t>prueba, f</w:t>
      </w:r>
      <w:r w:rsidRPr="00B252EB">
        <w:rPr>
          <w:rFonts w:ascii="Verdana" w:hAnsi="Verdana"/>
          <w:spacing w:val="-12"/>
          <w:sz w:val="16"/>
          <w:szCs w:val="16"/>
          <w:lang w:val="es-VE"/>
        </w:rPr>
        <w:t>olio</w:t>
      </w:r>
      <w:r w:rsidRPr="00D758B5">
        <w:rPr>
          <w:rFonts w:ascii="Verdana" w:hAnsi="Verdana"/>
          <w:spacing w:val="-12"/>
          <w:sz w:val="16"/>
          <w:szCs w:val="16"/>
          <w:lang w:val="es-VE"/>
        </w:rPr>
        <w:t xml:space="preserve"> 2723); y entrevista radial realizada por </w:t>
      </w:r>
      <w:proofErr w:type="spellStart"/>
      <w:r w:rsidRPr="00D758B5">
        <w:rPr>
          <w:rFonts w:ascii="Verdana" w:hAnsi="Verdana"/>
          <w:spacing w:val="-12"/>
          <w:sz w:val="16"/>
          <w:szCs w:val="16"/>
          <w:lang w:val="es-VE"/>
        </w:rPr>
        <w:t>Ybellize</w:t>
      </w:r>
      <w:proofErr w:type="spellEnd"/>
      <w:r w:rsidRPr="00D758B5">
        <w:rPr>
          <w:rFonts w:ascii="Verdana" w:hAnsi="Verdana"/>
          <w:spacing w:val="-12"/>
          <w:sz w:val="16"/>
          <w:szCs w:val="16"/>
          <w:lang w:val="es-VE"/>
        </w:rPr>
        <w:t xml:space="preserve"> Pacheco (de “99.1 frecuencia mágica”) a Feijoo </w:t>
      </w:r>
      <w:proofErr w:type="spellStart"/>
      <w:r w:rsidRPr="00D758B5">
        <w:rPr>
          <w:rFonts w:ascii="Verdana" w:hAnsi="Verdana"/>
          <w:spacing w:val="-12"/>
          <w:sz w:val="16"/>
          <w:szCs w:val="16"/>
          <w:lang w:val="es-VE"/>
        </w:rPr>
        <w:t>Colomine</w:t>
      </w:r>
      <w:proofErr w:type="spellEnd"/>
      <w:r w:rsidRPr="00D758B5">
        <w:rPr>
          <w:rFonts w:ascii="Verdana" w:hAnsi="Verdana"/>
          <w:spacing w:val="-12"/>
          <w:sz w:val="16"/>
          <w:szCs w:val="16"/>
          <w:lang w:val="es-VE"/>
        </w:rPr>
        <w:t xml:space="preserve"> el 3 de agosto </w:t>
      </w:r>
      <w:r w:rsidRPr="00CF3AED">
        <w:rPr>
          <w:rFonts w:ascii="Verdana" w:hAnsi="Verdana"/>
          <w:spacing w:val="-12"/>
          <w:sz w:val="16"/>
          <w:szCs w:val="16"/>
          <w:lang w:val="es-VE"/>
        </w:rPr>
        <w:t>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 folios 372 a 379).</w:t>
      </w:r>
    </w:p>
  </w:footnote>
  <w:footnote w:id="137">
    <w:p w14:paraId="410BD817" w14:textId="4D13A1C6"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Copia de la nómina del Personal Contratado en el Consejo Nacional de Fronteras hasta diciembre de 2003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prueba, f</w:t>
      </w:r>
      <w:r w:rsidRPr="00773F82">
        <w:rPr>
          <w:rFonts w:ascii="Verdana" w:hAnsi="Verdana"/>
          <w:spacing w:val="-12"/>
          <w:sz w:val="16"/>
          <w:szCs w:val="16"/>
          <w:lang w:val="es-VE"/>
        </w:rPr>
        <w:t>olio</w:t>
      </w:r>
      <w:r w:rsidRPr="00290E0C">
        <w:rPr>
          <w:rFonts w:ascii="Verdana" w:hAnsi="Verdana"/>
          <w:spacing w:val="-12"/>
          <w:sz w:val="16"/>
          <w:szCs w:val="16"/>
          <w:lang w:val="es-VE"/>
        </w:rPr>
        <w:t>s</w:t>
      </w:r>
      <w:r w:rsidRPr="0054215F">
        <w:rPr>
          <w:rFonts w:ascii="Verdana" w:hAnsi="Verdana"/>
          <w:spacing w:val="-12"/>
          <w:sz w:val="16"/>
          <w:szCs w:val="16"/>
          <w:lang w:val="es-VE"/>
        </w:rPr>
        <w:t xml:space="preserve"> 397</w:t>
      </w:r>
      <w:r w:rsidRPr="00D758B5">
        <w:rPr>
          <w:rFonts w:ascii="Verdana" w:hAnsi="Verdana"/>
          <w:spacing w:val="-12"/>
          <w:sz w:val="16"/>
          <w:szCs w:val="16"/>
          <w:lang w:val="es-VE"/>
        </w:rPr>
        <w:t xml:space="preserve"> a </w:t>
      </w:r>
      <w:r w:rsidRPr="00CF3AED">
        <w:rPr>
          <w:rFonts w:ascii="Verdana" w:hAnsi="Verdana"/>
          <w:spacing w:val="-12"/>
          <w:sz w:val="16"/>
          <w:szCs w:val="16"/>
          <w:lang w:val="es-VE"/>
        </w:rPr>
        <w:t>398).</w:t>
      </w:r>
    </w:p>
  </w:footnote>
  <w:footnote w:id="138">
    <w:p w14:paraId="620793B6" w14:textId="22C75CE0" w:rsidR="00837BB9" w:rsidRPr="00290E0C"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Denuncia an</w:t>
      </w:r>
      <w:r>
        <w:rPr>
          <w:rFonts w:ascii="Verdana" w:hAnsi="Verdana"/>
          <w:spacing w:val="-12"/>
          <w:sz w:val="16"/>
          <w:szCs w:val="16"/>
          <w:lang w:val="es-VE"/>
        </w:rPr>
        <w:t>te la Defensoría del Pueblo de</w:t>
      </w:r>
      <w:r w:rsidRPr="0069409D">
        <w:rPr>
          <w:rFonts w:ascii="Verdana" w:hAnsi="Verdana"/>
          <w:spacing w:val="-12"/>
          <w:sz w:val="16"/>
          <w:szCs w:val="16"/>
          <w:lang w:val="es-VE"/>
        </w:rPr>
        <w:t xml:space="preserve"> 27 de mayo de 2004 (</w:t>
      </w:r>
      <w:proofErr w:type="spellStart"/>
      <w:r w:rsidRPr="0069409D">
        <w:rPr>
          <w:rFonts w:ascii="Verdana" w:hAnsi="Verdana"/>
          <w:spacing w:val="-12"/>
          <w:sz w:val="16"/>
          <w:szCs w:val="16"/>
          <w:lang w:val="es-VE"/>
        </w:rPr>
        <w:t>exp</w:t>
      </w:r>
      <w:proofErr w:type="spellEnd"/>
      <w:r w:rsidRPr="0069409D">
        <w:rPr>
          <w:rFonts w:ascii="Verdana" w:hAnsi="Verdana"/>
          <w:spacing w:val="-12"/>
          <w:sz w:val="16"/>
          <w:szCs w:val="16"/>
          <w:lang w:val="es-VE"/>
        </w:rPr>
        <w:t>.</w:t>
      </w:r>
      <w:r w:rsidRPr="006C24C0">
        <w:rPr>
          <w:rFonts w:ascii="Verdana" w:hAnsi="Verdana"/>
          <w:spacing w:val="-12"/>
          <w:sz w:val="16"/>
          <w:szCs w:val="16"/>
          <w:lang w:val="es-VE"/>
        </w:rPr>
        <w:t xml:space="preserve"> prueba, f</w:t>
      </w:r>
      <w:r w:rsidRPr="003100FE">
        <w:rPr>
          <w:rFonts w:ascii="Verdana" w:hAnsi="Verdana"/>
          <w:spacing w:val="-12"/>
          <w:sz w:val="16"/>
          <w:szCs w:val="16"/>
          <w:lang w:val="es-VE"/>
        </w:rPr>
        <w:t>olios</w:t>
      </w:r>
      <w:r w:rsidRPr="00CE7020">
        <w:rPr>
          <w:rFonts w:ascii="Verdana" w:hAnsi="Verdana"/>
          <w:spacing w:val="-12"/>
          <w:sz w:val="16"/>
          <w:szCs w:val="16"/>
          <w:lang w:val="es-VE"/>
        </w:rPr>
        <w:t xml:space="preserve"> 400 a </w:t>
      </w:r>
      <w:r w:rsidRPr="00290E0C">
        <w:rPr>
          <w:rFonts w:ascii="Verdana" w:hAnsi="Verdana"/>
          <w:spacing w:val="-12"/>
          <w:sz w:val="16"/>
          <w:szCs w:val="16"/>
          <w:lang w:val="es-VE"/>
        </w:rPr>
        <w:t>405).</w:t>
      </w:r>
    </w:p>
  </w:footnote>
  <w:footnote w:id="139">
    <w:p w14:paraId="57BAA4DA" w14:textId="0C35F04D" w:rsidR="00837BB9" w:rsidRPr="00B252EB"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Auto de apertura</w:t>
      </w:r>
      <w:r w:rsidRPr="005A429B">
        <w:rPr>
          <w:rFonts w:ascii="Verdana" w:hAnsi="Verdana"/>
          <w:spacing w:val="-12"/>
          <w:sz w:val="16"/>
          <w:szCs w:val="16"/>
          <w:lang w:val="es-VE"/>
        </w:rPr>
        <w:t xml:space="preserve"> </w:t>
      </w:r>
      <w:r>
        <w:rPr>
          <w:rFonts w:ascii="Verdana" w:hAnsi="Verdana"/>
          <w:spacing w:val="-12"/>
          <w:sz w:val="16"/>
          <w:szCs w:val="16"/>
          <w:lang w:val="es-VE"/>
        </w:rPr>
        <w:t xml:space="preserve">de </w:t>
      </w:r>
      <w:r w:rsidRPr="0069409D">
        <w:rPr>
          <w:rFonts w:ascii="Verdana" w:hAnsi="Verdana"/>
          <w:spacing w:val="-12"/>
          <w:sz w:val="16"/>
          <w:szCs w:val="16"/>
          <w:lang w:val="es-VE"/>
        </w:rPr>
        <w:t>29 de junio de 2004</w:t>
      </w:r>
      <w:r>
        <w:rPr>
          <w:rFonts w:ascii="Verdana" w:hAnsi="Verdana"/>
          <w:spacing w:val="-12"/>
          <w:sz w:val="16"/>
          <w:szCs w:val="16"/>
          <w:lang w:val="es-VE"/>
        </w:rPr>
        <w:t xml:space="preserve"> de la</w:t>
      </w:r>
      <w:r w:rsidRPr="0069409D">
        <w:rPr>
          <w:rFonts w:ascii="Verdana" w:hAnsi="Verdana"/>
          <w:spacing w:val="-12"/>
          <w:sz w:val="16"/>
          <w:szCs w:val="16"/>
          <w:lang w:val="es-VE"/>
        </w:rPr>
        <w:t xml:space="preserve"> Defensoría Delegada del Área Metropolitana (</w:t>
      </w:r>
      <w:proofErr w:type="spellStart"/>
      <w:r w:rsidRPr="0069409D">
        <w:rPr>
          <w:rFonts w:ascii="Verdana" w:hAnsi="Verdana"/>
          <w:spacing w:val="-12"/>
          <w:sz w:val="16"/>
          <w:szCs w:val="16"/>
          <w:lang w:val="es-VE"/>
        </w:rPr>
        <w:t>exp</w:t>
      </w:r>
      <w:proofErr w:type="spellEnd"/>
      <w:r w:rsidRPr="0069409D">
        <w:rPr>
          <w:rFonts w:ascii="Verdana" w:hAnsi="Verdana"/>
          <w:spacing w:val="-12"/>
          <w:sz w:val="16"/>
          <w:szCs w:val="16"/>
          <w:lang w:val="es-VE"/>
        </w:rPr>
        <w:t>.</w:t>
      </w:r>
      <w:r w:rsidRPr="006C24C0">
        <w:rPr>
          <w:rFonts w:ascii="Verdana" w:hAnsi="Verdana"/>
          <w:spacing w:val="-12"/>
          <w:sz w:val="16"/>
          <w:szCs w:val="16"/>
          <w:lang w:val="es-VE"/>
        </w:rPr>
        <w:t xml:space="preserve"> pru</w:t>
      </w:r>
      <w:r w:rsidRPr="003100FE">
        <w:rPr>
          <w:rFonts w:ascii="Verdana" w:hAnsi="Verdana"/>
          <w:spacing w:val="-12"/>
          <w:sz w:val="16"/>
          <w:szCs w:val="16"/>
          <w:lang w:val="es-VE"/>
        </w:rPr>
        <w:t>eba, f</w:t>
      </w:r>
      <w:r w:rsidRPr="0003211A">
        <w:rPr>
          <w:rFonts w:ascii="Verdana" w:hAnsi="Verdana"/>
          <w:spacing w:val="-12"/>
          <w:sz w:val="16"/>
          <w:szCs w:val="16"/>
          <w:lang w:val="es-VE"/>
        </w:rPr>
        <w:t>olios</w:t>
      </w:r>
      <w:r w:rsidRPr="00CE7020">
        <w:rPr>
          <w:rFonts w:ascii="Verdana" w:hAnsi="Verdana"/>
          <w:spacing w:val="-12"/>
          <w:sz w:val="16"/>
          <w:szCs w:val="16"/>
          <w:lang w:val="es-VE"/>
        </w:rPr>
        <w:t xml:space="preserve"> 407</w:t>
      </w:r>
      <w:r w:rsidRPr="00773F82">
        <w:rPr>
          <w:rFonts w:ascii="Verdana" w:hAnsi="Verdana"/>
          <w:spacing w:val="-12"/>
          <w:sz w:val="16"/>
          <w:szCs w:val="16"/>
          <w:lang w:val="es-VE"/>
        </w:rPr>
        <w:t xml:space="preserve"> a </w:t>
      </w:r>
      <w:r w:rsidRPr="00B252EB">
        <w:rPr>
          <w:rFonts w:ascii="Verdana" w:hAnsi="Verdana"/>
          <w:spacing w:val="-12"/>
          <w:sz w:val="16"/>
          <w:szCs w:val="16"/>
          <w:lang w:val="es-VE"/>
        </w:rPr>
        <w:t>408).</w:t>
      </w:r>
    </w:p>
  </w:footnote>
  <w:footnote w:id="140">
    <w:p w14:paraId="46756E9D" w14:textId="607BFA91" w:rsidR="00837BB9" w:rsidRPr="00D55480"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Punto de información del Coordinador de Servicios Jurídicos de la Defensoría, 16 de julio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prueba, </w:t>
      </w:r>
      <w:r w:rsidRPr="000536CF">
        <w:rPr>
          <w:rFonts w:ascii="Verdana" w:hAnsi="Verdana"/>
          <w:spacing w:val="-12"/>
          <w:sz w:val="16"/>
          <w:szCs w:val="16"/>
          <w:lang w:val="es-VE"/>
        </w:rPr>
        <w:t xml:space="preserve">folios 410 </w:t>
      </w:r>
      <w:r w:rsidRPr="006001C8">
        <w:rPr>
          <w:rFonts w:ascii="Verdana" w:hAnsi="Verdana"/>
          <w:spacing w:val="-12"/>
          <w:sz w:val="16"/>
          <w:szCs w:val="16"/>
          <w:lang w:val="es-VE"/>
        </w:rPr>
        <w:t xml:space="preserve">a </w:t>
      </w:r>
      <w:r w:rsidRPr="00D55480">
        <w:rPr>
          <w:rFonts w:ascii="Verdana" w:hAnsi="Verdana"/>
          <w:spacing w:val="-12"/>
          <w:sz w:val="16"/>
          <w:szCs w:val="16"/>
          <w:lang w:val="es-VE"/>
        </w:rPr>
        <w:t xml:space="preserve">413). </w:t>
      </w:r>
    </w:p>
  </w:footnote>
  <w:footnote w:id="141">
    <w:p w14:paraId="2221474B" w14:textId="3F8A6F4B" w:rsidR="00837BB9" w:rsidRPr="009E7E48"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Acta de cierre, Defensoría Delegada del Área Metropolitana, 17 de agosto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FC1D38">
        <w:rPr>
          <w:rFonts w:ascii="Verdana" w:hAnsi="Verdana"/>
          <w:spacing w:val="-12"/>
          <w:sz w:val="16"/>
          <w:szCs w:val="16"/>
          <w:lang w:val="es-VE"/>
        </w:rPr>
        <w:t xml:space="preserve"> prueba, </w:t>
      </w:r>
      <w:r w:rsidRPr="000536CF">
        <w:rPr>
          <w:rFonts w:ascii="Verdana" w:hAnsi="Verdana"/>
          <w:spacing w:val="-12"/>
          <w:sz w:val="16"/>
          <w:szCs w:val="16"/>
          <w:lang w:val="es-VE"/>
        </w:rPr>
        <w:t>folios</w:t>
      </w:r>
      <w:r w:rsidRPr="001C16AC">
        <w:rPr>
          <w:rFonts w:ascii="Verdana" w:hAnsi="Verdana"/>
          <w:spacing w:val="-12"/>
          <w:sz w:val="16"/>
          <w:szCs w:val="16"/>
          <w:lang w:val="es-VE"/>
        </w:rPr>
        <w:t xml:space="preserve"> 418</w:t>
      </w:r>
      <w:r w:rsidRPr="006001C8">
        <w:rPr>
          <w:rFonts w:ascii="Verdana" w:hAnsi="Verdana"/>
          <w:spacing w:val="-12"/>
          <w:sz w:val="16"/>
          <w:szCs w:val="16"/>
          <w:lang w:val="es-VE"/>
        </w:rPr>
        <w:t xml:space="preserve"> </w:t>
      </w:r>
      <w:r w:rsidRPr="00D55480">
        <w:rPr>
          <w:rFonts w:ascii="Verdana" w:hAnsi="Verdana"/>
          <w:spacing w:val="-12"/>
          <w:sz w:val="16"/>
          <w:szCs w:val="16"/>
          <w:lang w:val="es-VE"/>
        </w:rPr>
        <w:t xml:space="preserve">a </w:t>
      </w:r>
      <w:r w:rsidRPr="009E7E48">
        <w:rPr>
          <w:rFonts w:ascii="Verdana" w:hAnsi="Verdana"/>
          <w:spacing w:val="-12"/>
          <w:sz w:val="16"/>
          <w:szCs w:val="16"/>
          <w:lang w:val="es-VE"/>
        </w:rPr>
        <w:t>420).</w:t>
      </w:r>
    </w:p>
  </w:footnote>
  <w:footnote w:id="142">
    <w:p w14:paraId="69DA7E10" w14:textId="6FDD88DA" w:rsidR="00837BB9" w:rsidRPr="00CF3AED" w:rsidRDefault="00837BB9" w:rsidP="008349B1">
      <w:pPr>
        <w:pStyle w:val="FootnoteText"/>
        <w:spacing w:before="120" w:after="120"/>
        <w:jc w:val="both"/>
        <w:rPr>
          <w:rFonts w:ascii="Verdana" w:hAnsi="Verdana"/>
          <w:spacing w:val="-12"/>
          <w:sz w:val="16"/>
          <w:szCs w:val="16"/>
          <w:lang w:val="es-VE"/>
        </w:rPr>
      </w:pPr>
      <w:r w:rsidRPr="008B6122">
        <w:rPr>
          <w:rStyle w:val="FootnoteReference"/>
          <w:rFonts w:ascii="Verdana" w:hAnsi="Verdana"/>
          <w:spacing w:val="-12"/>
          <w:sz w:val="16"/>
          <w:szCs w:val="16"/>
        </w:rPr>
        <w:footnoteRef/>
      </w:r>
      <w:r w:rsidRPr="008B6122">
        <w:rPr>
          <w:rFonts w:ascii="Verdana" w:hAnsi="Verdana"/>
          <w:spacing w:val="-12"/>
          <w:sz w:val="16"/>
          <w:szCs w:val="16"/>
        </w:rPr>
        <w:t xml:space="preserve"> </w:t>
      </w:r>
      <w:r w:rsidRPr="0012407E">
        <w:rPr>
          <w:rFonts w:ascii="Verdana" w:hAnsi="Verdana"/>
          <w:spacing w:val="-12"/>
          <w:sz w:val="16"/>
          <w:szCs w:val="16"/>
          <w:lang w:val="es-VE"/>
        </w:rPr>
        <w:tab/>
        <w:t>En cuanto a los hechos, las demandantes señalaron que fueron despedidas sin causa justificada, a pesar de cumplir con las labores encomendadas, no contar con amonestación o sanción alguna en</w:t>
      </w:r>
      <w:r w:rsidRPr="00C7142E">
        <w:rPr>
          <w:rFonts w:ascii="Verdana" w:hAnsi="Verdana"/>
          <w:spacing w:val="-12"/>
          <w:sz w:val="16"/>
          <w:szCs w:val="16"/>
          <w:lang w:val="es-VE"/>
        </w:rPr>
        <w:t xml:space="preserve"> sus expedientes laborales por incumplir labores u horarios, y no existir un proceso de reorganización en el órgano que ameritara reducción de personal. Alegaron que, antes del despido, se hicieron frecuentes anuncios informales o bromas, por sujetos con influencia política, de que quien participare en procesos contra el Presidente seria despedido. Señalaron una serie de hechos de contexto e indicios que consideraron relevantes. Alegaron la violación del “derecho constitucional a la igualdad ante la ley[, …</w:t>
      </w:r>
      <w:r w:rsidRPr="006C24C0">
        <w:rPr>
          <w:rFonts w:ascii="Verdana" w:hAnsi="Verdana"/>
          <w:spacing w:val="-12"/>
          <w:sz w:val="16"/>
          <w:szCs w:val="16"/>
          <w:lang w:val="es-VE"/>
        </w:rPr>
        <w:t>] la garantía a no ser discriminadas así como los derechos al trabajo y a la estabilidad laboral [… por una] actuación contraria a los artículo 21, 87, 89 y 93 de la Constitución Política de la República Bolivariana de Venezuela y los artículos 24 de la Con</w:t>
      </w:r>
      <w:r w:rsidRPr="003100FE">
        <w:rPr>
          <w:rFonts w:ascii="Verdana" w:hAnsi="Verdana"/>
          <w:spacing w:val="-12"/>
          <w:sz w:val="16"/>
          <w:szCs w:val="16"/>
          <w:lang w:val="es-VE"/>
        </w:rPr>
        <w:t xml:space="preserve">vención Americana[, …] 2.2 y 6.1 del Pacto Internacional de Derechos Económicos, Sociales y Culturales y el artículo 26 del Pacto Internacional de Derechos Civiles y Políticos […], así como del artículo 26 de la Ley Orgánica del Trabajo y el literal E del </w:t>
      </w:r>
      <w:r w:rsidRPr="0003211A">
        <w:rPr>
          <w:rFonts w:ascii="Verdana" w:hAnsi="Verdana"/>
          <w:spacing w:val="-12"/>
          <w:sz w:val="16"/>
          <w:szCs w:val="16"/>
          <w:lang w:val="es-VE"/>
        </w:rPr>
        <w:t xml:space="preserve">artículo 8 del Reglamento de la Ley Orgánica del Trabajo [y que </w:t>
      </w:r>
      <w:proofErr w:type="spellStart"/>
      <w:r w:rsidRPr="0003211A">
        <w:rPr>
          <w:rFonts w:ascii="Verdana" w:hAnsi="Verdana"/>
          <w:spacing w:val="-12"/>
          <w:sz w:val="16"/>
          <w:szCs w:val="16"/>
          <w:lang w:val="es-VE"/>
        </w:rPr>
        <w:t>e</w:t>
      </w:r>
      <w:proofErr w:type="spellEnd"/>
      <w:r w:rsidRPr="0003211A">
        <w:rPr>
          <w:rFonts w:ascii="Verdana" w:hAnsi="Verdana"/>
          <w:spacing w:val="-12"/>
          <w:sz w:val="16"/>
          <w:szCs w:val="16"/>
          <w:lang w:val="es-VE"/>
        </w:rPr>
        <w:t>]l acto de discriminación condujo igualmente a la violación del derecho de participación política normado en el artículo 70 de la Constitución”</w:t>
      </w:r>
      <w:r w:rsidRPr="00CE7020">
        <w:rPr>
          <w:rFonts w:ascii="Verdana" w:hAnsi="Verdana"/>
          <w:spacing w:val="-12"/>
          <w:sz w:val="16"/>
          <w:szCs w:val="16"/>
          <w:lang w:val="es-VE"/>
        </w:rPr>
        <w:t xml:space="preserve">. </w:t>
      </w:r>
      <w:r w:rsidRPr="00CE7020">
        <w:rPr>
          <w:rFonts w:ascii="Verdana" w:hAnsi="Verdana"/>
          <w:i/>
          <w:spacing w:val="-12"/>
          <w:sz w:val="16"/>
          <w:szCs w:val="16"/>
          <w:lang w:val="es-VE"/>
        </w:rPr>
        <w:t>Cfr.</w:t>
      </w:r>
      <w:r w:rsidRPr="00773F82">
        <w:rPr>
          <w:rFonts w:ascii="Verdana" w:hAnsi="Verdana"/>
          <w:spacing w:val="-12"/>
          <w:sz w:val="16"/>
          <w:szCs w:val="16"/>
          <w:lang w:val="es-VE"/>
        </w:rPr>
        <w:t xml:space="preserve"> Demanda de amparo constitucional, 22 de j</w:t>
      </w:r>
      <w:r w:rsidRPr="00290E0C">
        <w:rPr>
          <w:rFonts w:ascii="Verdana" w:hAnsi="Verdana"/>
          <w:spacing w:val="-12"/>
          <w:sz w:val="16"/>
          <w:szCs w:val="16"/>
          <w:lang w:val="es-VE"/>
        </w:rPr>
        <w:t>ulio de 2004 (</w:t>
      </w:r>
      <w:proofErr w:type="spellStart"/>
      <w:r w:rsidRPr="00290E0C">
        <w:rPr>
          <w:rFonts w:ascii="Verdana" w:hAnsi="Verdana"/>
          <w:spacing w:val="-12"/>
          <w:sz w:val="16"/>
          <w:szCs w:val="16"/>
          <w:lang w:val="es-VE"/>
        </w:rPr>
        <w:t>exp</w:t>
      </w:r>
      <w:proofErr w:type="spellEnd"/>
      <w:r w:rsidRPr="00B252EB">
        <w:rPr>
          <w:rFonts w:ascii="Verdana" w:hAnsi="Verdana"/>
          <w:spacing w:val="-12"/>
          <w:sz w:val="16"/>
          <w:szCs w:val="16"/>
          <w:lang w:val="es-VE"/>
        </w:rPr>
        <w:t>.</w:t>
      </w:r>
      <w:r w:rsidRPr="00D758B5">
        <w:rPr>
          <w:rFonts w:ascii="Verdana" w:hAnsi="Verdana"/>
          <w:spacing w:val="-12"/>
          <w:sz w:val="16"/>
          <w:szCs w:val="16"/>
          <w:lang w:val="es-VE"/>
        </w:rPr>
        <w:t xml:space="preserve"> </w:t>
      </w:r>
      <w:r w:rsidRPr="00CF3AED">
        <w:rPr>
          <w:rFonts w:ascii="Verdana" w:hAnsi="Verdana"/>
          <w:spacing w:val="-12"/>
          <w:sz w:val="16"/>
          <w:szCs w:val="16"/>
          <w:lang w:val="es-VE"/>
        </w:rPr>
        <w:t>prueba, folios 422 a 439).</w:t>
      </w:r>
    </w:p>
  </w:footnote>
  <w:footnote w:id="143">
    <w:p w14:paraId="570F197D" w14:textId="179EA96F" w:rsidR="00837BB9" w:rsidRPr="008B6122"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Resolución del Juzgado Cuarto de Primera Instancia de Juicio del Circuito Judicial del Trabajo declarándose incompetente para conocer de la acción de amparo constitucional, 4 de agosto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FC1D38">
        <w:rPr>
          <w:rFonts w:ascii="Verdana" w:hAnsi="Verdana"/>
          <w:spacing w:val="-12"/>
          <w:sz w:val="16"/>
          <w:szCs w:val="16"/>
          <w:lang w:val="es-VE"/>
        </w:rPr>
        <w:t xml:space="preserve"> </w:t>
      </w:r>
      <w:r w:rsidRPr="000536CF">
        <w:rPr>
          <w:rFonts w:ascii="Verdana" w:hAnsi="Verdana"/>
          <w:spacing w:val="-12"/>
          <w:sz w:val="16"/>
          <w:szCs w:val="16"/>
          <w:lang w:val="es-VE"/>
        </w:rPr>
        <w:t xml:space="preserve">prueba, </w:t>
      </w:r>
      <w:r w:rsidRPr="001C16AC">
        <w:rPr>
          <w:rFonts w:ascii="Verdana" w:hAnsi="Verdana"/>
          <w:spacing w:val="-12"/>
          <w:sz w:val="16"/>
          <w:szCs w:val="16"/>
          <w:lang w:val="es-VE"/>
        </w:rPr>
        <w:t>folios</w:t>
      </w:r>
      <w:r w:rsidRPr="00D55480">
        <w:rPr>
          <w:rFonts w:ascii="Verdana" w:hAnsi="Verdana"/>
          <w:spacing w:val="-12"/>
          <w:sz w:val="16"/>
          <w:szCs w:val="16"/>
          <w:lang w:val="es-VE"/>
        </w:rPr>
        <w:t xml:space="preserve"> 441 a</w:t>
      </w:r>
      <w:r w:rsidRPr="008B6122">
        <w:rPr>
          <w:rFonts w:ascii="Verdana" w:hAnsi="Verdana"/>
          <w:spacing w:val="-12"/>
          <w:sz w:val="16"/>
          <w:szCs w:val="16"/>
          <w:lang w:val="es-VE"/>
        </w:rPr>
        <w:t xml:space="preserve"> 445). </w:t>
      </w:r>
    </w:p>
  </w:footnote>
  <w:footnote w:id="144">
    <w:p w14:paraId="7951C3DF" w14:textId="70EBFC0D" w:rsidR="00837BB9" w:rsidRPr="009E7E48" w:rsidRDefault="00837BB9" w:rsidP="008349B1">
      <w:pPr>
        <w:pStyle w:val="FootnoteText"/>
        <w:spacing w:before="120" w:after="120"/>
        <w:jc w:val="both"/>
        <w:rPr>
          <w:rFonts w:ascii="Verdana" w:hAnsi="Verdana"/>
          <w:spacing w:val="-12"/>
          <w:sz w:val="16"/>
          <w:szCs w:val="16"/>
          <w:lang w:val="es-VE"/>
        </w:rPr>
      </w:pPr>
      <w:r w:rsidRPr="0012407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Pr>
          <w:rFonts w:ascii="Verdana" w:hAnsi="Verdana"/>
          <w:spacing w:val="-12"/>
          <w:sz w:val="16"/>
          <w:szCs w:val="16"/>
          <w:lang w:val="es-VE"/>
        </w:rPr>
        <w:t xml:space="preserve"> Escrito de</w:t>
      </w:r>
      <w:r w:rsidRPr="00CF3AED">
        <w:rPr>
          <w:rFonts w:ascii="Verdana" w:hAnsi="Verdana"/>
          <w:spacing w:val="-12"/>
          <w:sz w:val="16"/>
          <w:szCs w:val="16"/>
          <w:lang w:val="es-VE"/>
        </w:rPr>
        <w:t xml:space="preserve"> </w:t>
      </w:r>
      <w:r>
        <w:rPr>
          <w:rFonts w:ascii="Verdana" w:hAnsi="Verdana"/>
          <w:spacing w:val="-12"/>
          <w:sz w:val="16"/>
          <w:szCs w:val="16"/>
          <w:lang w:val="es-VE"/>
        </w:rPr>
        <w:t xml:space="preserve">23 de noviembre de 2004 dirigido </w:t>
      </w:r>
      <w:r w:rsidRPr="00CF3AED">
        <w:rPr>
          <w:rFonts w:ascii="Verdana" w:hAnsi="Verdana"/>
          <w:spacing w:val="-12"/>
          <w:sz w:val="16"/>
          <w:szCs w:val="16"/>
          <w:lang w:val="es-VE"/>
        </w:rPr>
        <w:t>a la Sala Constitucional del Tribunal Supremo de Justicia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6203B0">
        <w:rPr>
          <w:rFonts w:ascii="Verdana" w:hAnsi="Verdana"/>
          <w:spacing w:val="-12"/>
          <w:sz w:val="16"/>
          <w:szCs w:val="16"/>
          <w:lang w:val="es-VE"/>
        </w:rPr>
        <w:t xml:space="preserve"> </w:t>
      </w:r>
      <w:r w:rsidRPr="000536CF">
        <w:rPr>
          <w:rFonts w:ascii="Verdana" w:hAnsi="Verdana"/>
          <w:spacing w:val="-12"/>
          <w:sz w:val="16"/>
          <w:szCs w:val="16"/>
          <w:lang w:val="es-VE"/>
        </w:rPr>
        <w:t xml:space="preserve">prueba, </w:t>
      </w:r>
      <w:r>
        <w:rPr>
          <w:rFonts w:ascii="Verdana" w:hAnsi="Verdana"/>
          <w:spacing w:val="-12"/>
          <w:sz w:val="16"/>
          <w:szCs w:val="16"/>
          <w:lang w:val="es-VE"/>
        </w:rPr>
        <w:t>f.</w:t>
      </w:r>
      <w:r w:rsidRPr="006001C8">
        <w:rPr>
          <w:rFonts w:ascii="Verdana" w:hAnsi="Verdana"/>
          <w:spacing w:val="-12"/>
          <w:sz w:val="16"/>
          <w:szCs w:val="16"/>
          <w:lang w:val="es-VE"/>
        </w:rPr>
        <w:t xml:space="preserve"> 447</w:t>
      </w:r>
      <w:r w:rsidRPr="009E7E48">
        <w:rPr>
          <w:rFonts w:ascii="Verdana" w:hAnsi="Verdana"/>
          <w:spacing w:val="-12"/>
          <w:sz w:val="16"/>
          <w:szCs w:val="16"/>
          <w:lang w:val="es-VE"/>
        </w:rPr>
        <w:t xml:space="preserve">). </w:t>
      </w:r>
    </w:p>
  </w:footnote>
  <w:footnote w:id="145">
    <w:p w14:paraId="61C6966E" w14:textId="09A9ECF7" w:rsidR="00837BB9" w:rsidRPr="00CF3AED" w:rsidRDefault="00837BB9" w:rsidP="008349B1">
      <w:pPr>
        <w:pStyle w:val="FootnoteText"/>
        <w:spacing w:before="120" w:after="120"/>
        <w:jc w:val="both"/>
        <w:rPr>
          <w:rFonts w:ascii="Verdana" w:hAnsi="Verdana"/>
          <w:spacing w:val="-12"/>
          <w:sz w:val="16"/>
          <w:szCs w:val="16"/>
          <w:lang w:val="es-VE"/>
        </w:rPr>
      </w:pPr>
      <w:r w:rsidRPr="008B6122">
        <w:rPr>
          <w:rStyle w:val="FootnoteReference"/>
          <w:rFonts w:ascii="Verdana" w:hAnsi="Verdana"/>
          <w:spacing w:val="-12"/>
          <w:sz w:val="16"/>
          <w:szCs w:val="16"/>
        </w:rPr>
        <w:footnoteRef/>
      </w:r>
      <w:r w:rsidRPr="008B6122">
        <w:rPr>
          <w:rFonts w:ascii="Verdana" w:hAnsi="Verdana"/>
          <w:spacing w:val="-12"/>
          <w:sz w:val="16"/>
          <w:szCs w:val="16"/>
          <w:lang w:val="es-VE"/>
        </w:rPr>
        <w:t xml:space="preserve"> </w:t>
      </w:r>
      <w:r w:rsidRPr="008B6122">
        <w:rPr>
          <w:rFonts w:ascii="Verdana" w:hAnsi="Verdana"/>
          <w:spacing w:val="-12"/>
          <w:sz w:val="16"/>
          <w:szCs w:val="16"/>
          <w:lang w:val="es-VE"/>
        </w:rPr>
        <w:tab/>
      </w:r>
      <w:r w:rsidRPr="0012407E">
        <w:rPr>
          <w:rFonts w:ascii="Verdana" w:hAnsi="Verdana"/>
          <w:i/>
          <w:spacing w:val="-12"/>
          <w:sz w:val="16"/>
          <w:szCs w:val="16"/>
          <w:lang w:val="es-VE"/>
        </w:rPr>
        <w:t>Cfr.</w:t>
      </w:r>
      <w:r w:rsidRPr="00C7142E">
        <w:rPr>
          <w:rFonts w:ascii="Verdana" w:hAnsi="Verdana"/>
          <w:spacing w:val="-12"/>
          <w:sz w:val="16"/>
          <w:szCs w:val="16"/>
          <w:lang w:val="es-VE"/>
        </w:rPr>
        <w:t xml:space="preserve"> </w:t>
      </w:r>
      <w:r>
        <w:rPr>
          <w:rFonts w:ascii="Verdana" w:hAnsi="Verdana"/>
          <w:spacing w:val="-12"/>
          <w:sz w:val="16"/>
          <w:szCs w:val="16"/>
          <w:lang w:val="es-VE"/>
        </w:rPr>
        <w:t xml:space="preserve">Escritos de </w:t>
      </w:r>
      <w:r w:rsidRPr="003100FE">
        <w:rPr>
          <w:rFonts w:ascii="Verdana" w:hAnsi="Verdana"/>
          <w:spacing w:val="-12"/>
          <w:sz w:val="16"/>
          <w:szCs w:val="16"/>
          <w:lang w:val="es-VE"/>
        </w:rPr>
        <w:t xml:space="preserve">3 de febrero, </w:t>
      </w:r>
      <w:r w:rsidRPr="0003211A">
        <w:rPr>
          <w:rFonts w:ascii="Verdana" w:hAnsi="Verdana"/>
          <w:spacing w:val="-12"/>
          <w:sz w:val="16"/>
          <w:szCs w:val="16"/>
          <w:lang w:val="es-VE"/>
        </w:rPr>
        <w:t xml:space="preserve">3 </w:t>
      </w:r>
      <w:r w:rsidRPr="00CE7020">
        <w:rPr>
          <w:rFonts w:ascii="Verdana" w:hAnsi="Verdana"/>
          <w:spacing w:val="-12"/>
          <w:sz w:val="16"/>
          <w:szCs w:val="16"/>
          <w:lang w:val="es-VE"/>
        </w:rPr>
        <w:t xml:space="preserve">y 11 de mayo de 2005 </w:t>
      </w:r>
      <w:r>
        <w:rPr>
          <w:rFonts w:ascii="Verdana" w:hAnsi="Verdana"/>
          <w:spacing w:val="-12"/>
          <w:sz w:val="16"/>
          <w:szCs w:val="16"/>
          <w:lang w:val="es-VE"/>
        </w:rPr>
        <w:t xml:space="preserve">dirigidos </w:t>
      </w:r>
      <w:r w:rsidRPr="0069409D">
        <w:rPr>
          <w:rFonts w:ascii="Verdana" w:hAnsi="Verdana"/>
          <w:spacing w:val="-12"/>
          <w:sz w:val="16"/>
          <w:szCs w:val="16"/>
          <w:lang w:val="es-VE"/>
        </w:rPr>
        <w:t>a la Sala Consti</w:t>
      </w:r>
      <w:r w:rsidRPr="006C24C0">
        <w:rPr>
          <w:rFonts w:ascii="Verdana" w:hAnsi="Verdana"/>
          <w:spacing w:val="-12"/>
          <w:sz w:val="16"/>
          <w:szCs w:val="16"/>
          <w:lang w:val="es-VE"/>
        </w:rPr>
        <w:t>tucional del Tribunal Su</w:t>
      </w:r>
      <w:r w:rsidRPr="003100FE">
        <w:rPr>
          <w:rFonts w:ascii="Verdana" w:hAnsi="Verdana"/>
          <w:spacing w:val="-12"/>
          <w:sz w:val="16"/>
          <w:szCs w:val="16"/>
          <w:lang w:val="es-VE"/>
        </w:rPr>
        <w:t xml:space="preserve">premo de Justicia </w:t>
      </w:r>
      <w:r w:rsidRPr="00CE7020">
        <w:rPr>
          <w:rFonts w:ascii="Verdana" w:hAnsi="Verdana"/>
          <w:spacing w:val="-12"/>
          <w:sz w:val="16"/>
          <w:szCs w:val="16"/>
          <w:lang w:val="es-VE"/>
        </w:rPr>
        <w:t>(</w:t>
      </w:r>
      <w:proofErr w:type="spellStart"/>
      <w:r w:rsidRPr="00CE7020">
        <w:rPr>
          <w:rFonts w:ascii="Verdana" w:hAnsi="Verdana"/>
          <w:spacing w:val="-12"/>
          <w:sz w:val="16"/>
          <w:szCs w:val="16"/>
          <w:lang w:val="es-VE"/>
        </w:rPr>
        <w:t>exp</w:t>
      </w:r>
      <w:proofErr w:type="spellEnd"/>
      <w:r w:rsidRPr="00773F82">
        <w:rPr>
          <w:rFonts w:ascii="Verdana" w:hAnsi="Verdana"/>
          <w:spacing w:val="-12"/>
          <w:sz w:val="16"/>
          <w:szCs w:val="16"/>
          <w:lang w:val="es-VE"/>
        </w:rPr>
        <w:t>.</w:t>
      </w:r>
      <w:r w:rsidRPr="00B252EB">
        <w:rPr>
          <w:rFonts w:ascii="Verdana" w:hAnsi="Verdana"/>
          <w:spacing w:val="-12"/>
          <w:sz w:val="16"/>
          <w:szCs w:val="16"/>
          <w:lang w:val="es-VE"/>
        </w:rPr>
        <w:t xml:space="preserve"> </w:t>
      </w:r>
      <w:r w:rsidRPr="00D758B5">
        <w:rPr>
          <w:rFonts w:ascii="Verdana" w:hAnsi="Verdana"/>
          <w:spacing w:val="-12"/>
          <w:sz w:val="16"/>
          <w:szCs w:val="16"/>
          <w:lang w:val="es-VE"/>
        </w:rPr>
        <w:t xml:space="preserve">prueba, </w:t>
      </w:r>
      <w:proofErr w:type="spellStart"/>
      <w:r>
        <w:rPr>
          <w:rFonts w:ascii="Verdana" w:hAnsi="Verdana"/>
          <w:spacing w:val="-12"/>
          <w:sz w:val="16"/>
          <w:szCs w:val="16"/>
          <w:lang w:val="es-VE"/>
        </w:rPr>
        <w:t>ff</w:t>
      </w:r>
      <w:proofErr w:type="spellEnd"/>
      <w:r>
        <w:rPr>
          <w:rFonts w:ascii="Verdana" w:hAnsi="Verdana"/>
          <w:spacing w:val="-12"/>
          <w:sz w:val="16"/>
          <w:szCs w:val="16"/>
          <w:lang w:val="es-VE"/>
        </w:rPr>
        <w:t>.</w:t>
      </w:r>
      <w:r w:rsidRPr="00CF3AED">
        <w:rPr>
          <w:rFonts w:ascii="Verdana" w:hAnsi="Verdana"/>
          <w:spacing w:val="-12"/>
          <w:sz w:val="16"/>
          <w:szCs w:val="16"/>
          <w:lang w:val="es-VE"/>
        </w:rPr>
        <w:t xml:space="preserve"> 450, 454 y 458).</w:t>
      </w:r>
    </w:p>
  </w:footnote>
  <w:footnote w:id="146">
    <w:p w14:paraId="4A5FC54B" w14:textId="70E66B0A"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Sentencia de la Sala Constitucional del Tribunal Supremo de Justicia indicando que no acepta la declinatoria de competencia del</w:t>
      </w:r>
      <w:r w:rsidRPr="003100FE">
        <w:rPr>
          <w:rFonts w:ascii="Verdana" w:hAnsi="Verdana"/>
          <w:spacing w:val="-12"/>
          <w:sz w:val="16"/>
          <w:szCs w:val="16"/>
          <w:lang w:val="es-VE"/>
        </w:rPr>
        <w:t xml:space="preserve"> Juzgado Cuarto de Primera Instancia de Juicio del Circuito Judicial del Trabajo del Área Metropolitana de Caracas, 26 de mayo de 2005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prueba, </w:t>
      </w:r>
      <w:r w:rsidRPr="00290E0C">
        <w:rPr>
          <w:rFonts w:ascii="Verdana" w:hAnsi="Verdana"/>
          <w:spacing w:val="-12"/>
          <w:sz w:val="16"/>
          <w:szCs w:val="16"/>
          <w:lang w:val="es-VE"/>
        </w:rPr>
        <w:t>folios</w:t>
      </w:r>
      <w:r w:rsidRPr="00B252EB">
        <w:rPr>
          <w:rFonts w:ascii="Verdana" w:hAnsi="Verdana"/>
          <w:spacing w:val="-12"/>
          <w:sz w:val="16"/>
          <w:szCs w:val="16"/>
          <w:lang w:val="es-VE"/>
        </w:rPr>
        <w:t xml:space="preserve"> 462</w:t>
      </w:r>
      <w:r w:rsidRPr="0054215F">
        <w:rPr>
          <w:rFonts w:ascii="Verdana" w:hAnsi="Verdana"/>
          <w:spacing w:val="-12"/>
          <w:sz w:val="16"/>
          <w:szCs w:val="16"/>
          <w:lang w:val="es-VE"/>
        </w:rPr>
        <w:t xml:space="preserve"> a </w:t>
      </w:r>
      <w:r w:rsidRPr="00CF3AED">
        <w:rPr>
          <w:rFonts w:ascii="Verdana" w:hAnsi="Verdana"/>
          <w:spacing w:val="-12"/>
          <w:sz w:val="16"/>
          <w:szCs w:val="16"/>
          <w:lang w:val="es-VE"/>
        </w:rPr>
        <w:t xml:space="preserve">475). </w:t>
      </w:r>
    </w:p>
  </w:footnote>
  <w:footnote w:id="147">
    <w:p w14:paraId="5720B3FF" w14:textId="23590F62" w:rsidR="00837BB9" w:rsidRPr="00CF3AED" w:rsidRDefault="00837BB9" w:rsidP="008349B1">
      <w:pPr>
        <w:pStyle w:val="FootnoteText"/>
        <w:spacing w:before="120" w:after="120"/>
        <w:jc w:val="both"/>
        <w:rPr>
          <w:rFonts w:ascii="Verdana" w:hAnsi="Verdana"/>
          <w:spacing w:val="-12"/>
          <w:sz w:val="16"/>
          <w:szCs w:val="16"/>
          <w:highlight w:val="yellow"/>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Decisión del Juzgado</w:t>
      </w:r>
      <w:r w:rsidRPr="006C24C0">
        <w:rPr>
          <w:rFonts w:ascii="Verdana" w:hAnsi="Verdana"/>
          <w:spacing w:val="-12"/>
          <w:sz w:val="16"/>
          <w:szCs w:val="16"/>
          <w:lang w:val="es-VE"/>
        </w:rPr>
        <w:t xml:space="preserve"> Cuarto de Primera Instancia de Juic</w:t>
      </w:r>
      <w:r w:rsidRPr="003100FE">
        <w:rPr>
          <w:rFonts w:ascii="Verdana" w:hAnsi="Verdana"/>
          <w:spacing w:val="-12"/>
          <w:sz w:val="16"/>
          <w:szCs w:val="16"/>
          <w:lang w:val="es-VE"/>
        </w:rPr>
        <w:t>io del Circuito Judicial del Trabajo del Área Metropolitana de Caracas, 17 de junio de dos mil cinco (</w:t>
      </w:r>
      <w:proofErr w:type="spellStart"/>
      <w:r w:rsidRPr="003100FE">
        <w:rPr>
          <w:rFonts w:ascii="Verdana" w:hAnsi="Verdana"/>
          <w:spacing w:val="-12"/>
          <w:sz w:val="16"/>
          <w:szCs w:val="16"/>
          <w:lang w:val="es-VE"/>
        </w:rPr>
        <w:t>exp</w:t>
      </w:r>
      <w:proofErr w:type="spellEnd"/>
      <w:r w:rsidRPr="0003211A">
        <w:rPr>
          <w:rFonts w:ascii="Verdana" w:hAnsi="Verdana"/>
          <w:spacing w:val="-12"/>
          <w:sz w:val="16"/>
          <w:szCs w:val="16"/>
          <w:lang w:val="es-VE"/>
        </w:rPr>
        <w:t>.</w:t>
      </w:r>
      <w:r w:rsidRPr="00CE7020">
        <w:rPr>
          <w:rFonts w:ascii="Verdana" w:hAnsi="Verdana"/>
          <w:spacing w:val="-12"/>
          <w:sz w:val="16"/>
          <w:szCs w:val="16"/>
          <w:lang w:val="es-VE"/>
        </w:rPr>
        <w:t xml:space="preserve">, </w:t>
      </w:r>
      <w:r w:rsidRPr="00290E0C">
        <w:rPr>
          <w:rFonts w:ascii="Verdana" w:hAnsi="Verdana"/>
          <w:spacing w:val="-12"/>
          <w:sz w:val="16"/>
          <w:szCs w:val="16"/>
          <w:lang w:val="es-VE"/>
        </w:rPr>
        <w:t>folios</w:t>
      </w:r>
      <w:r w:rsidRPr="00B252EB">
        <w:rPr>
          <w:rFonts w:ascii="Verdana" w:hAnsi="Verdana"/>
          <w:spacing w:val="-12"/>
          <w:sz w:val="16"/>
          <w:szCs w:val="16"/>
          <w:lang w:val="es-VE"/>
        </w:rPr>
        <w:t xml:space="preserve"> 477</w:t>
      </w:r>
      <w:r w:rsidRPr="0054215F">
        <w:rPr>
          <w:rFonts w:ascii="Verdana" w:hAnsi="Verdana"/>
          <w:spacing w:val="-12"/>
          <w:sz w:val="16"/>
          <w:szCs w:val="16"/>
          <w:lang w:val="es-VE"/>
        </w:rPr>
        <w:t xml:space="preserve"> a </w:t>
      </w:r>
      <w:r w:rsidRPr="00CF3AED">
        <w:rPr>
          <w:rFonts w:ascii="Verdana" w:hAnsi="Verdana"/>
          <w:spacing w:val="-12"/>
          <w:sz w:val="16"/>
          <w:szCs w:val="16"/>
          <w:lang w:val="es-VE"/>
        </w:rPr>
        <w:t xml:space="preserve">478). </w:t>
      </w:r>
    </w:p>
  </w:footnote>
  <w:footnote w:id="148">
    <w:p w14:paraId="1CA6311B" w14:textId="745592AF" w:rsidR="00837BB9" w:rsidRPr="00D758B5"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Escrito de opinión fiscal de</w:t>
      </w:r>
      <w:r w:rsidRPr="006C24C0">
        <w:rPr>
          <w:rFonts w:ascii="Verdana" w:hAnsi="Verdana"/>
          <w:spacing w:val="-12"/>
          <w:sz w:val="16"/>
          <w:szCs w:val="16"/>
          <w:lang w:val="es-VE"/>
        </w:rPr>
        <w:t xml:space="preserve"> 20 de julio de 2005 (</w:t>
      </w:r>
      <w:proofErr w:type="spellStart"/>
      <w:r w:rsidRPr="006C24C0">
        <w:rPr>
          <w:rFonts w:ascii="Verdana" w:hAnsi="Verdana"/>
          <w:spacing w:val="-12"/>
          <w:sz w:val="16"/>
          <w:szCs w:val="16"/>
          <w:lang w:val="es-VE"/>
        </w:rPr>
        <w:t>exp</w:t>
      </w:r>
      <w:proofErr w:type="spellEnd"/>
      <w:r w:rsidRPr="003100FE">
        <w:rPr>
          <w:rFonts w:ascii="Verdana" w:hAnsi="Verdana"/>
          <w:spacing w:val="-12"/>
          <w:sz w:val="16"/>
          <w:szCs w:val="16"/>
          <w:lang w:val="es-VE"/>
        </w:rPr>
        <w:t>.</w:t>
      </w:r>
      <w:r w:rsidRPr="00CE7020">
        <w:rPr>
          <w:rFonts w:ascii="Verdana" w:hAnsi="Verdana"/>
          <w:spacing w:val="-12"/>
          <w:sz w:val="16"/>
          <w:szCs w:val="16"/>
          <w:lang w:val="es-VE"/>
        </w:rPr>
        <w:t xml:space="preserve"> prueba, </w:t>
      </w:r>
      <w:r w:rsidRPr="00773F82">
        <w:rPr>
          <w:rFonts w:ascii="Verdana" w:hAnsi="Verdana"/>
          <w:spacing w:val="-12"/>
          <w:sz w:val="16"/>
          <w:szCs w:val="16"/>
          <w:lang w:val="es-VE"/>
        </w:rPr>
        <w:t>folios</w:t>
      </w:r>
      <w:r w:rsidRPr="00290E0C">
        <w:rPr>
          <w:rFonts w:ascii="Verdana" w:hAnsi="Verdana"/>
          <w:spacing w:val="-12"/>
          <w:sz w:val="16"/>
          <w:szCs w:val="16"/>
          <w:lang w:val="es-VE"/>
        </w:rPr>
        <w:t xml:space="preserve"> 480</w:t>
      </w:r>
      <w:r w:rsidRPr="00B252EB">
        <w:rPr>
          <w:rFonts w:ascii="Verdana" w:hAnsi="Verdana"/>
          <w:spacing w:val="-12"/>
          <w:sz w:val="16"/>
          <w:szCs w:val="16"/>
          <w:lang w:val="es-VE"/>
        </w:rPr>
        <w:t xml:space="preserve"> a </w:t>
      </w:r>
      <w:r w:rsidRPr="00D758B5">
        <w:rPr>
          <w:rFonts w:ascii="Verdana" w:hAnsi="Verdana"/>
          <w:spacing w:val="-12"/>
          <w:sz w:val="16"/>
          <w:szCs w:val="16"/>
          <w:lang w:val="es-VE"/>
        </w:rPr>
        <w:t xml:space="preserve">487). </w:t>
      </w:r>
    </w:p>
  </w:footnote>
  <w:footnote w:id="149">
    <w:p w14:paraId="2EB688C4" w14:textId="4F60C7A2" w:rsidR="00837BB9" w:rsidRPr="00CF3AED"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69409D">
        <w:rPr>
          <w:rFonts w:ascii="Verdana" w:hAnsi="Verdana"/>
          <w:i/>
          <w:spacing w:val="-12"/>
          <w:sz w:val="16"/>
          <w:szCs w:val="16"/>
          <w:lang w:val="es-VE"/>
        </w:rPr>
        <w:t>Cfr.</w:t>
      </w:r>
      <w:r w:rsidRPr="0069409D">
        <w:rPr>
          <w:rFonts w:ascii="Verdana" w:hAnsi="Verdana"/>
          <w:spacing w:val="-12"/>
          <w:sz w:val="16"/>
          <w:szCs w:val="16"/>
          <w:lang w:val="es-VE"/>
        </w:rPr>
        <w:t xml:space="preserve"> Escrito del Presidente del Consejo Nacional de Fronteras </w:t>
      </w:r>
      <w:r w:rsidRPr="006C24C0">
        <w:rPr>
          <w:rFonts w:ascii="Verdana" w:hAnsi="Verdana"/>
          <w:spacing w:val="-12"/>
          <w:sz w:val="16"/>
          <w:szCs w:val="16"/>
          <w:lang w:val="es-VE"/>
        </w:rPr>
        <w:t xml:space="preserve">dirigido </w:t>
      </w:r>
      <w:r w:rsidRPr="003100FE">
        <w:rPr>
          <w:rFonts w:ascii="Verdana" w:hAnsi="Verdana"/>
          <w:spacing w:val="-12"/>
          <w:sz w:val="16"/>
          <w:szCs w:val="16"/>
          <w:lang w:val="es-VE"/>
        </w:rPr>
        <w:t xml:space="preserve">al </w:t>
      </w:r>
      <w:r w:rsidRPr="0003211A">
        <w:rPr>
          <w:rFonts w:ascii="Verdana" w:hAnsi="Verdana"/>
          <w:spacing w:val="-12"/>
          <w:sz w:val="16"/>
          <w:szCs w:val="16"/>
          <w:lang w:val="es-VE"/>
        </w:rPr>
        <w:t xml:space="preserve">Juzgado </w:t>
      </w:r>
      <w:r w:rsidRPr="00CE7020">
        <w:rPr>
          <w:rFonts w:ascii="Verdana" w:hAnsi="Verdana"/>
          <w:spacing w:val="-12"/>
          <w:sz w:val="16"/>
          <w:szCs w:val="16"/>
          <w:lang w:val="es-VE"/>
        </w:rPr>
        <w:t>Cuarto de Primera Instancia de Juicio del Circuito Judicial del Trabajo del Área Metropolitana de Caracas, 20 de julio de 2005 (</w:t>
      </w:r>
      <w:proofErr w:type="spellStart"/>
      <w:r w:rsidRPr="00CE7020">
        <w:rPr>
          <w:rFonts w:ascii="Verdana" w:hAnsi="Verdana"/>
          <w:spacing w:val="-12"/>
          <w:sz w:val="16"/>
          <w:szCs w:val="16"/>
          <w:lang w:val="es-VE"/>
        </w:rPr>
        <w:t>exp</w:t>
      </w:r>
      <w:proofErr w:type="spellEnd"/>
      <w:r w:rsidRPr="00CE7020">
        <w:rPr>
          <w:rFonts w:ascii="Verdana" w:hAnsi="Verdana"/>
          <w:spacing w:val="-12"/>
          <w:sz w:val="16"/>
          <w:szCs w:val="16"/>
          <w:lang w:val="es-VE"/>
        </w:rPr>
        <w:t>.</w:t>
      </w:r>
      <w:r w:rsidRPr="00290E0C">
        <w:rPr>
          <w:rFonts w:ascii="Verdana" w:hAnsi="Verdana"/>
          <w:spacing w:val="-12"/>
          <w:sz w:val="16"/>
          <w:szCs w:val="16"/>
          <w:lang w:val="es-VE"/>
        </w:rPr>
        <w:t xml:space="preserve"> prueba, </w:t>
      </w:r>
      <w:r w:rsidRPr="00D758B5">
        <w:rPr>
          <w:rFonts w:ascii="Verdana" w:hAnsi="Verdana"/>
          <w:spacing w:val="-12"/>
          <w:sz w:val="16"/>
          <w:szCs w:val="16"/>
          <w:lang w:val="es-VE"/>
        </w:rPr>
        <w:t>folios</w:t>
      </w:r>
      <w:r w:rsidRPr="00CF3AED">
        <w:rPr>
          <w:rFonts w:ascii="Verdana" w:hAnsi="Verdana"/>
          <w:spacing w:val="-12"/>
          <w:sz w:val="16"/>
          <w:szCs w:val="16"/>
          <w:lang w:val="es-VE"/>
        </w:rPr>
        <w:t xml:space="preserve"> 489 a 501).</w:t>
      </w:r>
    </w:p>
  </w:footnote>
  <w:footnote w:id="150">
    <w:p w14:paraId="2BA98445" w14:textId="7C14845F" w:rsidR="00837BB9" w:rsidRPr="0054215F"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lang w:val="es-CR"/>
        </w:rPr>
        <w:t xml:space="preserve"> </w:t>
      </w:r>
      <w:r w:rsidRPr="00C7142E">
        <w:rPr>
          <w:rFonts w:ascii="Verdana" w:hAnsi="Verdana"/>
          <w:spacing w:val="-12"/>
          <w:sz w:val="16"/>
          <w:szCs w:val="16"/>
          <w:lang w:val="es-CR"/>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Acta de la Audiencia Constitucional de 20 de julio de 2005 (</w:t>
      </w:r>
      <w:proofErr w:type="spellStart"/>
      <w:r w:rsidRPr="0069409D">
        <w:rPr>
          <w:rFonts w:ascii="Verdana" w:hAnsi="Verdana"/>
          <w:spacing w:val="-12"/>
          <w:sz w:val="16"/>
          <w:szCs w:val="16"/>
          <w:lang w:val="es-VE"/>
        </w:rPr>
        <w:t>exp</w:t>
      </w:r>
      <w:proofErr w:type="spellEnd"/>
      <w:r w:rsidRPr="0069409D">
        <w:rPr>
          <w:rFonts w:ascii="Verdana" w:hAnsi="Verdana"/>
          <w:spacing w:val="-12"/>
          <w:sz w:val="16"/>
          <w:szCs w:val="16"/>
          <w:lang w:val="es-VE"/>
        </w:rPr>
        <w:t>.</w:t>
      </w:r>
      <w:r w:rsidRPr="003100FE">
        <w:rPr>
          <w:rFonts w:ascii="Verdana" w:hAnsi="Verdana"/>
          <w:spacing w:val="-12"/>
          <w:sz w:val="16"/>
          <w:szCs w:val="16"/>
          <w:lang w:val="es-VE"/>
        </w:rPr>
        <w:t xml:space="preserve"> prueba, </w:t>
      </w:r>
      <w:r w:rsidRPr="00CE7020">
        <w:rPr>
          <w:rFonts w:ascii="Verdana" w:hAnsi="Verdana"/>
          <w:spacing w:val="-12"/>
          <w:sz w:val="16"/>
          <w:szCs w:val="16"/>
          <w:lang w:val="es-VE"/>
        </w:rPr>
        <w:t>folios 503</w:t>
      </w:r>
      <w:r w:rsidRPr="00773F82">
        <w:rPr>
          <w:rFonts w:ascii="Verdana" w:hAnsi="Verdana"/>
          <w:spacing w:val="-12"/>
          <w:sz w:val="16"/>
          <w:szCs w:val="16"/>
          <w:lang w:val="es-VE"/>
        </w:rPr>
        <w:t xml:space="preserve"> a </w:t>
      </w:r>
      <w:r w:rsidRPr="00B252EB">
        <w:rPr>
          <w:rFonts w:ascii="Verdana" w:hAnsi="Verdana"/>
          <w:spacing w:val="-12"/>
          <w:sz w:val="16"/>
          <w:szCs w:val="16"/>
          <w:lang w:val="es-VE"/>
        </w:rPr>
        <w:t>506).</w:t>
      </w:r>
    </w:p>
  </w:footnote>
  <w:footnote w:id="151">
    <w:p w14:paraId="21442655" w14:textId="418BA444" w:rsidR="00837BB9" w:rsidRPr="009E7E48"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Sentencia del Juzgado Cuarto de Primera Instancia de Juicio del Circuito Judicial del Trabajo del Área Metropolitana de Caracas, 27 de julio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FC1D38">
        <w:rPr>
          <w:rFonts w:ascii="Verdana" w:hAnsi="Verdana"/>
          <w:spacing w:val="-12"/>
          <w:sz w:val="16"/>
          <w:szCs w:val="16"/>
          <w:lang w:val="es-VE"/>
        </w:rPr>
        <w:t xml:space="preserve"> prueba, </w:t>
      </w:r>
      <w:r w:rsidRPr="000536CF">
        <w:rPr>
          <w:rFonts w:ascii="Verdana" w:hAnsi="Verdana"/>
          <w:spacing w:val="-12"/>
          <w:sz w:val="16"/>
          <w:szCs w:val="16"/>
          <w:lang w:val="es-VE"/>
        </w:rPr>
        <w:t xml:space="preserve">folios </w:t>
      </w:r>
      <w:r w:rsidRPr="006001C8">
        <w:rPr>
          <w:rFonts w:ascii="Verdana" w:hAnsi="Verdana"/>
          <w:spacing w:val="-12"/>
          <w:sz w:val="16"/>
          <w:szCs w:val="16"/>
          <w:lang w:val="es-VE"/>
        </w:rPr>
        <w:t>509</w:t>
      </w:r>
      <w:r w:rsidRPr="00D55480">
        <w:rPr>
          <w:rFonts w:ascii="Verdana" w:hAnsi="Verdana"/>
          <w:spacing w:val="-12"/>
          <w:sz w:val="16"/>
          <w:szCs w:val="16"/>
          <w:lang w:val="es-VE"/>
        </w:rPr>
        <w:t xml:space="preserve"> a </w:t>
      </w:r>
      <w:r w:rsidRPr="009E7E48">
        <w:rPr>
          <w:rFonts w:ascii="Verdana" w:hAnsi="Verdana"/>
          <w:spacing w:val="-12"/>
          <w:sz w:val="16"/>
          <w:szCs w:val="16"/>
          <w:lang w:val="es-VE"/>
        </w:rPr>
        <w:t>529).</w:t>
      </w:r>
    </w:p>
  </w:footnote>
  <w:footnote w:id="152">
    <w:p w14:paraId="03E6AAF5" w14:textId="09CAFA4F" w:rsidR="00837BB9" w:rsidRPr="0012407E" w:rsidRDefault="00837BB9" w:rsidP="008349B1">
      <w:pPr>
        <w:pStyle w:val="FootnoteText"/>
        <w:spacing w:before="120" w:after="120"/>
        <w:jc w:val="both"/>
        <w:rPr>
          <w:rFonts w:ascii="Verdana" w:hAnsi="Verdana"/>
          <w:spacing w:val="-12"/>
          <w:sz w:val="16"/>
          <w:szCs w:val="16"/>
          <w:lang w:val="es-VE"/>
        </w:rPr>
      </w:pPr>
      <w:r w:rsidRPr="008B6122">
        <w:rPr>
          <w:rStyle w:val="FootnoteReference"/>
          <w:rFonts w:ascii="Verdana" w:hAnsi="Verdana"/>
          <w:spacing w:val="-12"/>
          <w:sz w:val="16"/>
          <w:szCs w:val="16"/>
        </w:rPr>
        <w:footnoteRef/>
      </w:r>
      <w:r w:rsidRPr="008B6122">
        <w:rPr>
          <w:rFonts w:ascii="Verdana" w:hAnsi="Verdana"/>
          <w:spacing w:val="-12"/>
          <w:sz w:val="16"/>
          <w:szCs w:val="16"/>
          <w:lang w:val="es-VE"/>
        </w:rPr>
        <w:t xml:space="preserve"> </w:t>
      </w:r>
      <w:r w:rsidRPr="008B6122">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Sentencia del Juzgado Cuarto de Primera Instancia de Juicio del Circuito Judicial del Trabajo del Área Metropolitana de Caracas, 27 de julio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6203B0">
        <w:rPr>
          <w:rFonts w:ascii="Verdana" w:hAnsi="Verdana"/>
          <w:spacing w:val="-12"/>
          <w:sz w:val="16"/>
          <w:szCs w:val="16"/>
          <w:lang w:val="es-VE"/>
        </w:rPr>
        <w:t xml:space="preserve"> prueba, </w:t>
      </w:r>
      <w:r w:rsidRPr="000536CF">
        <w:rPr>
          <w:rFonts w:ascii="Verdana" w:hAnsi="Verdana"/>
          <w:spacing w:val="-12"/>
          <w:sz w:val="16"/>
          <w:szCs w:val="16"/>
          <w:lang w:val="es-VE"/>
        </w:rPr>
        <w:t>folios 509</w:t>
      </w:r>
      <w:r w:rsidRPr="001C16AC">
        <w:rPr>
          <w:rFonts w:ascii="Verdana" w:hAnsi="Verdana"/>
          <w:spacing w:val="-12"/>
          <w:sz w:val="16"/>
          <w:szCs w:val="16"/>
          <w:lang w:val="es-VE"/>
        </w:rPr>
        <w:t xml:space="preserve"> a </w:t>
      </w:r>
      <w:r>
        <w:rPr>
          <w:rFonts w:ascii="Verdana" w:hAnsi="Verdana"/>
          <w:spacing w:val="-12"/>
          <w:sz w:val="16"/>
          <w:szCs w:val="16"/>
          <w:lang w:val="es-VE"/>
        </w:rPr>
        <w:t xml:space="preserve">529). </w:t>
      </w:r>
    </w:p>
  </w:footnote>
  <w:footnote w:id="153">
    <w:p w14:paraId="1EDBE132" w14:textId="49AF35F0" w:rsidR="00837BB9" w:rsidRPr="008B6122"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Recurso de apelación interpuesto por las presuntas víctimas el 29 de julio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xml:space="preserve">. </w:t>
      </w:r>
      <w:r w:rsidRPr="006203B0">
        <w:rPr>
          <w:rFonts w:ascii="Verdana" w:hAnsi="Verdana"/>
          <w:spacing w:val="-12"/>
          <w:sz w:val="16"/>
          <w:szCs w:val="16"/>
          <w:lang w:val="es-VE"/>
        </w:rPr>
        <w:t xml:space="preserve">prueba, </w:t>
      </w:r>
      <w:r w:rsidRPr="000536CF">
        <w:rPr>
          <w:rFonts w:ascii="Verdana" w:hAnsi="Verdana"/>
          <w:spacing w:val="-12"/>
          <w:sz w:val="16"/>
          <w:szCs w:val="16"/>
          <w:lang w:val="es-VE"/>
        </w:rPr>
        <w:t xml:space="preserve">folios 531 a </w:t>
      </w:r>
      <w:r w:rsidRPr="006001C8">
        <w:rPr>
          <w:rFonts w:ascii="Verdana" w:hAnsi="Verdana"/>
          <w:spacing w:val="-12"/>
          <w:sz w:val="16"/>
          <w:szCs w:val="16"/>
          <w:lang w:val="es-VE"/>
        </w:rPr>
        <w:t>532</w:t>
      </w:r>
      <w:r w:rsidRPr="00D55480">
        <w:rPr>
          <w:rFonts w:ascii="Verdana" w:hAnsi="Verdana"/>
          <w:spacing w:val="-12"/>
          <w:sz w:val="16"/>
          <w:szCs w:val="16"/>
          <w:lang w:val="es-VE"/>
        </w:rPr>
        <w:t xml:space="preserve"> y 535</w:t>
      </w:r>
      <w:r w:rsidRPr="009E7E48">
        <w:rPr>
          <w:rFonts w:ascii="Verdana" w:hAnsi="Verdana"/>
          <w:spacing w:val="-12"/>
          <w:sz w:val="16"/>
          <w:szCs w:val="16"/>
          <w:lang w:val="es-VE"/>
        </w:rPr>
        <w:t xml:space="preserve"> a </w:t>
      </w:r>
      <w:r w:rsidRPr="008B6122">
        <w:rPr>
          <w:rFonts w:ascii="Verdana" w:hAnsi="Verdana"/>
          <w:spacing w:val="-12"/>
          <w:sz w:val="16"/>
          <w:szCs w:val="16"/>
          <w:lang w:val="es-VE"/>
        </w:rPr>
        <w:t xml:space="preserve">598). </w:t>
      </w:r>
    </w:p>
  </w:footnote>
  <w:footnote w:id="154">
    <w:p w14:paraId="11D37703" w14:textId="5B2970CB" w:rsidR="00837BB9" w:rsidRPr="00D55480" w:rsidRDefault="00837BB9" w:rsidP="008349B1">
      <w:pPr>
        <w:pStyle w:val="FootnoteText"/>
        <w:spacing w:before="120" w:after="120"/>
        <w:jc w:val="both"/>
        <w:rPr>
          <w:rFonts w:ascii="Verdana" w:hAnsi="Verdana"/>
          <w:spacing w:val="-12"/>
          <w:sz w:val="16"/>
          <w:szCs w:val="16"/>
          <w:lang w:val="es-VE"/>
        </w:rPr>
      </w:pPr>
      <w:r w:rsidRPr="0012407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Sentencia del Juzgado Tercero Superior del Trabajo del Circuito Judicial del Trabajo de la Circunscripción Judicial del Área Metropolitana de Caracas, 9 de septiembre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6203B0">
        <w:rPr>
          <w:rFonts w:ascii="Verdana" w:hAnsi="Verdana"/>
          <w:spacing w:val="-12"/>
          <w:sz w:val="16"/>
          <w:szCs w:val="16"/>
          <w:lang w:val="es-VE"/>
        </w:rPr>
        <w:t xml:space="preserve"> prueba, </w:t>
      </w:r>
      <w:r w:rsidRPr="000536CF">
        <w:rPr>
          <w:rFonts w:ascii="Verdana" w:hAnsi="Verdana"/>
          <w:spacing w:val="-12"/>
          <w:sz w:val="16"/>
          <w:szCs w:val="16"/>
          <w:lang w:val="es-VE"/>
        </w:rPr>
        <w:t>folios 602</w:t>
      </w:r>
      <w:r w:rsidRPr="001C16AC">
        <w:rPr>
          <w:rFonts w:ascii="Verdana" w:hAnsi="Verdana"/>
          <w:spacing w:val="-12"/>
          <w:sz w:val="16"/>
          <w:szCs w:val="16"/>
          <w:lang w:val="es-VE"/>
        </w:rPr>
        <w:t xml:space="preserve"> a </w:t>
      </w:r>
      <w:r w:rsidRPr="00D55480">
        <w:rPr>
          <w:rFonts w:ascii="Verdana" w:hAnsi="Verdana"/>
          <w:spacing w:val="-12"/>
          <w:sz w:val="16"/>
          <w:szCs w:val="16"/>
          <w:lang w:val="es-VE"/>
        </w:rPr>
        <w:t xml:space="preserve">622). </w:t>
      </w:r>
    </w:p>
  </w:footnote>
  <w:footnote w:id="155">
    <w:p w14:paraId="4A14B8FB" w14:textId="58ECD7B9" w:rsidR="00837BB9" w:rsidRPr="006001C8"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Denuncia penal ante la Fiscalía General de la República, 27 de mayo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6203B0">
        <w:rPr>
          <w:rFonts w:ascii="Verdana" w:hAnsi="Verdana"/>
          <w:spacing w:val="-12"/>
          <w:sz w:val="16"/>
          <w:szCs w:val="16"/>
          <w:lang w:val="es-VE"/>
        </w:rPr>
        <w:t xml:space="preserve"> prueba, </w:t>
      </w:r>
      <w:r w:rsidRPr="000536CF">
        <w:rPr>
          <w:rFonts w:ascii="Verdana" w:hAnsi="Verdana"/>
          <w:spacing w:val="-12"/>
          <w:sz w:val="16"/>
          <w:szCs w:val="16"/>
          <w:lang w:val="es-VE"/>
        </w:rPr>
        <w:t xml:space="preserve">folios 624 a </w:t>
      </w:r>
      <w:r w:rsidRPr="006001C8">
        <w:rPr>
          <w:rFonts w:ascii="Verdana" w:hAnsi="Verdana"/>
          <w:spacing w:val="-12"/>
          <w:sz w:val="16"/>
          <w:szCs w:val="16"/>
          <w:lang w:val="es-VE"/>
        </w:rPr>
        <w:t xml:space="preserve">629). </w:t>
      </w:r>
    </w:p>
  </w:footnote>
  <w:footnote w:id="156">
    <w:p w14:paraId="180940F0" w14:textId="3DC46D49" w:rsidR="00837BB9" w:rsidRPr="000536CF"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Oficio de inició de investigación penal, Fiscalía Trigésima Séptima, 07 de julio de 2003 </w:t>
      </w:r>
      <w:r>
        <w:rPr>
          <w:rFonts w:ascii="Verdana" w:hAnsi="Verdana"/>
          <w:spacing w:val="-12"/>
          <w:sz w:val="16"/>
          <w:szCs w:val="16"/>
          <w:lang w:val="es-VE"/>
        </w:rPr>
        <w:t xml:space="preserve">[sic] </w:t>
      </w:r>
      <w:r w:rsidRPr="00CF3AED">
        <w:rPr>
          <w:rFonts w:ascii="Verdana" w:hAnsi="Verdana"/>
          <w:spacing w:val="-12"/>
          <w:sz w:val="16"/>
          <w:szCs w:val="16"/>
          <w:lang w:val="es-VE"/>
        </w:rPr>
        <w:t>(</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w:t>
      </w:r>
      <w:r w:rsidRPr="00FC1D38">
        <w:rPr>
          <w:rFonts w:ascii="Verdana" w:hAnsi="Verdana"/>
          <w:spacing w:val="-12"/>
          <w:sz w:val="16"/>
          <w:szCs w:val="16"/>
          <w:lang w:val="es-VE"/>
        </w:rPr>
        <w:t xml:space="preserve"> prueba, f</w:t>
      </w:r>
      <w:r w:rsidRPr="000536CF">
        <w:rPr>
          <w:rFonts w:ascii="Verdana" w:hAnsi="Verdana"/>
          <w:spacing w:val="-12"/>
          <w:sz w:val="16"/>
          <w:szCs w:val="16"/>
          <w:lang w:val="es-VE"/>
        </w:rPr>
        <w:t xml:space="preserve">olio 632). </w:t>
      </w:r>
    </w:p>
  </w:footnote>
  <w:footnote w:id="157">
    <w:p w14:paraId="360D032A" w14:textId="4842CAD9" w:rsidR="00837BB9" w:rsidRPr="00D55480" w:rsidRDefault="00837BB9" w:rsidP="008349B1">
      <w:pPr>
        <w:pStyle w:val="FootnoteText"/>
        <w:spacing w:before="120" w:after="120"/>
        <w:jc w:val="both"/>
        <w:rPr>
          <w:rFonts w:ascii="Verdana" w:hAnsi="Verdana"/>
          <w:spacing w:val="-12"/>
          <w:sz w:val="16"/>
          <w:szCs w:val="16"/>
          <w:lang w:val="es-VE"/>
        </w:rPr>
      </w:pPr>
      <w:r w:rsidRPr="001C16AC">
        <w:rPr>
          <w:rStyle w:val="FootnoteReference"/>
          <w:rFonts w:ascii="Verdana" w:hAnsi="Verdana"/>
          <w:spacing w:val="-12"/>
          <w:sz w:val="16"/>
          <w:szCs w:val="16"/>
        </w:rPr>
        <w:footnoteRef/>
      </w:r>
      <w:r w:rsidRPr="006001C8">
        <w:rPr>
          <w:rFonts w:ascii="Verdana" w:hAnsi="Verdana"/>
          <w:spacing w:val="-12"/>
          <w:sz w:val="16"/>
          <w:szCs w:val="16"/>
          <w:lang w:val="es-VE"/>
        </w:rPr>
        <w:t xml:space="preserve"> </w:t>
      </w:r>
      <w:r w:rsidRPr="006001C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Anexo 29. Acta de entrevista a Feijoo </w:t>
      </w:r>
      <w:proofErr w:type="spellStart"/>
      <w:r w:rsidRPr="00CF3AED">
        <w:rPr>
          <w:rFonts w:ascii="Verdana" w:hAnsi="Verdana"/>
          <w:spacing w:val="-12"/>
          <w:sz w:val="16"/>
          <w:szCs w:val="16"/>
          <w:lang w:val="es-VE"/>
        </w:rPr>
        <w:t>Colomine</w:t>
      </w:r>
      <w:proofErr w:type="spellEnd"/>
      <w:r w:rsidRPr="00CF3AED">
        <w:rPr>
          <w:rFonts w:ascii="Verdana" w:hAnsi="Verdana"/>
          <w:spacing w:val="-12"/>
          <w:sz w:val="16"/>
          <w:szCs w:val="16"/>
          <w:lang w:val="es-VE"/>
        </w:rPr>
        <w:t xml:space="preserve"> Rincones, 14 de julio de 2004, Anexo II de la denuncia presentada ante la CIDH el 7 de marzo de 2006.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w:t>
      </w:r>
      <w:r w:rsidRPr="006203B0">
        <w:rPr>
          <w:rFonts w:ascii="Verdana" w:hAnsi="Verdana"/>
          <w:spacing w:val="-12"/>
          <w:sz w:val="16"/>
          <w:szCs w:val="16"/>
          <w:lang w:val="es-VE"/>
        </w:rPr>
        <w:t xml:space="preserve">, </w:t>
      </w:r>
      <w:r w:rsidRPr="000536CF">
        <w:rPr>
          <w:rFonts w:ascii="Verdana" w:hAnsi="Verdana"/>
          <w:spacing w:val="-12"/>
          <w:sz w:val="16"/>
          <w:szCs w:val="16"/>
          <w:lang w:val="es-VE"/>
        </w:rPr>
        <w:t xml:space="preserve">folios 381 a </w:t>
      </w:r>
      <w:r w:rsidRPr="006001C8">
        <w:rPr>
          <w:rFonts w:ascii="Verdana" w:hAnsi="Verdana"/>
          <w:spacing w:val="-12"/>
          <w:sz w:val="16"/>
          <w:szCs w:val="16"/>
          <w:lang w:val="es-VE"/>
        </w:rPr>
        <w:t xml:space="preserve">382). </w:t>
      </w:r>
    </w:p>
  </w:footnote>
  <w:footnote w:id="158">
    <w:p w14:paraId="2C3F4324" w14:textId="46857D48" w:rsidR="00837BB9" w:rsidRPr="006001C8"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Informe del Secretario Ejecutivo del Consejo Nacional de Fronteras, 14 de julio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w:t>
      </w:r>
      <w:r w:rsidRPr="006203B0">
        <w:rPr>
          <w:rFonts w:ascii="Verdana" w:hAnsi="Verdana"/>
          <w:spacing w:val="-12"/>
          <w:sz w:val="16"/>
          <w:szCs w:val="16"/>
          <w:lang w:val="es-VE"/>
        </w:rPr>
        <w:t xml:space="preserve">, </w:t>
      </w:r>
      <w:r w:rsidRPr="000536CF">
        <w:rPr>
          <w:rFonts w:ascii="Verdana" w:hAnsi="Verdana"/>
          <w:spacing w:val="-12"/>
          <w:sz w:val="16"/>
          <w:szCs w:val="16"/>
          <w:lang w:val="es-VE"/>
        </w:rPr>
        <w:t xml:space="preserve">folios 634 a </w:t>
      </w:r>
      <w:r w:rsidRPr="006001C8">
        <w:rPr>
          <w:rFonts w:ascii="Verdana" w:hAnsi="Verdana"/>
          <w:spacing w:val="-12"/>
          <w:sz w:val="16"/>
          <w:szCs w:val="16"/>
          <w:lang w:val="es-VE"/>
        </w:rPr>
        <w:t xml:space="preserve">637). </w:t>
      </w:r>
    </w:p>
  </w:footnote>
  <w:footnote w:id="159">
    <w:p w14:paraId="11FF909A" w14:textId="27276C71" w:rsidR="00837BB9" w:rsidRPr="0069409D"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Declaraciones testimoniales de las presuntas víctimas 15 y 16 de julio de 2004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prueba</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folios 360</w:t>
      </w:r>
      <w:r w:rsidRPr="001C16AC">
        <w:rPr>
          <w:rFonts w:ascii="Verdana" w:hAnsi="Verdana"/>
          <w:spacing w:val="-12"/>
          <w:sz w:val="16"/>
          <w:szCs w:val="16"/>
          <w:lang w:val="es-VE"/>
        </w:rPr>
        <w:t xml:space="preserve"> a </w:t>
      </w:r>
      <w:r w:rsidRPr="00D55480">
        <w:rPr>
          <w:rFonts w:ascii="Verdana" w:hAnsi="Verdana"/>
          <w:spacing w:val="-12"/>
          <w:sz w:val="16"/>
          <w:szCs w:val="16"/>
          <w:lang w:val="es-VE"/>
        </w:rPr>
        <w:t xml:space="preserve">364, 384 a </w:t>
      </w:r>
      <w:r w:rsidRPr="008B6122">
        <w:rPr>
          <w:rFonts w:ascii="Verdana" w:hAnsi="Verdana"/>
          <w:spacing w:val="-12"/>
          <w:sz w:val="16"/>
          <w:szCs w:val="16"/>
          <w:lang w:val="es-VE"/>
        </w:rPr>
        <w:t xml:space="preserve">385, y </w:t>
      </w:r>
      <w:r w:rsidRPr="0012407E">
        <w:rPr>
          <w:rFonts w:ascii="Verdana" w:hAnsi="Verdana"/>
          <w:spacing w:val="-12"/>
          <w:sz w:val="16"/>
          <w:szCs w:val="16"/>
          <w:lang w:val="es-VE"/>
        </w:rPr>
        <w:t>387</w:t>
      </w:r>
      <w:r w:rsidRPr="00C7142E">
        <w:rPr>
          <w:rFonts w:ascii="Verdana" w:hAnsi="Verdana"/>
          <w:spacing w:val="-12"/>
          <w:sz w:val="16"/>
          <w:szCs w:val="16"/>
          <w:lang w:val="es-VE"/>
        </w:rPr>
        <w:t xml:space="preserve"> a </w:t>
      </w:r>
      <w:r w:rsidRPr="0069409D">
        <w:rPr>
          <w:rFonts w:ascii="Verdana" w:hAnsi="Verdana"/>
          <w:spacing w:val="-12"/>
          <w:sz w:val="16"/>
          <w:szCs w:val="16"/>
          <w:lang w:val="es-VE"/>
        </w:rPr>
        <w:t xml:space="preserve">389). </w:t>
      </w:r>
    </w:p>
  </w:footnote>
  <w:footnote w:id="160">
    <w:p w14:paraId="145B133A" w14:textId="79B8D879" w:rsidR="00837BB9" w:rsidRPr="008B6122"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Solicitud de sobreseimiento de la causa a Juez de Primera Instancia en Funciones de Control del Circuito Judicial Penal del Área Metropolitana de Caracas, 21 de enero de 2005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prueba</w:t>
      </w:r>
      <w:r w:rsidRPr="00FC1D38">
        <w:rPr>
          <w:rFonts w:ascii="Verdana" w:hAnsi="Verdana"/>
          <w:spacing w:val="-12"/>
          <w:sz w:val="16"/>
          <w:szCs w:val="16"/>
          <w:lang w:val="es-VE"/>
        </w:rPr>
        <w:t xml:space="preserve">, </w:t>
      </w:r>
      <w:r w:rsidRPr="000536CF">
        <w:rPr>
          <w:rFonts w:ascii="Verdana" w:hAnsi="Verdana"/>
          <w:spacing w:val="-12"/>
          <w:sz w:val="16"/>
          <w:szCs w:val="16"/>
          <w:lang w:val="es-VE"/>
        </w:rPr>
        <w:t xml:space="preserve">folios </w:t>
      </w:r>
      <w:r w:rsidRPr="006001C8">
        <w:rPr>
          <w:rFonts w:ascii="Verdana" w:hAnsi="Verdana"/>
          <w:spacing w:val="-12"/>
          <w:sz w:val="16"/>
          <w:szCs w:val="16"/>
          <w:lang w:val="es-VE"/>
        </w:rPr>
        <w:t>63</w:t>
      </w:r>
      <w:r w:rsidRPr="00D55480">
        <w:rPr>
          <w:rFonts w:ascii="Verdana" w:hAnsi="Verdana"/>
          <w:spacing w:val="-12"/>
          <w:sz w:val="16"/>
          <w:szCs w:val="16"/>
          <w:lang w:val="es-VE"/>
        </w:rPr>
        <w:t xml:space="preserve">9 a </w:t>
      </w:r>
      <w:r w:rsidRPr="008B6122">
        <w:rPr>
          <w:rFonts w:ascii="Verdana" w:hAnsi="Verdana"/>
          <w:spacing w:val="-12"/>
          <w:sz w:val="16"/>
          <w:szCs w:val="16"/>
          <w:lang w:val="es-VE"/>
        </w:rPr>
        <w:t xml:space="preserve">651). </w:t>
      </w:r>
    </w:p>
  </w:footnote>
  <w:footnote w:id="161">
    <w:p w14:paraId="04FD6327" w14:textId="10F58D61" w:rsidR="00837BB9" w:rsidRPr="006001C8" w:rsidRDefault="00837BB9" w:rsidP="008349B1">
      <w:pPr>
        <w:pStyle w:val="FootnoteText"/>
        <w:spacing w:before="120" w:after="120"/>
        <w:jc w:val="both"/>
        <w:rPr>
          <w:rFonts w:ascii="Verdana" w:hAnsi="Verdana"/>
          <w:spacing w:val="-12"/>
          <w:sz w:val="16"/>
          <w:szCs w:val="16"/>
          <w:lang w:val="es-VE"/>
        </w:rPr>
      </w:pPr>
      <w:r w:rsidRPr="008B6122">
        <w:rPr>
          <w:rStyle w:val="FootnoteReference"/>
          <w:rFonts w:ascii="Verdana" w:hAnsi="Verdana"/>
          <w:spacing w:val="-12"/>
          <w:sz w:val="16"/>
          <w:szCs w:val="16"/>
        </w:rPr>
        <w:footnoteRef/>
      </w:r>
      <w:r w:rsidRPr="0012407E">
        <w:rPr>
          <w:rFonts w:ascii="Verdana" w:hAnsi="Verdana"/>
          <w:spacing w:val="-12"/>
          <w:sz w:val="16"/>
          <w:szCs w:val="16"/>
          <w:lang w:val="es-VE"/>
        </w:rPr>
        <w:t xml:space="preserve"> </w:t>
      </w:r>
      <w:r w:rsidRPr="0012407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Resolución de sobreseimiento del Juzgado Vigésimo Primero de Primera Instancia en Funciones de Control, 4 de abril de 2004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w:t>
      </w:r>
      <w:r w:rsidRPr="006203B0">
        <w:rPr>
          <w:rFonts w:ascii="Verdana" w:hAnsi="Verdana"/>
          <w:spacing w:val="-12"/>
          <w:sz w:val="16"/>
          <w:szCs w:val="16"/>
          <w:lang w:val="es-VE"/>
        </w:rPr>
        <w:t xml:space="preserve">, </w:t>
      </w:r>
      <w:r w:rsidRPr="000536CF">
        <w:rPr>
          <w:rFonts w:ascii="Verdana" w:hAnsi="Verdana"/>
          <w:spacing w:val="-12"/>
          <w:sz w:val="16"/>
          <w:szCs w:val="16"/>
          <w:lang w:val="es-VE"/>
        </w:rPr>
        <w:t xml:space="preserve">folios 653 a </w:t>
      </w:r>
      <w:r w:rsidRPr="006001C8">
        <w:rPr>
          <w:rFonts w:ascii="Verdana" w:hAnsi="Verdana"/>
          <w:spacing w:val="-12"/>
          <w:sz w:val="16"/>
          <w:szCs w:val="16"/>
          <w:lang w:val="es-VE"/>
        </w:rPr>
        <w:t xml:space="preserve">656). </w:t>
      </w:r>
    </w:p>
  </w:footnote>
  <w:footnote w:id="162">
    <w:p w14:paraId="07D182CC" w14:textId="3100B26D" w:rsidR="00837BB9" w:rsidRPr="00D55480"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Recurso de apelación contra la decisión de sobreseimiento, 15 de abril de 2005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prueba</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folios 658</w:t>
      </w:r>
      <w:r w:rsidRPr="001C16AC">
        <w:rPr>
          <w:rFonts w:ascii="Verdana" w:hAnsi="Verdana"/>
          <w:spacing w:val="-12"/>
          <w:sz w:val="16"/>
          <w:szCs w:val="16"/>
          <w:lang w:val="es-VE"/>
        </w:rPr>
        <w:t xml:space="preserve"> a </w:t>
      </w:r>
      <w:r w:rsidRPr="00D55480">
        <w:rPr>
          <w:rFonts w:ascii="Verdana" w:hAnsi="Verdana"/>
          <w:spacing w:val="-12"/>
          <w:sz w:val="16"/>
          <w:szCs w:val="16"/>
          <w:lang w:val="es-VE"/>
        </w:rPr>
        <w:t xml:space="preserve">673). </w:t>
      </w:r>
    </w:p>
  </w:footnote>
  <w:footnote w:id="163">
    <w:p w14:paraId="0B93855C" w14:textId="6751307F" w:rsidR="00837BB9" w:rsidRPr="0012407E"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D55480">
        <w:rPr>
          <w:rFonts w:ascii="Verdana" w:hAnsi="Verdana"/>
          <w:spacing w:val="-12"/>
          <w:sz w:val="16"/>
          <w:szCs w:val="16"/>
          <w:lang w:val="es-VE"/>
        </w:rPr>
        <w:t xml:space="preserve"> </w:t>
      </w:r>
      <w:r w:rsidRPr="00D55480">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Contestación de la fiscalía Trigésima Séptima al Recurso de apelación contra la decisión de sobreseimiento, 2</w:t>
      </w:r>
      <w:r w:rsidRPr="006203B0">
        <w:rPr>
          <w:rFonts w:ascii="Verdana" w:hAnsi="Verdana"/>
          <w:spacing w:val="-12"/>
          <w:sz w:val="16"/>
          <w:szCs w:val="16"/>
          <w:lang w:val="es-VE"/>
        </w:rPr>
        <w:t>7</w:t>
      </w:r>
      <w:r w:rsidRPr="00FC1D38">
        <w:rPr>
          <w:rFonts w:ascii="Verdana" w:hAnsi="Verdana"/>
          <w:spacing w:val="-12"/>
          <w:sz w:val="16"/>
          <w:szCs w:val="16"/>
          <w:lang w:val="es-VE"/>
        </w:rPr>
        <w:t xml:space="preserve"> </w:t>
      </w:r>
      <w:r w:rsidRPr="000536CF">
        <w:rPr>
          <w:rFonts w:ascii="Verdana" w:hAnsi="Verdana"/>
          <w:spacing w:val="-12"/>
          <w:sz w:val="16"/>
          <w:szCs w:val="16"/>
          <w:lang w:val="es-VE"/>
        </w:rPr>
        <w:t>de abril de 2005 (</w:t>
      </w:r>
      <w:proofErr w:type="spellStart"/>
      <w:r w:rsidRPr="000536CF">
        <w:rPr>
          <w:rFonts w:ascii="Verdana" w:hAnsi="Verdana"/>
          <w:spacing w:val="-12"/>
          <w:sz w:val="16"/>
          <w:szCs w:val="16"/>
          <w:lang w:val="es-VE"/>
        </w:rPr>
        <w:t>exp</w:t>
      </w:r>
      <w:proofErr w:type="spellEnd"/>
      <w:r w:rsidRPr="000536CF">
        <w:rPr>
          <w:rFonts w:ascii="Verdana" w:hAnsi="Verdana"/>
          <w:spacing w:val="-12"/>
          <w:sz w:val="16"/>
          <w:szCs w:val="16"/>
          <w:lang w:val="es-VE"/>
        </w:rPr>
        <w:t>. prueba</w:t>
      </w:r>
      <w:r w:rsidRPr="001C16AC">
        <w:rPr>
          <w:rFonts w:ascii="Verdana" w:hAnsi="Verdana"/>
          <w:spacing w:val="-12"/>
          <w:sz w:val="16"/>
          <w:szCs w:val="16"/>
          <w:lang w:val="es-VE"/>
        </w:rPr>
        <w:t xml:space="preserve">, </w:t>
      </w:r>
      <w:r w:rsidRPr="00D55480">
        <w:rPr>
          <w:rFonts w:ascii="Verdana" w:hAnsi="Verdana"/>
          <w:spacing w:val="-12"/>
          <w:sz w:val="16"/>
          <w:szCs w:val="16"/>
          <w:lang w:val="es-VE"/>
        </w:rPr>
        <w:t>folios 675</w:t>
      </w:r>
      <w:r w:rsidRPr="009E7E48">
        <w:rPr>
          <w:rFonts w:ascii="Verdana" w:hAnsi="Verdana"/>
          <w:spacing w:val="-12"/>
          <w:sz w:val="16"/>
          <w:szCs w:val="16"/>
          <w:lang w:val="es-VE"/>
        </w:rPr>
        <w:t xml:space="preserve"> a</w:t>
      </w:r>
      <w:r w:rsidRPr="008B6122">
        <w:rPr>
          <w:rFonts w:ascii="Verdana" w:hAnsi="Verdana"/>
          <w:spacing w:val="-12"/>
          <w:sz w:val="16"/>
          <w:szCs w:val="16"/>
          <w:lang w:val="es-VE"/>
        </w:rPr>
        <w:t xml:space="preserve"> </w:t>
      </w:r>
      <w:r w:rsidRPr="0012407E">
        <w:rPr>
          <w:rFonts w:ascii="Verdana" w:hAnsi="Verdana"/>
          <w:spacing w:val="-12"/>
          <w:sz w:val="16"/>
          <w:szCs w:val="16"/>
          <w:lang w:val="es-VE"/>
        </w:rPr>
        <w:t>682).</w:t>
      </w:r>
    </w:p>
  </w:footnote>
  <w:footnote w:id="164">
    <w:p w14:paraId="356FC535" w14:textId="4DCEC0B2" w:rsidR="00837BB9" w:rsidRPr="00D55480"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Admisión de recurso de apelación por la Sala Séptima de la Corte de Apelaciones, Circuito Judicial del Área Metropolitana de Caracas, 5 de mayo de 2005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prueba</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folios 684</w:t>
      </w:r>
      <w:r w:rsidRPr="006001C8">
        <w:rPr>
          <w:rFonts w:ascii="Verdana" w:hAnsi="Verdana"/>
          <w:spacing w:val="-12"/>
          <w:sz w:val="16"/>
          <w:szCs w:val="16"/>
          <w:lang w:val="es-VE"/>
        </w:rPr>
        <w:t xml:space="preserve"> a </w:t>
      </w:r>
      <w:r w:rsidRPr="00D55480">
        <w:rPr>
          <w:rFonts w:ascii="Verdana" w:hAnsi="Verdana"/>
          <w:spacing w:val="-12"/>
          <w:sz w:val="16"/>
          <w:szCs w:val="16"/>
          <w:lang w:val="es-VE"/>
        </w:rPr>
        <w:t>686).</w:t>
      </w:r>
    </w:p>
  </w:footnote>
  <w:footnote w:id="165">
    <w:p w14:paraId="1BED513B" w14:textId="3F033EB3" w:rsidR="00837BB9" w:rsidRPr="00D55480"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Decisión de la Sala Séptima de la Corte de Apelaciones del Circuito Judicial Penal del Área Metropolitana de Caracas que declara sin lugar recurso de apelación, 12 de mayo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w:t>
      </w:r>
      <w:r w:rsidRPr="006203B0">
        <w:rPr>
          <w:rFonts w:ascii="Verdana" w:hAnsi="Verdana"/>
          <w:spacing w:val="-12"/>
          <w:sz w:val="16"/>
          <w:szCs w:val="16"/>
          <w:lang w:val="es-VE"/>
        </w:rPr>
        <w:t>a</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folios 688</w:t>
      </w:r>
      <w:r w:rsidRPr="001C16AC">
        <w:rPr>
          <w:rFonts w:ascii="Verdana" w:hAnsi="Verdana"/>
          <w:spacing w:val="-12"/>
          <w:sz w:val="16"/>
          <w:szCs w:val="16"/>
          <w:lang w:val="es-VE"/>
        </w:rPr>
        <w:t xml:space="preserve"> a </w:t>
      </w:r>
      <w:r w:rsidRPr="00D55480">
        <w:rPr>
          <w:rFonts w:ascii="Verdana" w:hAnsi="Verdana"/>
          <w:spacing w:val="-12"/>
          <w:sz w:val="16"/>
          <w:szCs w:val="16"/>
          <w:lang w:val="es-VE"/>
        </w:rPr>
        <w:t xml:space="preserve">707). </w:t>
      </w:r>
    </w:p>
  </w:footnote>
  <w:footnote w:id="166">
    <w:p w14:paraId="7A520924" w14:textId="25D3402B" w:rsidR="00837BB9" w:rsidRPr="00D55480"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Recurso de casación interpuesto por rocío San Miguel Sosa, </w:t>
      </w:r>
      <w:proofErr w:type="spellStart"/>
      <w:r w:rsidRPr="00CF3AED">
        <w:rPr>
          <w:rFonts w:ascii="Verdana" w:hAnsi="Verdana"/>
          <w:spacing w:val="-12"/>
          <w:sz w:val="16"/>
          <w:szCs w:val="16"/>
          <w:lang w:val="es-VE"/>
        </w:rPr>
        <w:t>Magally</w:t>
      </w:r>
      <w:proofErr w:type="spellEnd"/>
      <w:r w:rsidRPr="00CF3AED">
        <w:rPr>
          <w:rFonts w:ascii="Verdana" w:hAnsi="Verdana"/>
          <w:spacing w:val="-12"/>
          <w:sz w:val="16"/>
          <w:szCs w:val="16"/>
          <w:lang w:val="es-VE"/>
        </w:rPr>
        <w:t xml:space="preserve"> Chang Girón y Thais Coromoto Peña ante la Sala de Casación Penal del Tribunal Supremo de Justicia, 6 de julio de 2005 (</w:t>
      </w:r>
      <w:proofErr w:type="spellStart"/>
      <w:r w:rsidRPr="00CF3AED">
        <w:rPr>
          <w:rFonts w:ascii="Verdana" w:hAnsi="Verdana"/>
          <w:spacing w:val="-12"/>
          <w:sz w:val="16"/>
          <w:szCs w:val="16"/>
          <w:lang w:val="es-VE"/>
        </w:rPr>
        <w:t>exp</w:t>
      </w:r>
      <w:proofErr w:type="spellEnd"/>
      <w:r w:rsidRPr="00CF3AED">
        <w:rPr>
          <w:rFonts w:ascii="Verdana" w:hAnsi="Verdana"/>
          <w:spacing w:val="-12"/>
          <w:sz w:val="16"/>
          <w:szCs w:val="16"/>
          <w:lang w:val="es-VE"/>
        </w:rPr>
        <w:t>. prueba</w:t>
      </w:r>
      <w:r w:rsidRPr="006203B0">
        <w:rPr>
          <w:rFonts w:ascii="Verdana" w:hAnsi="Verdana"/>
          <w:spacing w:val="-12"/>
          <w:sz w:val="16"/>
          <w:szCs w:val="16"/>
          <w:lang w:val="es-VE"/>
        </w:rPr>
        <w:t xml:space="preserve">, </w:t>
      </w:r>
      <w:r w:rsidRPr="000536CF">
        <w:rPr>
          <w:rFonts w:ascii="Verdana" w:hAnsi="Verdana"/>
          <w:spacing w:val="-12"/>
          <w:sz w:val="16"/>
          <w:szCs w:val="16"/>
          <w:lang w:val="es-VE"/>
        </w:rPr>
        <w:t>folios 280</w:t>
      </w:r>
      <w:r w:rsidRPr="001C16AC">
        <w:rPr>
          <w:rFonts w:ascii="Verdana" w:hAnsi="Verdana"/>
          <w:spacing w:val="-12"/>
          <w:sz w:val="16"/>
          <w:szCs w:val="16"/>
          <w:lang w:val="es-VE"/>
        </w:rPr>
        <w:t xml:space="preserve"> a </w:t>
      </w:r>
      <w:r w:rsidRPr="00D55480">
        <w:rPr>
          <w:rFonts w:ascii="Verdana" w:hAnsi="Verdana"/>
          <w:spacing w:val="-12"/>
          <w:sz w:val="16"/>
          <w:szCs w:val="16"/>
          <w:lang w:val="es-VE"/>
        </w:rPr>
        <w:t xml:space="preserve">327). </w:t>
      </w:r>
    </w:p>
  </w:footnote>
  <w:footnote w:id="167">
    <w:p w14:paraId="7B515AAA" w14:textId="3696C898" w:rsidR="00837BB9" w:rsidRPr="001C16AC"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Sentencia de la Sala de Casación Penal del Tribunal Supremo de Justica que desestima recurso de casación, 27 de septiembre de 2005 (</w:t>
      </w:r>
      <w:proofErr w:type="spellStart"/>
      <w:r w:rsidRPr="006203B0">
        <w:rPr>
          <w:rFonts w:ascii="Verdana" w:hAnsi="Verdana"/>
          <w:spacing w:val="-12"/>
          <w:sz w:val="16"/>
          <w:szCs w:val="16"/>
          <w:lang w:val="es-VE"/>
        </w:rPr>
        <w:t>exp</w:t>
      </w:r>
      <w:proofErr w:type="spellEnd"/>
      <w:r w:rsidRPr="006203B0">
        <w:rPr>
          <w:rFonts w:ascii="Verdana" w:hAnsi="Verdana"/>
          <w:spacing w:val="-12"/>
          <w:sz w:val="16"/>
          <w:szCs w:val="16"/>
          <w:lang w:val="es-VE"/>
        </w:rPr>
        <w:t>. prueba</w:t>
      </w:r>
      <w:r w:rsidRPr="00FC1D38">
        <w:rPr>
          <w:rFonts w:ascii="Verdana" w:hAnsi="Verdana"/>
          <w:spacing w:val="-12"/>
          <w:sz w:val="16"/>
          <w:szCs w:val="16"/>
          <w:lang w:val="es-VE"/>
        </w:rPr>
        <w:t xml:space="preserve">, </w:t>
      </w:r>
      <w:r w:rsidRPr="000536CF">
        <w:rPr>
          <w:rFonts w:ascii="Verdana" w:hAnsi="Verdana"/>
          <w:spacing w:val="-12"/>
          <w:sz w:val="16"/>
          <w:szCs w:val="16"/>
          <w:lang w:val="es-VE"/>
        </w:rPr>
        <w:t>folios 709-717).</w:t>
      </w:r>
    </w:p>
  </w:footnote>
  <w:footnote w:id="168">
    <w:p w14:paraId="523A4C31" w14:textId="77777777" w:rsidR="00837BB9" w:rsidRPr="00D55480" w:rsidRDefault="00837BB9" w:rsidP="008349B1">
      <w:pPr>
        <w:pStyle w:val="FootnoteText"/>
        <w:spacing w:before="120" w:after="120"/>
        <w:jc w:val="both"/>
        <w:rPr>
          <w:rFonts w:ascii="Verdana" w:hAnsi="Verdana"/>
          <w:spacing w:val="-12"/>
          <w:sz w:val="16"/>
          <w:szCs w:val="16"/>
          <w:lang w:val="es-MX"/>
        </w:rPr>
      </w:pPr>
      <w:r w:rsidRPr="001C16AC">
        <w:rPr>
          <w:rStyle w:val="FootnoteReference"/>
          <w:rFonts w:ascii="Verdana" w:hAnsi="Verdana"/>
          <w:spacing w:val="-12"/>
          <w:sz w:val="16"/>
          <w:szCs w:val="16"/>
          <w:lang w:val="es-MX"/>
        </w:rPr>
        <w:footnoteRef/>
      </w:r>
      <w:r w:rsidRPr="006001C8">
        <w:rPr>
          <w:rFonts w:ascii="Verdana" w:hAnsi="Verdana"/>
          <w:spacing w:val="-12"/>
          <w:sz w:val="16"/>
          <w:szCs w:val="16"/>
          <w:lang w:val="es-MX"/>
        </w:rPr>
        <w:t xml:space="preserve"> </w:t>
      </w:r>
      <w:r w:rsidRPr="006001C8">
        <w:rPr>
          <w:rFonts w:ascii="Verdana" w:hAnsi="Verdana"/>
          <w:spacing w:val="-12"/>
          <w:sz w:val="16"/>
          <w:szCs w:val="16"/>
          <w:lang w:val="es-MX"/>
        </w:rPr>
        <w:tab/>
        <w:t>El artículo 1.1 de la Convención dice:</w:t>
      </w:r>
      <w:r w:rsidRPr="00D55480">
        <w:rPr>
          <w:rFonts w:ascii="Verdana" w:hAnsi="Verdana"/>
          <w:spacing w:val="-12"/>
          <w:sz w:val="16"/>
          <w:szCs w:val="16"/>
          <w:lang w:val="es-MX"/>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169">
    <w:p w14:paraId="7AFE6E84" w14:textId="187A0A38" w:rsidR="00837BB9" w:rsidRPr="00C7142E" w:rsidRDefault="00837BB9" w:rsidP="008349B1">
      <w:pPr>
        <w:pStyle w:val="FootnoteText"/>
        <w:spacing w:before="120" w:after="120"/>
        <w:jc w:val="both"/>
        <w:rPr>
          <w:rFonts w:ascii="Verdana" w:hAnsi="Verdana"/>
          <w:spacing w:val="-12"/>
          <w:sz w:val="16"/>
          <w:szCs w:val="16"/>
          <w:lang w:val="es-MX"/>
        </w:rPr>
      </w:pPr>
      <w:r w:rsidRPr="009E7E48">
        <w:rPr>
          <w:rStyle w:val="FootnoteReference"/>
          <w:rFonts w:ascii="Verdana" w:hAnsi="Verdana"/>
          <w:spacing w:val="-12"/>
          <w:sz w:val="16"/>
          <w:szCs w:val="16"/>
        </w:rPr>
        <w:footnoteRef/>
      </w:r>
      <w:r w:rsidRPr="008B6122">
        <w:rPr>
          <w:rFonts w:ascii="Verdana" w:hAnsi="Verdana"/>
          <w:spacing w:val="-12"/>
          <w:sz w:val="16"/>
          <w:szCs w:val="16"/>
        </w:rPr>
        <w:t xml:space="preserve"> </w:t>
      </w:r>
      <w:r w:rsidRPr="008B6122">
        <w:rPr>
          <w:rFonts w:ascii="Verdana" w:hAnsi="Verdana"/>
          <w:spacing w:val="-12"/>
          <w:sz w:val="16"/>
          <w:szCs w:val="16"/>
        </w:rPr>
        <w:tab/>
      </w:r>
      <w:r w:rsidRPr="008B6122">
        <w:rPr>
          <w:rFonts w:ascii="Verdana" w:hAnsi="Verdana"/>
          <w:spacing w:val="-12"/>
          <w:sz w:val="16"/>
          <w:szCs w:val="16"/>
          <w:lang w:val="es-MX"/>
        </w:rPr>
        <w:t>Artículo 2. “Deber de Adoptar Disposiciones de Derecho Interno. Si el ejercicio de los</w:t>
      </w:r>
      <w:r w:rsidRPr="0012407E">
        <w:rPr>
          <w:rFonts w:ascii="Verdana" w:hAnsi="Verdana"/>
          <w:spacing w:val="-12"/>
          <w:sz w:val="16"/>
          <w:szCs w:val="16"/>
          <w:lang w:val="es-MX"/>
        </w:rPr>
        <w:t xml:space="preserve"> derechos y libertades mencionados en el artículo 1 no estuviere ya garantizado por disposiciones legislativas o de otro carácter, los Estados Partes se comprometen a adoptar, con arreglo a sus procedimientos constitucionales y a las disposiciones de esta </w:t>
      </w:r>
      <w:r w:rsidRPr="00C7142E">
        <w:rPr>
          <w:rFonts w:ascii="Verdana" w:hAnsi="Verdana"/>
          <w:spacing w:val="-12"/>
          <w:sz w:val="16"/>
          <w:szCs w:val="16"/>
          <w:lang w:val="es-MX"/>
        </w:rPr>
        <w:t>Convención, las medidas legislativas o de otro carácter que fueren necesarias para hacer efectivos tales derechos y libertades”.</w:t>
      </w:r>
    </w:p>
  </w:footnote>
  <w:footnote w:id="170">
    <w:p w14:paraId="1585DAEC" w14:textId="03A9AE96" w:rsidR="00837BB9" w:rsidRPr="0069409D" w:rsidRDefault="00837BB9" w:rsidP="008349B1">
      <w:pPr>
        <w:pStyle w:val="NormalWeb"/>
        <w:spacing w:before="0" w:beforeAutospacing="0" w:after="0" w:afterAutospacing="0"/>
        <w:ind w:right="74"/>
        <w:jc w:val="both"/>
        <w:rPr>
          <w:rFonts w:ascii="Verdana" w:hAnsi="Verdana"/>
          <w:spacing w:val="-12"/>
          <w:sz w:val="16"/>
          <w:szCs w:val="16"/>
          <w:lang w:val="es-MX"/>
        </w:rPr>
      </w:pPr>
      <w:r w:rsidRPr="00C7142E">
        <w:rPr>
          <w:rStyle w:val="FootnoteReference"/>
          <w:rFonts w:ascii="Verdana" w:hAnsi="Verdana"/>
          <w:spacing w:val="-12"/>
          <w:sz w:val="16"/>
          <w:szCs w:val="16"/>
          <w:lang w:val="es-MX"/>
        </w:rPr>
        <w:footnoteRef/>
      </w:r>
      <w:r w:rsidRPr="0069409D">
        <w:rPr>
          <w:rFonts w:ascii="Verdana" w:hAnsi="Verdana"/>
          <w:spacing w:val="-12"/>
          <w:sz w:val="16"/>
          <w:szCs w:val="16"/>
          <w:lang w:val="es-MX"/>
        </w:rPr>
        <w:t xml:space="preserve"> </w:t>
      </w:r>
      <w:r w:rsidRPr="0069409D">
        <w:rPr>
          <w:rFonts w:ascii="Verdana" w:hAnsi="Verdana"/>
          <w:spacing w:val="-12"/>
          <w:sz w:val="16"/>
          <w:szCs w:val="16"/>
          <w:lang w:val="es-MX"/>
        </w:rPr>
        <w:tab/>
        <w:t>El artículo 23 de la Convención señala: “Derechos Políticos</w:t>
      </w:r>
    </w:p>
    <w:p w14:paraId="4B2C538B" w14:textId="1F9B6FCF" w:rsidR="00837BB9" w:rsidRPr="003100FE" w:rsidRDefault="00837BB9" w:rsidP="008349B1">
      <w:pPr>
        <w:pStyle w:val="NormalWeb"/>
        <w:spacing w:before="0" w:beforeAutospacing="0" w:after="0" w:afterAutospacing="0"/>
        <w:ind w:left="284" w:right="74"/>
        <w:jc w:val="both"/>
        <w:rPr>
          <w:rFonts w:ascii="Verdana" w:hAnsi="Verdana"/>
          <w:spacing w:val="-12"/>
          <w:sz w:val="16"/>
          <w:szCs w:val="16"/>
          <w:lang w:val="es-MX"/>
        </w:rPr>
      </w:pPr>
      <w:r w:rsidRPr="006C24C0">
        <w:rPr>
          <w:rFonts w:ascii="Verdana" w:hAnsi="Verdana"/>
          <w:spacing w:val="-12"/>
          <w:sz w:val="16"/>
          <w:szCs w:val="16"/>
          <w:lang w:val="es-MX"/>
        </w:rPr>
        <w:t>1. Todos los ciudadanos deben gozar de los siguientes derechos y</w:t>
      </w:r>
      <w:r w:rsidRPr="003100FE">
        <w:rPr>
          <w:rFonts w:ascii="Verdana" w:hAnsi="Verdana"/>
          <w:spacing w:val="-12"/>
          <w:sz w:val="16"/>
          <w:szCs w:val="16"/>
          <w:lang w:val="es-MX"/>
        </w:rPr>
        <w:t xml:space="preserve"> oportunidades:</w:t>
      </w:r>
    </w:p>
    <w:p w14:paraId="7E8DE418" w14:textId="291D1E55" w:rsidR="00837BB9" w:rsidRPr="0003211A" w:rsidRDefault="00837BB9" w:rsidP="008349B1">
      <w:pPr>
        <w:pStyle w:val="NormalWeb"/>
        <w:spacing w:before="0" w:beforeAutospacing="0" w:after="0" w:afterAutospacing="0"/>
        <w:ind w:left="568" w:right="74"/>
        <w:jc w:val="both"/>
        <w:rPr>
          <w:rFonts w:ascii="Verdana" w:hAnsi="Verdana"/>
          <w:spacing w:val="-12"/>
          <w:sz w:val="16"/>
          <w:szCs w:val="16"/>
          <w:lang w:val="es-MX"/>
        </w:rPr>
      </w:pPr>
      <w:r w:rsidRPr="0003211A">
        <w:rPr>
          <w:rFonts w:ascii="Verdana" w:hAnsi="Verdana"/>
          <w:spacing w:val="-12"/>
          <w:sz w:val="16"/>
          <w:szCs w:val="16"/>
          <w:lang w:val="es-MX"/>
        </w:rPr>
        <w:t>a) de participar en la dirección de los asuntos públicos, directamente o por medio de representantes libremente elegidos;</w:t>
      </w:r>
    </w:p>
    <w:p w14:paraId="24745C70" w14:textId="6D76EA97" w:rsidR="00837BB9" w:rsidRPr="00CE7020" w:rsidRDefault="00837BB9" w:rsidP="008349B1">
      <w:pPr>
        <w:pStyle w:val="NormalWeb"/>
        <w:spacing w:before="0" w:beforeAutospacing="0" w:after="0" w:afterAutospacing="0"/>
        <w:ind w:left="568" w:right="74"/>
        <w:jc w:val="both"/>
        <w:rPr>
          <w:rFonts w:ascii="Verdana" w:hAnsi="Verdana"/>
          <w:spacing w:val="-12"/>
          <w:sz w:val="16"/>
          <w:szCs w:val="16"/>
          <w:lang w:val="es-MX"/>
        </w:rPr>
      </w:pPr>
      <w:r w:rsidRPr="00CE7020">
        <w:rPr>
          <w:rFonts w:ascii="Verdana" w:hAnsi="Verdana"/>
          <w:spacing w:val="-12"/>
          <w:sz w:val="16"/>
          <w:szCs w:val="16"/>
          <w:lang w:val="es-MX"/>
        </w:rPr>
        <w:t>b) de votar y ser elegidos en elecciones periódicas auténticas, realizadas por sufragio universal e igual y por voto secreto que garantice la libre expresión de la voluntad de los electores, y</w:t>
      </w:r>
    </w:p>
    <w:p w14:paraId="1F0B07EF" w14:textId="06129F3E" w:rsidR="00837BB9" w:rsidRPr="00773F82" w:rsidRDefault="00837BB9" w:rsidP="008349B1">
      <w:pPr>
        <w:pStyle w:val="NormalWeb"/>
        <w:spacing w:before="0" w:beforeAutospacing="0" w:after="0" w:afterAutospacing="0"/>
        <w:ind w:left="568" w:right="74"/>
        <w:jc w:val="both"/>
        <w:rPr>
          <w:rFonts w:ascii="Verdana" w:hAnsi="Verdana"/>
          <w:spacing w:val="-12"/>
          <w:sz w:val="16"/>
          <w:szCs w:val="16"/>
          <w:lang w:val="es-MX"/>
        </w:rPr>
      </w:pPr>
      <w:r w:rsidRPr="00773F82">
        <w:rPr>
          <w:rFonts w:ascii="Verdana" w:hAnsi="Verdana"/>
          <w:spacing w:val="-12"/>
          <w:sz w:val="16"/>
          <w:szCs w:val="16"/>
          <w:lang w:val="es-MX"/>
        </w:rPr>
        <w:t>c) de tener acceso, en condiciones generales de igualdad, a las funciones públicas de su país.</w:t>
      </w:r>
    </w:p>
    <w:p w14:paraId="36C9338D" w14:textId="1373AEB8" w:rsidR="00837BB9" w:rsidRPr="0054215F" w:rsidRDefault="00837BB9" w:rsidP="008349B1">
      <w:pPr>
        <w:pStyle w:val="NormalWeb"/>
        <w:spacing w:before="0" w:beforeAutospacing="0" w:after="0" w:afterAutospacing="0"/>
        <w:ind w:left="284" w:right="74"/>
        <w:jc w:val="both"/>
        <w:rPr>
          <w:rFonts w:ascii="Verdana" w:hAnsi="Verdana"/>
          <w:spacing w:val="-12"/>
          <w:sz w:val="16"/>
          <w:szCs w:val="16"/>
          <w:lang w:val="es-MX"/>
        </w:rPr>
      </w:pPr>
      <w:r w:rsidRPr="00290E0C">
        <w:rPr>
          <w:rFonts w:ascii="Verdana" w:hAnsi="Verdana"/>
          <w:spacing w:val="-12"/>
          <w:sz w:val="16"/>
          <w:szCs w:val="16"/>
          <w:lang w:val="es-MX"/>
        </w:rPr>
        <w:t>2. La ley puede reglamentar el ejercicio de los derechos y oportunidades a que se refi</w:t>
      </w:r>
      <w:r w:rsidRPr="00B252EB">
        <w:rPr>
          <w:rFonts w:ascii="Verdana" w:hAnsi="Verdana"/>
          <w:spacing w:val="-12"/>
          <w:sz w:val="16"/>
          <w:szCs w:val="16"/>
          <w:lang w:val="es-MX"/>
        </w:rPr>
        <w:t>ere el inciso anterior, exclusivamente por razones de edad, nacionalidad, residencia, idi</w:t>
      </w:r>
      <w:r w:rsidRPr="0054215F">
        <w:rPr>
          <w:rFonts w:ascii="Verdana" w:hAnsi="Verdana"/>
          <w:spacing w:val="-12"/>
          <w:sz w:val="16"/>
          <w:szCs w:val="16"/>
          <w:lang w:val="es-MX"/>
        </w:rPr>
        <w:t>oma, instrucción, capacidad civil o mental, o condena, por juez competente, en proceso penal.</w:t>
      </w:r>
    </w:p>
  </w:footnote>
  <w:footnote w:id="171">
    <w:p w14:paraId="67DF5DB0" w14:textId="77777777" w:rsidR="00837BB9" w:rsidRPr="0069409D"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9409D">
        <w:rPr>
          <w:rFonts w:ascii="Verdana" w:hAnsi="Verdana"/>
          <w:spacing w:val="-12"/>
          <w:sz w:val="16"/>
          <w:szCs w:val="16"/>
          <w:lang w:val="es-MX"/>
        </w:rPr>
        <w:t>El artículo 13 de la Convención dispone: “Libertad de Pensamiento y Expresión.</w:t>
      </w:r>
    </w:p>
    <w:p w14:paraId="78319FA4" w14:textId="543DFA39" w:rsidR="00837BB9" w:rsidRPr="003100FE" w:rsidRDefault="00837BB9" w:rsidP="008349B1">
      <w:pPr>
        <w:pStyle w:val="FootnoteText"/>
        <w:jc w:val="both"/>
        <w:rPr>
          <w:rFonts w:ascii="Verdana" w:hAnsi="Verdana"/>
          <w:spacing w:val="-12"/>
          <w:sz w:val="16"/>
          <w:szCs w:val="16"/>
          <w:lang w:val="es-MX"/>
        </w:rPr>
      </w:pPr>
      <w:r w:rsidRPr="006C24C0">
        <w:rPr>
          <w:rFonts w:ascii="Verdana" w:hAnsi="Verdana"/>
          <w:spacing w:val="-12"/>
          <w:sz w:val="16"/>
          <w:szCs w:val="16"/>
          <w:lang w:val="es-MX"/>
        </w:rPr>
        <w:t>1. Toda persona tiene derecho a la libertad de pensamiento y de expresión. Este derecho comprende la libertad de buscar, recibir y difundir informaciones e ideas de toda índole, sin consideración de fronteras, ya sea oralmente, por escrito o en fo</w:t>
      </w:r>
      <w:r w:rsidRPr="003100FE">
        <w:rPr>
          <w:rFonts w:ascii="Verdana" w:hAnsi="Verdana"/>
          <w:spacing w:val="-12"/>
          <w:sz w:val="16"/>
          <w:szCs w:val="16"/>
          <w:lang w:val="es-MX"/>
        </w:rPr>
        <w:t>rma impresa o artística, o por cualquier otro procedimiento de su elección.</w:t>
      </w:r>
    </w:p>
    <w:p w14:paraId="22C650A3" w14:textId="68B5472E" w:rsidR="00837BB9" w:rsidRPr="00CE7020" w:rsidRDefault="00837BB9" w:rsidP="008349B1">
      <w:pPr>
        <w:pStyle w:val="FootnoteText"/>
        <w:jc w:val="both"/>
        <w:rPr>
          <w:rFonts w:ascii="Verdana" w:hAnsi="Verdana"/>
          <w:spacing w:val="-12"/>
          <w:sz w:val="16"/>
          <w:szCs w:val="16"/>
          <w:lang w:val="es-MX"/>
        </w:rPr>
      </w:pPr>
      <w:r w:rsidRPr="0003211A">
        <w:rPr>
          <w:rFonts w:ascii="Verdana" w:hAnsi="Verdana"/>
          <w:spacing w:val="-12"/>
          <w:sz w:val="16"/>
          <w:szCs w:val="16"/>
          <w:lang w:val="es-MX"/>
        </w:rPr>
        <w:t>2. El ejercicio del derecho previsto en el inciso precedente no puede estar sujeto a previa censura sino a responsabilidades ulteriores, las que deben estar expresamente fijadas po</w:t>
      </w:r>
      <w:r w:rsidRPr="00CE7020">
        <w:rPr>
          <w:rFonts w:ascii="Verdana" w:hAnsi="Verdana"/>
          <w:spacing w:val="-12"/>
          <w:sz w:val="16"/>
          <w:szCs w:val="16"/>
          <w:lang w:val="es-MX"/>
        </w:rPr>
        <w:t>r la ley y ser necesarias para asegurar:</w:t>
      </w:r>
    </w:p>
    <w:p w14:paraId="2D105302" w14:textId="7C32EEE9" w:rsidR="00837BB9" w:rsidRPr="00CE7020" w:rsidRDefault="00837BB9" w:rsidP="008349B1">
      <w:pPr>
        <w:pStyle w:val="FootnoteText"/>
        <w:ind w:left="142"/>
        <w:jc w:val="both"/>
        <w:rPr>
          <w:rFonts w:ascii="Verdana" w:hAnsi="Verdana"/>
          <w:spacing w:val="-12"/>
          <w:sz w:val="16"/>
          <w:szCs w:val="16"/>
          <w:lang w:val="es-MX"/>
        </w:rPr>
      </w:pPr>
      <w:r w:rsidRPr="00CE7020">
        <w:rPr>
          <w:rFonts w:ascii="Verdana" w:hAnsi="Verdana"/>
          <w:spacing w:val="-12"/>
          <w:sz w:val="16"/>
          <w:szCs w:val="16"/>
          <w:lang w:val="es-MX"/>
        </w:rPr>
        <w:t>a) el respeto a los derechos o a la reputación de los demás, o</w:t>
      </w:r>
    </w:p>
    <w:p w14:paraId="664D4CBD" w14:textId="64E59085" w:rsidR="00837BB9" w:rsidRPr="00773F82" w:rsidRDefault="00837BB9" w:rsidP="008349B1">
      <w:pPr>
        <w:pStyle w:val="FootnoteText"/>
        <w:ind w:left="142"/>
        <w:jc w:val="both"/>
        <w:rPr>
          <w:rFonts w:ascii="Verdana" w:hAnsi="Verdana"/>
          <w:spacing w:val="-12"/>
          <w:sz w:val="16"/>
          <w:szCs w:val="16"/>
          <w:lang w:val="es-MX"/>
        </w:rPr>
      </w:pPr>
      <w:r w:rsidRPr="00773F82">
        <w:rPr>
          <w:rFonts w:ascii="Verdana" w:hAnsi="Verdana"/>
          <w:spacing w:val="-12"/>
          <w:sz w:val="16"/>
          <w:szCs w:val="16"/>
          <w:lang w:val="es-MX"/>
        </w:rPr>
        <w:t>b) la protección de la seguridad nacional, el orden público o la salud o la moral públicas.</w:t>
      </w:r>
    </w:p>
    <w:p w14:paraId="5B700B59" w14:textId="01808479" w:rsidR="00837BB9" w:rsidRPr="0054215F" w:rsidRDefault="00837BB9" w:rsidP="008349B1">
      <w:pPr>
        <w:pStyle w:val="FootnoteText"/>
        <w:jc w:val="both"/>
        <w:rPr>
          <w:rFonts w:ascii="Verdana" w:hAnsi="Verdana"/>
          <w:spacing w:val="-12"/>
          <w:sz w:val="16"/>
          <w:szCs w:val="16"/>
          <w:lang w:val="es-MX"/>
        </w:rPr>
      </w:pPr>
      <w:r w:rsidRPr="00290E0C">
        <w:rPr>
          <w:rFonts w:ascii="Verdana" w:hAnsi="Verdana"/>
          <w:spacing w:val="-12"/>
          <w:sz w:val="16"/>
          <w:szCs w:val="16"/>
          <w:lang w:val="es-MX"/>
        </w:rPr>
        <w:t>3. No se puede restringir el derecho de expresión por vías o</w:t>
      </w:r>
      <w:r w:rsidRPr="00B252EB">
        <w:rPr>
          <w:rFonts w:ascii="Verdana" w:hAnsi="Verdana"/>
          <w:spacing w:val="-12"/>
          <w:sz w:val="16"/>
          <w:szCs w:val="16"/>
          <w:lang w:val="es-MX"/>
        </w:rPr>
        <w:t xml:space="preserve"> medios indirectos, tales como el abuso de controles oficiales o particulares de papel pa</w:t>
      </w:r>
      <w:r w:rsidRPr="0054215F">
        <w:rPr>
          <w:rFonts w:ascii="Verdana" w:hAnsi="Verdana"/>
          <w:spacing w:val="-12"/>
          <w:sz w:val="16"/>
          <w:szCs w:val="16"/>
          <w:lang w:val="es-MX"/>
        </w:rPr>
        <w:t>ra periódicos, de frecuencias radioeléctricas, o de enseres y aparatos usados en la difusión de información o por cualesquiera otros medios encaminados a impedir la comunicación y la circulación de ideas y opiniones. […]</w:t>
      </w:r>
    </w:p>
  </w:footnote>
  <w:footnote w:id="172">
    <w:p w14:paraId="3E3B62E8" w14:textId="5AD994A2" w:rsidR="00837BB9" w:rsidRPr="00CF3AED" w:rsidRDefault="00837BB9" w:rsidP="008349B1">
      <w:pPr>
        <w:pStyle w:val="NormalWeb"/>
        <w:spacing w:before="120" w:beforeAutospacing="0" w:after="120" w:afterAutospacing="0"/>
        <w:ind w:right="74"/>
        <w:jc w:val="both"/>
        <w:rPr>
          <w:rFonts w:ascii="Verdana" w:hAnsi="Verdana"/>
          <w:spacing w:val="-12"/>
          <w:sz w:val="16"/>
          <w:szCs w:val="16"/>
          <w:lang w:val="es-MX"/>
        </w:rPr>
      </w:pPr>
      <w:r w:rsidRPr="00D758B5">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t>El artículo 24 de la Convención expresa: “Igualdad ante la Ley. Todas las personas son iguales ante la ley. En consecuencia, tienen derecho, sin discriminación, a igual protección de la ley”.</w:t>
      </w:r>
    </w:p>
  </w:footnote>
  <w:footnote w:id="173">
    <w:p w14:paraId="7A36B1AF" w14:textId="57CBCF27" w:rsidR="00837BB9" w:rsidRPr="00CF3AED" w:rsidRDefault="00837BB9" w:rsidP="008349B1">
      <w:pPr>
        <w:pStyle w:val="NormalWeb"/>
        <w:spacing w:before="120" w:beforeAutospacing="0" w:after="120" w:afterAutospacing="0"/>
        <w:ind w:right="74"/>
        <w:jc w:val="both"/>
        <w:rPr>
          <w:rFonts w:ascii="Verdana" w:hAnsi="Verdana"/>
          <w:spacing w:val="-12"/>
          <w:sz w:val="16"/>
          <w:szCs w:val="16"/>
          <w:lang w:val="es-CR"/>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hAnsi="Verdana"/>
          <w:spacing w:val="-12"/>
          <w:sz w:val="16"/>
          <w:szCs w:val="16"/>
          <w:lang w:val="es-CR"/>
        </w:rPr>
        <w:t>El artículo 5 de la Convención</w:t>
      </w:r>
      <w:r w:rsidRPr="00CF3AED">
        <w:rPr>
          <w:rFonts w:ascii="Verdana" w:hAnsi="Verdana" w:cs="Tahoma"/>
          <w:color w:val="000000"/>
          <w:spacing w:val="-12"/>
          <w:sz w:val="16"/>
          <w:szCs w:val="16"/>
          <w:lang w:val="es-CR"/>
        </w:rPr>
        <w:t xml:space="preserve"> establece: “Derecho a la integridad personal. 1. Toda persona tiene derecho a que se respete su integridad física</w:t>
      </w:r>
      <w:r w:rsidRPr="00CF3AED">
        <w:rPr>
          <w:rFonts w:ascii="Verdana" w:hAnsi="Verdana"/>
          <w:spacing w:val="-12"/>
          <w:sz w:val="16"/>
          <w:szCs w:val="16"/>
          <w:lang w:val="es-CR"/>
        </w:rPr>
        <w:t>, psíquica y moral. 2. Nadie debe ser sometido a torturas ni a penas o tratos crueles, inhumanos o degradantes […]”</w:t>
      </w:r>
    </w:p>
  </w:footnote>
  <w:footnote w:id="174">
    <w:p w14:paraId="3F9F3AAD" w14:textId="241D36B7" w:rsidR="00837BB9" w:rsidRPr="007C51D0" w:rsidRDefault="00837BB9" w:rsidP="008349B1">
      <w:pPr>
        <w:pStyle w:val="NormalWeb"/>
        <w:spacing w:before="120" w:beforeAutospacing="0" w:after="120" w:afterAutospacing="0"/>
        <w:ind w:right="74"/>
        <w:jc w:val="both"/>
        <w:rPr>
          <w:rFonts w:ascii="Verdana" w:hAnsi="Verdana"/>
          <w:sz w:val="16"/>
          <w:szCs w:val="16"/>
          <w:lang w:val="es-CR"/>
        </w:rPr>
      </w:pPr>
      <w:r w:rsidRPr="00CF3AED">
        <w:rPr>
          <w:rStyle w:val="FootnoteReference"/>
          <w:rFonts w:ascii="Verdana" w:hAnsi="Verdana"/>
          <w:spacing w:val="-12"/>
          <w:sz w:val="16"/>
          <w:szCs w:val="16"/>
          <w:lang w:val="es-MX"/>
        </w:rPr>
        <w:footnoteRef/>
      </w:r>
      <w:r w:rsidRPr="007C51D0">
        <w:rPr>
          <w:rFonts w:ascii="Verdana" w:hAnsi="Verdana"/>
          <w:sz w:val="16"/>
          <w:szCs w:val="16"/>
          <w:lang w:val="es-ES"/>
        </w:rPr>
        <w:t xml:space="preserve"> </w:t>
      </w:r>
      <w:r w:rsidRPr="00CF3AED">
        <w:rPr>
          <w:rFonts w:ascii="Verdana" w:hAnsi="Verdana"/>
          <w:spacing w:val="-12"/>
          <w:sz w:val="16"/>
          <w:szCs w:val="16"/>
          <w:lang w:val="es-MX"/>
        </w:rPr>
        <w:tab/>
        <w:t xml:space="preserve">La Comisión señaló que el proceso de creación y publicación de la lista </w:t>
      </w:r>
      <w:proofErr w:type="spellStart"/>
      <w:r w:rsidRPr="00CF3AED">
        <w:rPr>
          <w:rFonts w:ascii="Verdana" w:hAnsi="Verdana"/>
          <w:spacing w:val="-12"/>
          <w:sz w:val="16"/>
          <w:szCs w:val="16"/>
          <w:lang w:val="es-MX"/>
        </w:rPr>
        <w:t>Tascón</w:t>
      </w:r>
      <w:proofErr w:type="spellEnd"/>
      <w:r w:rsidRPr="00CF3AED">
        <w:rPr>
          <w:rFonts w:ascii="Verdana" w:hAnsi="Verdana"/>
          <w:spacing w:val="-12"/>
          <w:sz w:val="16"/>
          <w:szCs w:val="16"/>
          <w:lang w:val="es-MX"/>
        </w:rPr>
        <w:t xml:space="preserve"> constituye, en sí mismo, un reflejo de la ausencia de salvaguardas en el referendo revocatorio presidencial para garantizar “la libre expresión de la voluntad de los electore</w:t>
      </w:r>
      <w:r w:rsidRPr="006203B0">
        <w:rPr>
          <w:rFonts w:ascii="Verdana" w:hAnsi="Verdana"/>
          <w:spacing w:val="-12"/>
          <w:sz w:val="16"/>
          <w:szCs w:val="16"/>
          <w:lang w:val="es-MX"/>
        </w:rPr>
        <w:t xml:space="preserve">s” en los términos del artículo 23.1.b) de la Convención, pues la entrega de información sobre la identidad de firmantes a un diputado en ese contexto y la creación de la “lista </w:t>
      </w:r>
      <w:proofErr w:type="spellStart"/>
      <w:r w:rsidRPr="006203B0">
        <w:rPr>
          <w:rFonts w:ascii="Verdana" w:hAnsi="Verdana"/>
          <w:spacing w:val="-12"/>
          <w:sz w:val="16"/>
          <w:szCs w:val="16"/>
          <w:lang w:val="es-MX"/>
        </w:rPr>
        <w:t>Tascón</w:t>
      </w:r>
      <w:proofErr w:type="spellEnd"/>
      <w:r w:rsidRPr="006203B0">
        <w:rPr>
          <w:rFonts w:ascii="Verdana" w:hAnsi="Verdana"/>
          <w:spacing w:val="-12"/>
          <w:sz w:val="16"/>
          <w:szCs w:val="16"/>
          <w:lang w:val="es-MX"/>
        </w:rPr>
        <w:t>” crearon un amb</w:t>
      </w:r>
      <w:r w:rsidRPr="00FC1D38">
        <w:rPr>
          <w:rFonts w:ascii="Verdana" w:hAnsi="Verdana"/>
          <w:spacing w:val="-12"/>
          <w:sz w:val="16"/>
          <w:szCs w:val="16"/>
          <w:lang w:val="es-MX"/>
        </w:rPr>
        <w:t>iente propicio para represalias; que e</w:t>
      </w:r>
      <w:r w:rsidRPr="000536CF">
        <w:rPr>
          <w:rFonts w:ascii="Verdana" w:hAnsi="Verdana"/>
          <w:spacing w:val="-12"/>
          <w:sz w:val="16"/>
          <w:szCs w:val="16"/>
          <w:lang w:val="es-MX"/>
        </w:rPr>
        <w:t xml:space="preserve">l uso de esa lista como instrumento para materializar represalias fue luego reconocido por el propio Presidente; </w:t>
      </w:r>
      <w:r w:rsidRPr="006001C8">
        <w:rPr>
          <w:rFonts w:ascii="Verdana" w:hAnsi="Verdana"/>
          <w:spacing w:val="-12"/>
          <w:sz w:val="16"/>
          <w:szCs w:val="16"/>
          <w:lang w:val="es-MX"/>
        </w:rPr>
        <w:t>que existió</w:t>
      </w:r>
      <w:r w:rsidRPr="00D55480">
        <w:rPr>
          <w:rFonts w:ascii="Verdana" w:hAnsi="Verdana"/>
          <w:spacing w:val="-12"/>
          <w:sz w:val="16"/>
          <w:szCs w:val="16"/>
          <w:lang w:val="es-MX"/>
        </w:rPr>
        <w:t xml:space="preserve"> </w:t>
      </w:r>
      <w:r w:rsidRPr="009E7E48">
        <w:rPr>
          <w:rFonts w:ascii="Verdana" w:hAnsi="Verdana"/>
          <w:spacing w:val="-12"/>
          <w:sz w:val="16"/>
          <w:szCs w:val="16"/>
          <w:lang w:val="es-MX"/>
        </w:rPr>
        <w:t>un conocido contexto político de polarización generalizada, pues el entonces Presidente de la República y otros altos funcionarios es</w:t>
      </w:r>
      <w:r w:rsidRPr="008B6122">
        <w:rPr>
          <w:rFonts w:ascii="Verdana" w:hAnsi="Verdana"/>
          <w:spacing w:val="-12"/>
          <w:sz w:val="16"/>
          <w:szCs w:val="16"/>
          <w:lang w:val="es-MX"/>
        </w:rPr>
        <w:t xml:space="preserve">tatales efectuaron declaraciones que reflejan formas de presión para no firmar y de amenazas de represalias para quienes firmaron; </w:t>
      </w:r>
      <w:r w:rsidRPr="0012407E">
        <w:rPr>
          <w:rFonts w:ascii="Verdana" w:hAnsi="Verdana"/>
          <w:spacing w:val="-12"/>
          <w:sz w:val="16"/>
          <w:szCs w:val="16"/>
          <w:lang w:val="es-MX"/>
        </w:rPr>
        <w:t>que este caso no fue una denuncia aislada sino que existen múltiples denuncias sobre la materialización de estas amenazas;</w:t>
      </w:r>
      <w:r w:rsidRPr="00C7142E">
        <w:rPr>
          <w:rFonts w:ascii="Verdana" w:hAnsi="Verdana"/>
          <w:spacing w:val="-12"/>
          <w:sz w:val="16"/>
          <w:szCs w:val="16"/>
          <w:lang w:val="es-MX"/>
        </w:rPr>
        <w:t xml:space="preserve"> que </w:t>
      </w:r>
      <w:r w:rsidRPr="0069409D">
        <w:rPr>
          <w:rFonts w:ascii="Verdana" w:hAnsi="Verdana"/>
          <w:spacing w:val="-12"/>
          <w:sz w:val="16"/>
          <w:szCs w:val="16"/>
          <w:lang w:val="es-MX"/>
        </w:rPr>
        <w:t>en el proceso de reparos de firmas llevado a cabo por el CNE en junio de 2004 se dio también la opción de que las personas que firmaron a favor del referendo, válidamente, pudieran retractarse;</w:t>
      </w:r>
      <w:r w:rsidRPr="006C24C0">
        <w:rPr>
          <w:rFonts w:ascii="Verdana" w:hAnsi="Verdana"/>
          <w:spacing w:val="-12"/>
          <w:sz w:val="16"/>
          <w:szCs w:val="16"/>
          <w:lang w:val="es-MX"/>
        </w:rPr>
        <w:t xml:space="preserve"> que </w:t>
      </w:r>
      <w:r w:rsidRPr="003100FE">
        <w:rPr>
          <w:rFonts w:ascii="Verdana" w:hAnsi="Verdana"/>
          <w:spacing w:val="-12"/>
          <w:sz w:val="16"/>
          <w:szCs w:val="16"/>
          <w:lang w:val="es-MX"/>
        </w:rPr>
        <w:t xml:space="preserve">las conversaciones telefónicas entre Rocío San Miguel y </w:t>
      </w:r>
      <w:r w:rsidRPr="0003211A">
        <w:rPr>
          <w:rFonts w:ascii="Verdana" w:hAnsi="Verdana"/>
          <w:spacing w:val="-12"/>
          <w:sz w:val="16"/>
          <w:szCs w:val="16"/>
          <w:lang w:val="es-MX"/>
        </w:rPr>
        <w:t>el Secretario Ejecutivo del CNF y la consultora jurídica de la Vicepresidencia confirmarían que el despido se debió a su firma;</w:t>
      </w:r>
      <w:r w:rsidRPr="00CE7020">
        <w:rPr>
          <w:rFonts w:ascii="Verdana" w:hAnsi="Verdana"/>
          <w:spacing w:val="-12"/>
          <w:sz w:val="16"/>
          <w:szCs w:val="16"/>
          <w:lang w:val="es-MX"/>
        </w:rPr>
        <w:t xml:space="preserve"> y que, del total de 23 empleados del CNF para 2003, se notificó su despido a las únicas cuatro personas que firmaron la solicitu</w:t>
      </w:r>
      <w:r w:rsidRPr="00773F82">
        <w:rPr>
          <w:rFonts w:ascii="Verdana" w:hAnsi="Verdana"/>
          <w:spacing w:val="-12"/>
          <w:sz w:val="16"/>
          <w:szCs w:val="16"/>
          <w:lang w:val="es-MX"/>
        </w:rPr>
        <w:t>d y la cuarta persona pudo conservar su trabajo pues reparó su firma</w:t>
      </w:r>
      <w:r w:rsidRPr="00290E0C">
        <w:rPr>
          <w:rFonts w:ascii="Verdana" w:hAnsi="Verdana"/>
          <w:spacing w:val="-12"/>
          <w:sz w:val="16"/>
          <w:szCs w:val="16"/>
          <w:lang w:val="es-MX"/>
        </w:rPr>
        <w:t>.</w:t>
      </w:r>
    </w:p>
  </w:footnote>
  <w:footnote w:id="175">
    <w:p w14:paraId="6F1C5F25" w14:textId="6960BF77" w:rsidR="00837BB9" w:rsidRPr="007C51D0" w:rsidRDefault="00837BB9" w:rsidP="008349B1">
      <w:pPr>
        <w:pStyle w:val="NormalWeb"/>
        <w:spacing w:before="120" w:beforeAutospacing="0" w:after="120" w:afterAutospacing="0"/>
        <w:ind w:right="74"/>
        <w:jc w:val="both"/>
        <w:rPr>
          <w:rFonts w:ascii="Verdana" w:hAnsi="Verdana"/>
          <w:b/>
          <w:spacing w:val="-12"/>
          <w:sz w:val="16"/>
          <w:szCs w:val="16"/>
          <w:lang w:val="es-CR"/>
        </w:rPr>
      </w:pPr>
      <w:r w:rsidRPr="00CF3AED">
        <w:rPr>
          <w:rStyle w:val="FootnoteReference"/>
          <w:rFonts w:ascii="Verdana" w:hAnsi="Verdana"/>
          <w:spacing w:val="-12"/>
          <w:sz w:val="16"/>
          <w:szCs w:val="16"/>
          <w:lang w:val="es-MX"/>
        </w:rPr>
        <w:footnoteRef/>
      </w:r>
      <w:r w:rsidRPr="007C51D0">
        <w:rPr>
          <w:rFonts w:ascii="Verdana" w:hAnsi="Verdana"/>
          <w:spacing w:val="-12"/>
          <w:sz w:val="16"/>
          <w:szCs w:val="16"/>
          <w:lang w:val="es-ES"/>
        </w:rPr>
        <w:t xml:space="preserve"> </w:t>
      </w:r>
      <w:r w:rsidRPr="00CF3AED">
        <w:rPr>
          <w:rFonts w:ascii="Verdana" w:hAnsi="Verdana"/>
          <w:spacing w:val="-12"/>
          <w:sz w:val="16"/>
          <w:szCs w:val="16"/>
          <w:lang w:val="es-MX"/>
        </w:rPr>
        <w:tab/>
        <w:t>En sus alegatos finales, el representante citó la Ley Orgánica del Trabajo, la Ley del Estatuto de la Función Pública, la Constitución y decisiones judiciales, para alegar que, según el derecho venezolano, los contratados que cumplen un horario de trabajo, a tiempo completo, están subordinados a un superior, y reciben una remuneración mensual,</w:t>
      </w:r>
      <w:r w:rsidRPr="006203B0">
        <w:rPr>
          <w:rFonts w:ascii="Verdana" w:hAnsi="Verdana"/>
          <w:spacing w:val="-12"/>
          <w:sz w:val="16"/>
          <w:szCs w:val="16"/>
          <w:lang w:val="es-MX"/>
        </w:rPr>
        <w:t xml:space="preserve"> son funcionarios públicos; y que los contratados cuyos contratos se renuevan sin solución de </w:t>
      </w:r>
      <w:r w:rsidRPr="00FC1D38">
        <w:rPr>
          <w:rFonts w:ascii="Verdana" w:hAnsi="Verdana"/>
          <w:spacing w:val="-12"/>
          <w:sz w:val="16"/>
          <w:szCs w:val="16"/>
          <w:lang w:val="es-MX"/>
        </w:rPr>
        <w:t>continuidad pasan a ser considerados funcionarios públicos</w:t>
      </w:r>
      <w:r w:rsidRPr="000536CF">
        <w:rPr>
          <w:rFonts w:ascii="Verdana" w:hAnsi="Verdana"/>
          <w:spacing w:val="-12"/>
          <w:sz w:val="16"/>
          <w:szCs w:val="16"/>
          <w:lang w:val="es-MX"/>
        </w:rPr>
        <w:t xml:space="preserve"> </w:t>
      </w:r>
      <w:r w:rsidRPr="007C51D0">
        <w:rPr>
          <w:rFonts w:ascii="Verdana" w:hAnsi="Verdana"/>
          <w:spacing w:val="-12"/>
          <w:sz w:val="16"/>
          <w:szCs w:val="16"/>
          <w:lang w:val="es-MX"/>
        </w:rPr>
        <w:t>(folio 1064).</w:t>
      </w:r>
    </w:p>
  </w:footnote>
  <w:footnote w:id="176">
    <w:p w14:paraId="49C3A987" w14:textId="75F58390" w:rsidR="00837BB9" w:rsidRPr="00CF3AED"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CR"/>
        </w:rPr>
        <w:tab/>
        <w:t>Así,</w:t>
      </w:r>
      <w:r w:rsidRPr="006203B0">
        <w:rPr>
          <w:rFonts w:ascii="Verdana" w:hAnsi="Verdana"/>
          <w:spacing w:val="-12"/>
          <w:sz w:val="16"/>
          <w:szCs w:val="16"/>
          <w:lang w:val="es-CR"/>
        </w:rPr>
        <w:t xml:space="preserve"> el Estado alegó que en la declaración del Presidente Chávez, </w:t>
      </w:r>
      <w:r w:rsidRPr="00FC1D38">
        <w:rPr>
          <w:rFonts w:ascii="Verdana" w:hAnsi="Verdana"/>
          <w:spacing w:val="-12"/>
          <w:sz w:val="16"/>
          <w:szCs w:val="16"/>
          <w:lang w:val="es-CR"/>
        </w:rPr>
        <w:t xml:space="preserve">citada por la Comisión para probar su supuesto clima de presión, </w:t>
      </w:r>
      <w:r w:rsidRPr="000536CF">
        <w:rPr>
          <w:rFonts w:ascii="Verdana" w:hAnsi="Verdana"/>
          <w:spacing w:val="-12"/>
          <w:sz w:val="16"/>
          <w:szCs w:val="16"/>
          <w:lang w:val="es-CR"/>
        </w:rPr>
        <w:t xml:space="preserve">únicamente se </w:t>
      </w:r>
      <w:r w:rsidRPr="001C16AC">
        <w:rPr>
          <w:rFonts w:ascii="Verdana" w:hAnsi="Verdana"/>
          <w:spacing w:val="-12"/>
          <w:sz w:val="16"/>
          <w:szCs w:val="16"/>
          <w:lang w:val="es-CR"/>
        </w:rPr>
        <w:t>hizo referen</w:t>
      </w:r>
      <w:r w:rsidRPr="006001C8">
        <w:rPr>
          <w:rFonts w:ascii="Verdana" w:hAnsi="Verdana"/>
          <w:spacing w:val="-12"/>
          <w:sz w:val="16"/>
          <w:szCs w:val="16"/>
          <w:lang w:val="es-CR"/>
        </w:rPr>
        <w:t>ci</w:t>
      </w:r>
      <w:r w:rsidRPr="00D55480">
        <w:rPr>
          <w:rFonts w:ascii="Verdana" w:hAnsi="Verdana"/>
          <w:spacing w:val="-12"/>
          <w:sz w:val="16"/>
          <w:szCs w:val="16"/>
          <w:lang w:val="es-CR"/>
        </w:rPr>
        <w:t>a a un hecho públ</w:t>
      </w:r>
      <w:r w:rsidRPr="009E7E48">
        <w:rPr>
          <w:rFonts w:ascii="Verdana" w:hAnsi="Verdana"/>
          <w:spacing w:val="-12"/>
          <w:sz w:val="16"/>
          <w:szCs w:val="16"/>
          <w:lang w:val="es-CR"/>
        </w:rPr>
        <w:t>ico y notorio</w:t>
      </w:r>
      <w:r w:rsidRPr="008B6122">
        <w:rPr>
          <w:rFonts w:ascii="Verdana" w:hAnsi="Verdana"/>
          <w:spacing w:val="-12"/>
          <w:sz w:val="16"/>
          <w:szCs w:val="16"/>
          <w:lang w:val="es-CR"/>
        </w:rPr>
        <w:t xml:space="preserve"> (los requisitos para </w:t>
      </w:r>
      <w:r w:rsidRPr="0012407E">
        <w:rPr>
          <w:rFonts w:ascii="Verdana" w:hAnsi="Verdana"/>
          <w:spacing w:val="-12"/>
          <w:sz w:val="16"/>
          <w:szCs w:val="16"/>
          <w:lang w:val="es-CR"/>
        </w:rPr>
        <w:t>suscribir la solicitud</w:t>
      </w:r>
      <w:r w:rsidRPr="00C7142E">
        <w:rPr>
          <w:rFonts w:ascii="Verdana" w:hAnsi="Verdana"/>
          <w:spacing w:val="-12"/>
          <w:sz w:val="16"/>
          <w:szCs w:val="16"/>
          <w:lang w:val="es-CR"/>
        </w:rPr>
        <w:t xml:space="preserve">), por lo que es insostenible afirmar que sus manifestaciones fueran amenazas. Además, </w:t>
      </w:r>
      <w:r w:rsidRPr="006C24C0">
        <w:rPr>
          <w:rFonts w:ascii="Verdana" w:hAnsi="Verdana"/>
          <w:spacing w:val="-12"/>
          <w:sz w:val="16"/>
          <w:szCs w:val="16"/>
          <w:lang w:val="es-CR"/>
        </w:rPr>
        <w:t xml:space="preserve">el Estado consideró que </w:t>
      </w:r>
      <w:r w:rsidRPr="003100FE">
        <w:rPr>
          <w:rFonts w:ascii="Verdana" w:hAnsi="Verdana"/>
          <w:spacing w:val="-12"/>
          <w:sz w:val="16"/>
          <w:szCs w:val="16"/>
          <w:lang w:val="es-CR"/>
        </w:rPr>
        <w:t xml:space="preserve">la mayoría de declaraciones utilizadas </w:t>
      </w:r>
      <w:r w:rsidRPr="0003211A">
        <w:rPr>
          <w:rFonts w:ascii="Verdana" w:hAnsi="Verdana"/>
          <w:spacing w:val="-12"/>
          <w:sz w:val="16"/>
          <w:szCs w:val="16"/>
          <w:lang w:val="es-CR"/>
        </w:rPr>
        <w:t>por la Comisión y el representante</w:t>
      </w:r>
      <w:r w:rsidRPr="00CE7020">
        <w:rPr>
          <w:rFonts w:ascii="Verdana" w:hAnsi="Verdana"/>
          <w:spacing w:val="-12"/>
          <w:sz w:val="16"/>
          <w:szCs w:val="16"/>
          <w:lang w:val="es-CR"/>
        </w:rPr>
        <w:t xml:space="preserve"> fueron sacadas de su contexto, cuando desde diversas insta</w:t>
      </w:r>
      <w:r w:rsidRPr="00773F82">
        <w:rPr>
          <w:rFonts w:ascii="Verdana" w:hAnsi="Verdana"/>
          <w:spacing w:val="-12"/>
          <w:sz w:val="16"/>
          <w:szCs w:val="16"/>
          <w:lang w:val="es-CR"/>
        </w:rPr>
        <w:t xml:space="preserve">ncias del Estado -incluyendo el </w:t>
      </w:r>
      <w:r w:rsidRPr="00B8510B">
        <w:rPr>
          <w:rFonts w:ascii="Verdana" w:hAnsi="Verdana"/>
          <w:spacing w:val="-12"/>
          <w:sz w:val="16"/>
          <w:szCs w:val="16"/>
          <w:lang w:val="es-CR"/>
        </w:rPr>
        <w:t xml:space="preserve">propio Presidente - se envió un claro mensaje de respeto al derecho </w:t>
      </w:r>
      <w:r w:rsidRPr="00290E0C">
        <w:rPr>
          <w:rFonts w:ascii="Verdana" w:hAnsi="Verdana"/>
          <w:spacing w:val="-12"/>
          <w:sz w:val="16"/>
          <w:szCs w:val="16"/>
          <w:lang w:val="es-CR"/>
        </w:rPr>
        <w:t>a suscribir o no la solicitud. Señaló que</w:t>
      </w:r>
      <w:r w:rsidRPr="00B252EB">
        <w:rPr>
          <w:rFonts w:ascii="Verdana" w:hAnsi="Verdana"/>
          <w:spacing w:val="-12"/>
          <w:sz w:val="16"/>
          <w:szCs w:val="16"/>
          <w:lang w:val="es-CR"/>
        </w:rPr>
        <w:t xml:space="preserve"> el proceso de reparos y la posibilidad de retirar las firmas fue un mecanismo necesario y justificado para restituir los derechos vulnerados a aquellas persona</w:t>
      </w:r>
      <w:r w:rsidRPr="0054215F">
        <w:rPr>
          <w:rFonts w:ascii="Verdana" w:hAnsi="Verdana"/>
          <w:spacing w:val="-12"/>
          <w:sz w:val="16"/>
          <w:szCs w:val="16"/>
          <w:lang w:val="es-CR"/>
        </w:rPr>
        <w:t>s cuya firma y datos de identidad fueron ilegítimamente incluidos en la solicitud. En todo caso, el 87% de las personas convocadas a reparos ratificaron sus firmas, lo cual deja sin sustento la idea del supuesto clima de presión y miedo generalizado produc</w:t>
      </w:r>
      <w:r w:rsidRPr="00D758B5">
        <w:rPr>
          <w:rFonts w:ascii="Verdana" w:hAnsi="Verdana"/>
          <w:spacing w:val="-12"/>
          <w:sz w:val="16"/>
          <w:szCs w:val="16"/>
          <w:lang w:val="es-CR"/>
        </w:rPr>
        <w:t>to del proceso de validación de las firmas.</w:t>
      </w:r>
      <w:r w:rsidRPr="00CF3AED">
        <w:rPr>
          <w:rFonts w:ascii="Verdana" w:hAnsi="Verdana"/>
          <w:spacing w:val="-12"/>
          <w:sz w:val="16"/>
          <w:szCs w:val="16"/>
          <w:lang w:val="es-CR"/>
        </w:rPr>
        <w:t xml:space="preserve"> </w:t>
      </w:r>
      <w:r w:rsidRPr="007C51D0">
        <w:rPr>
          <w:rFonts w:ascii="Verdana" w:hAnsi="Verdana"/>
          <w:spacing w:val="-12"/>
          <w:sz w:val="16"/>
          <w:szCs w:val="16"/>
          <w:lang w:val="es-CR"/>
        </w:rPr>
        <w:t>(folios 805-809)].</w:t>
      </w:r>
    </w:p>
  </w:footnote>
  <w:footnote w:id="177">
    <w:p w14:paraId="300E7213" w14:textId="194422A4" w:rsidR="00837BB9" w:rsidRPr="00CF3AED"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6203B0">
        <w:rPr>
          <w:rFonts w:ascii="Verdana" w:hAnsi="Verdana"/>
          <w:spacing w:val="-12"/>
          <w:sz w:val="16"/>
          <w:szCs w:val="16"/>
          <w:lang w:val="es-CR"/>
        </w:rPr>
        <w:tab/>
        <w:t>El Estado alegó que los propios testigos y el perito promovido por los representantes confirmaro</w:t>
      </w:r>
      <w:r w:rsidRPr="00FC1D38">
        <w:rPr>
          <w:rFonts w:ascii="Verdana" w:hAnsi="Verdana"/>
          <w:spacing w:val="-12"/>
          <w:sz w:val="16"/>
          <w:szCs w:val="16"/>
          <w:lang w:val="es-CR"/>
        </w:rPr>
        <w:t>n que fueron escasas las denuncias de discriminación política efectivamente presentadas ante organizaciones no gubernamentales, expertos en la materia o instituciones del Estado, las cuales, comparado con el número de firmantes, resulta una cifra insignifi</w:t>
      </w:r>
      <w:r w:rsidRPr="000536CF">
        <w:rPr>
          <w:rFonts w:ascii="Verdana" w:hAnsi="Verdana"/>
          <w:spacing w:val="-12"/>
          <w:sz w:val="16"/>
          <w:szCs w:val="16"/>
          <w:lang w:val="es-CR"/>
        </w:rPr>
        <w:t xml:space="preserve">cante. Así, más allá de las especulaciones difundidas en medios de comunicación, </w:t>
      </w:r>
      <w:r w:rsidRPr="001C16AC">
        <w:rPr>
          <w:rFonts w:ascii="Verdana" w:hAnsi="Verdana"/>
          <w:spacing w:val="-12"/>
          <w:sz w:val="16"/>
          <w:szCs w:val="16"/>
          <w:lang w:val="es-CR"/>
        </w:rPr>
        <w:t xml:space="preserve">fueron pocos </w:t>
      </w:r>
      <w:r w:rsidRPr="006001C8">
        <w:rPr>
          <w:rFonts w:ascii="Verdana" w:hAnsi="Verdana"/>
          <w:spacing w:val="-12"/>
          <w:sz w:val="16"/>
          <w:szCs w:val="16"/>
          <w:lang w:val="es-CR"/>
        </w:rPr>
        <w:t xml:space="preserve">casos </w:t>
      </w:r>
      <w:r w:rsidRPr="00D55480">
        <w:rPr>
          <w:rFonts w:ascii="Verdana" w:hAnsi="Verdana"/>
          <w:spacing w:val="-12"/>
          <w:sz w:val="16"/>
          <w:szCs w:val="16"/>
          <w:lang w:val="es-CR"/>
        </w:rPr>
        <w:t>en que efectivamente se denunció discr</w:t>
      </w:r>
      <w:r w:rsidRPr="009E7E48">
        <w:rPr>
          <w:rFonts w:ascii="Verdana" w:hAnsi="Verdana"/>
          <w:spacing w:val="-12"/>
          <w:sz w:val="16"/>
          <w:szCs w:val="16"/>
          <w:lang w:val="es-CR"/>
        </w:rPr>
        <w:t xml:space="preserve">iminación por razones políticas, </w:t>
      </w:r>
      <w:r w:rsidRPr="008B6122">
        <w:rPr>
          <w:rFonts w:ascii="Verdana" w:hAnsi="Verdana"/>
          <w:spacing w:val="-12"/>
          <w:sz w:val="16"/>
          <w:szCs w:val="16"/>
          <w:lang w:val="es-CR"/>
        </w:rPr>
        <w:t>ejemplo de lo cual es que, además de la denuncia presentada por las presuntas víctimas, la Defensoría del Pueblo solo recibió dos denuncias en el período 2003-2005 de presunta discriminación por motivos políticos</w:t>
      </w:r>
      <w:r w:rsidRPr="0012407E">
        <w:rPr>
          <w:rFonts w:ascii="Verdana" w:hAnsi="Verdana"/>
          <w:spacing w:val="-12"/>
          <w:sz w:val="16"/>
          <w:szCs w:val="16"/>
          <w:lang w:val="es-CR"/>
        </w:rPr>
        <w:t xml:space="preserve"> </w:t>
      </w:r>
      <w:r w:rsidRPr="00C7142E">
        <w:rPr>
          <w:rFonts w:ascii="Verdana" w:hAnsi="Verdana"/>
          <w:spacing w:val="-12"/>
          <w:sz w:val="16"/>
          <w:szCs w:val="16"/>
          <w:lang w:val="es-CR"/>
        </w:rPr>
        <w:t>(</w:t>
      </w:r>
      <w:r w:rsidRPr="007C51D0">
        <w:rPr>
          <w:rFonts w:ascii="Verdana" w:hAnsi="Verdana"/>
          <w:spacing w:val="-12"/>
          <w:sz w:val="16"/>
          <w:szCs w:val="16"/>
          <w:lang w:val="es-CR"/>
        </w:rPr>
        <w:t>folio, 809 a  811).</w:t>
      </w:r>
      <w:r w:rsidRPr="00CF3AED">
        <w:rPr>
          <w:rFonts w:ascii="Verdana" w:hAnsi="Verdana"/>
          <w:spacing w:val="-12"/>
          <w:sz w:val="16"/>
          <w:szCs w:val="16"/>
          <w:lang w:val="es-CR"/>
        </w:rPr>
        <w:t>]</w:t>
      </w:r>
    </w:p>
  </w:footnote>
  <w:footnote w:id="178">
    <w:p w14:paraId="37EE0E02" w14:textId="184F6C2F" w:rsidR="00837BB9" w:rsidRPr="001C16AC" w:rsidRDefault="00837BB9" w:rsidP="008349B1">
      <w:pPr>
        <w:pStyle w:val="FootnoteText"/>
        <w:tabs>
          <w:tab w:val="left" w:pos="567"/>
        </w:tabs>
        <w:spacing w:before="120" w:after="120"/>
        <w:ind w:right="-174"/>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6203B0">
        <w:rPr>
          <w:rFonts w:ascii="Verdana" w:eastAsiaTheme="minorHAnsi" w:hAnsi="Verdana" w:cstheme="minorBidi"/>
          <w:i/>
          <w:spacing w:val="-12"/>
          <w:sz w:val="16"/>
          <w:szCs w:val="16"/>
          <w:lang w:val="es-VE"/>
        </w:rPr>
        <w:t>Cfr. Propuesta de Modificación a la Constitución Política de Costa Rica relacionada con la Naturaliz</w:t>
      </w:r>
      <w:r w:rsidRPr="00FC1D38">
        <w:rPr>
          <w:rFonts w:ascii="Verdana" w:eastAsiaTheme="minorHAnsi" w:hAnsi="Verdana" w:cstheme="minorBidi"/>
          <w:i/>
          <w:spacing w:val="-12"/>
          <w:sz w:val="16"/>
          <w:szCs w:val="16"/>
          <w:lang w:val="es-VE"/>
        </w:rPr>
        <w:t>ación</w:t>
      </w:r>
      <w:r w:rsidRPr="0039667B">
        <w:rPr>
          <w:rFonts w:ascii="Verdana" w:eastAsiaTheme="minorHAnsi" w:hAnsi="Verdana" w:cstheme="minorBidi"/>
          <w:spacing w:val="-12"/>
          <w:sz w:val="16"/>
          <w:szCs w:val="16"/>
          <w:lang w:val="es-VE"/>
        </w:rPr>
        <w:t xml:space="preserve">. Opinión Consultiva OC-4/84 del 19 de enero de 1984. Serie A No. 4, párr. 53, y </w:t>
      </w:r>
      <w:r w:rsidRPr="00C94CA1">
        <w:rPr>
          <w:rFonts w:ascii="Verdana" w:eastAsiaTheme="minorHAnsi" w:hAnsi="Verdana" w:cstheme="minorBidi"/>
          <w:i/>
          <w:spacing w:val="-12"/>
          <w:sz w:val="16"/>
          <w:szCs w:val="16"/>
          <w:lang w:val="es-VE"/>
        </w:rPr>
        <w:t>Caso Duque Vs. Colombia. Excepciones Preliminares, Fondo, Reparaciones y Costas</w:t>
      </w:r>
      <w:r w:rsidRPr="00C94CA1">
        <w:rPr>
          <w:rFonts w:ascii="Verdana" w:eastAsiaTheme="minorHAnsi" w:hAnsi="Verdana" w:cstheme="minorBidi"/>
          <w:spacing w:val="-12"/>
          <w:sz w:val="16"/>
          <w:szCs w:val="16"/>
          <w:lang w:val="es-VE"/>
        </w:rPr>
        <w:t>. Sentencia de 26 de febrero de 2016. Serie C No. 310, párr. 93</w:t>
      </w:r>
      <w:r w:rsidRPr="000536CF">
        <w:rPr>
          <w:rFonts w:ascii="Verdana" w:eastAsiaTheme="minorHAnsi" w:hAnsi="Verdana" w:cstheme="minorBidi"/>
          <w:spacing w:val="-12"/>
          <w:sz w:val="16"/>
          <w:szCs w:val="16"/>
          <w:lang w:val="es-VE"/>
        </w:rPr>
        <w:t>.</w:t>
      </w:r>
      <w:r w:rsidRPr="001C16AC">
        <w:rPr>
          <w:rFonts w:ascii="Verdana" w:hAnsi="Verdana"/>
          <w:spacing w:val="-12"/>
          <w:sz w:val="16"/>
          <w:szCs w:val="16"/>
        </w:rPr>
        <w:t xml:space="preserve"> </w:t>
      </w:r>
    </w:p>
  </w:footnote>
  <w:footnote w:id="179">
    <w:p w14:paraId="32676157" w14:textId="1F21F606" w:rsidR="00837BB9" w:rsidRPr="00CF3AED" w:rsidRDefault="00837BB9" w:rsidP="008349B1">
      <w:pPr>
        <w:autoSpaceDE w:val="0"/>
        <w:autoSpaceDN w:val="0"/>
        <w:adjustRightInd w:val="0"/>
        <w:spacing w:before="120" w:after="120" w:line="240" w:lineRule="auto"/>
        <w:jc w:val="both"/>
        <w:rPr>
          <w:rFonts w:ascii="Verdana" w:hAnsi="Verdana"/>
          <w:spacing w:val="-12"/>
          <w:sz w:val="16"/>
          <w:szCs w:val="16"/>
          <w:lang w:val="fr-F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cs="Cambria"/>
          <w:i/>
          <w:spacing w:val="-12"/>
          <w:sz w:val="16"/>
          <w:szCs w:val="16"/>
        </w:rPr>
        <w:t xml:space="preserve">Cfr. Caso Castañeda </w:t>
      </w:r>
      <w:proofErr w:type="spellStart"/>
      <w:r w:rsidRPr="00CF3AED">
        <w:rPr>
          <w:rFonts w:ascii="Verdana" w:hAnsi="Verdana" w:cs="Cambria"/>
          <w:i/>
          <w:spacing w:val="-12"/>
          <w:sz w:val="16"/>
          <w:szCs w:val="16"/>
        </w:rPr>
        <w:t>Gutman</w:t>
      </w:r>
      <w:proofErr w:type="spellEnd"/>
      <w:r w:rsidRPr="00CF3AED">
        <w:rPr>
          <w:rFonts w:ascii="Verdana" w:hAnsi="Verdana" w:cs="Cambria"/>
          <w:i/>
          <w:spacing w:val="-12"/>
          <w:sz w:val="16"/>
          <w:szCs w:val="16"/>
        </w:rPr>
        <w:t xml:space="preserve"> </w:t>
      </w:r>
      <w:r w:rsidRPr="006203B0">
        <w:rPr>
          <w:rFonts w:ascii="Verdana" w:hAnsi="Verdana" w:cs="Cambria"/>
          <w:i/>
          <w:spacing w:val="-12"/>
          <w:sz w:val="16"/>
          <w:szCs w:val="16"/>
        </w:rPr>
        <w:t xml:space="preserve">Vs. </w:t>
      </w:r>
      <w:r w:rsidRPr="00FC1D38">
        <w:rPr>
          <w:rFonts w:ascii="Verdana" w:hAnsi="Verdana" w:cs="Cambria"/>
          <w:i/>
          <w:spacing w:val="-12"/>
          <w:sz w:val="16"/>
          <w:szCs w:val="16"/>
        </w:rPr>
        <w:t xml:space="preserve"> Estados Unidos Mexicanos</w:t>
      </w:r>
      <w:r w:rsidRPr="0039667B">
        <w:rPr>
          <w:rFonts w:ascii="Verdana" w:hAnsi="Verdana" w:cs="Cambria"/>
          <w:spacing w:val="-12"/>
          <w:sz w:val="16"/>
          <w:szCs w:val="16"/>
        </w:rPr>
        <w:t>.</w:t>
      </w:r>
      <w:r w:rsidRPr="00777042">
        <w:rPr>
          <w:rFonts w:ascii="Verdana" w:hAnsi="Verdana" w:cs="Cambria"/>
          <w:spacing w:val="-12"/>
          <w:sz w:val="16"/>
          <w:szCs w:val="16"/>
        </w:rPr>
        <w:t xml:space="preserve"> </w:t>
      </w:r>
      <w:r w:rsidRPr="000536CF">
        <w:rPr>
          <w:rFonts w:ascii="Verdana" w:hAnsi="Verdana" w:cs="Cambria"/>
          <w:i/>
          <w:spacing w:val="-12"/>
          <w:sz w:val="16"/>
          <w:szCs w:val="16"/>
        </w:rPr>
        <w:t>Excepciones Preliminares, Fondo, Reparaciones y Costas</w:t>
      </w:r>
      <w:r w:rsidRPr="000536CF">
        <w:rPr>
          <w:rFonts w:ascii="Verdana" w:hAnsi="Verdana" w:cs="Cambria"/>
          <w:spacing w:val="-12"/>
          <w:sz w:val="16"/>
          <w:szCs w:val="16"/>
        </w:rPr>
        <w:t>. Sentencia de 6 de agosto de 2008. Serie C No 184, pá</w:t>
      </w:r>
      <w:r w:rsidRPr="001C16AC">
        <w:rPr>
          <w:rFonts w:ascii="Verdana" w:hAnsi="Verdana" w:cs="Cambria"/>
          <w:spacing w:val="-12"/>
          <w:sz w:val="16"/>
          <w:szCs w:val="16"/>
        </w:rPr>
        <w:t>rr.147</w:t>
      </w:r>
      <w:r>
        <w:rPr>
          <w:rFonts w:ascii="Verdana" w:hAnsi="Verdana" w:cs="Cambria"/>
          <w:spacing w:val="-12"/>
          <w:sz w:val="16"/>
          <w:szCs w:val="16"/>
        </w:rPr>
        <w:t xml:space="preserve">; y </w:t>
      </w:r>
      <w:r w:rsidRPr="00C94CA1">
        <w:rPr>
          <w:rFonts w:ascii="Verdana" w:hAnsi="Verdana" w:cs="Cambria"/>
          <w:i/>
          <w:spacing w:val="-12"/>
          <w:sz w:val="16"/>
          <w:szCs w:val="16"/>
        </w:rPr>
        <w:t xml:space="preserve">Caso </w:t>
      </w:r>
      <w:proofErr w:type="spellStart"/>
      <w:r w:rsidRPr="00C94CA1">
        <w:rPr>
          <w:rFonts w:ascii="Verdana" w:hAnsi="Verdana" w:cs="Cambria"/>
          <w:i/>
          <w:spacing w:val="-12"/>
          <w:sz w:val="16"/>
          <w:szCs w:val="16"/>
        </w:rPr>
        <w:t>Chitay</w:t>
      </w:r>
      <w:proofErr w:type="spellEnd"/>
      <w:r w:rsidRPr="00C94CA1">
        <w:rPr>
          <w:rFonts w:ascii="Verdana" w:hAnsi="Verdana" w:cs="Cambria"/>
          <w:i/>
          <w:spacing w:val="-12"/>
          <w:sz w:val="16"/>
          <w:szCs w:val="16"/>
        </w:rPr>
        <w:t xml:space="preserve"> </w:t>
      </w:r>
      <w:proofErr w:type="spellStart"/>
      <w:r w:rsidRPr="00C94CA1">
        <w:rPr>
          <w:rFonts w:ascii="Verdana" w:hAnsi="Verdana" w:cs="Cambria"/>
          <w:i/>
          <w:spacing w:val="-12"/>
          <w:sz w:val="16"/>
          <w:szCs w:val="16"/>
        </w:rPr>
        <w:t>Nech</w:t>
      </w:r>
      <w:proofErr w:type="spellEnd"/>
      <w:r w:rsidRPr="00C94CA1">
        <w:rPr>
          <w:rFonts w:ascii="Verdana" w:hAnsi="Verdana" w:cs="Cambria"/>
          <w:i/>
          <w:spacing w:val="-12"/>
          <w:sz w:val="16"/>
          <w:szCs w:val="16"/>
        </w:rPr>
        <w:t xml:space="preserve"> y otros Vs. Guatemala. Excepciones Preliminares, Fondo, Reparaciones y Costas</w:t>
      </w:r>
      <w:r w:rsidRPr="00C94CA1">
        <w:rPr>
          <w:rFonts w:ascii="Verdana" w:hAnsi="Verdana" w:cs="Cambria"/>
          <w:spacing w:val="-12"/>
          <w:sz w:val="16"/>
          <w:szCs w:val="16"/>
        </w:rPr>
        <w:t>. Sentencia de 25 de mayo de 2010. Serie C No. 212, párr. 107</w:t>
      </w:r>
      <w:r w:rsidRPr="001C16AC">
        <w:rPr>
          <w:rFonts w:ascii="Verdana" w:hAnsi="Verdana" w:cs="Cambria"/>
          <w:spacing w:val="-12"/>
          <w:sz w:val="16"/>
          <w:szCs w:val="16"/>
        </w:rPr>
        <w:t>. En si</w:t>
      </w:r>
      <w:r w:rsidRPr="006001C8">
        <w:rPr>
          <w:rFonts w:ascii="Verdana" w:hAnsi="Verdana" w:cs="Cambria"/>
          <w:spacing w:val="-12"/>
          <w:sz w:val="16"/>
          <w:szCs w:val="16"/>
        </w:rPr>
        <w:t>milar sentido, el Comité de Derechos Humanos de Naciones Unidas, al interpretar el artículo 25 del Pacto Internacional de Derechos Civiles y Políticos, el cual tiene similitud con el artículo 23 de la Convención Americana, ha entendido que los derechos pol</w:t>
      </w:r>
      <w:r w:rsidRPr="00D55480">
        <w:rPr>
          <w:rFonts w:ascii="Verdana" w:hAnsi="Verdana" w:cs="Cambria"/>
          <w:spacing w:val="-12"/>
          <w:sz w:val="16"/>
          <w:szCs w:val="16"/>
        </w:rPr>
        <w:t xml:space="preserve">íticos deben también garantizarse para elección o modificación constitucional, referendos y otros procesos electorales. Ver Observación General No. 25, comentarios generales adoptados por el Comité de los Derechos Humanos, Artículo 25 – La participación en los asuntos públicos y el derecho de voto, 57º período de sesiones, U.N. Doc. </w:t>
      </w:r>
      <w:r w:rsidRPr="009E7E48">
        <w:rPr>
          <w:rFonts w:ascii="Verdana" w:hAnsi="Verdana" w:cs="Cambria"/>
          <w:spacing w:val="-12"/>
          <w:sz w:val="16"/>
          <w:szCs w:val="16"/>
          <w:lang w:val="fr-FR"/>
        </w:rPr>
        <w:t xml:space="preserve">HRI/GEN/1/Rev.7 at 194 (1996), disponible en: </w:t>
      </w:r>
      <w:hyperlink r:id="rId33" w:history="1">
        <w:r w:rsidRPr="00CF3AED">
          <w:rPr>
            <w:rStyle w:val="Hyperlink"/>
            <w:rFonts w:ascii="Verdana" w:hAnsi="Verdana" w:cs="Cambria"/>
            <w:spacing w:val="-12"/>
            <w:sz w:val="16"/>
            <w:szCs w:val="16"/>
            <w:lang w:val="fr-FR"/>
          </w:rPr>
          <w:t>http://www1.umn.edu/humanrts/hrcommittee/Sgencom25.html</w:t>
        </w:r>
      </w:hyperlink>
      <w:r w:rsidRPr="00CF3AED">
        <w:rPr>
          <w:rFonts w:ascii="Verdana" w:hAnsi="Verdana" w:cs="Cambria"/>
          <w:spacing w:val="-12"/>
          <w:sz w:val="16"/>
          <w:szCs w:val="16"/>
          <w:lang w:val="fr-FR"/>
        </w:rPr>
        <w:t>.</w:t>
      </w:r>
    </w:p>
  </w:footnote>
  <w:footnote w:id="180">
    <w:p w14:paraId="430E03D2" w14:textId="0C27EE18" w:rsidR="00837BB9" w:rsidRPr="009E7E48" w:rsidRDefault="00837BB9" w:rsidP="008349B1">
      <w:pPr>
        <w:autoSpaceDE w:val="0"/>
        <w:autoSpaceDN w:val="0"/>
        <w:adjustRightInd w:val="0"/>
        <w:spacing w:before="120" w:after="120" w:line="240" w:lineRule="auto"/>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cs="Cambria"/>
          <w:i/>
          <w:spacing w:val="-12"/>
          <w:sz w:val="16"/>
          <w:szCs w:val="16"/>
        </w:rPr>
        <w:t xml:space="preserve">Cfr. Caso </w:t>
      </w:r>
      <w:proofErr w:type="spellStart"/>
      <w:r w:rsidRPr="00CF3AED">
        <w:rPr>
          <w:rFonts w:ascii="Verdana" w:hAnsi="Verdana" w:cs="Cambria"/>
          <w:i/>
          <w:spacing w:val="-12"/>
          <w:sz w:val="16"/>
          <w:szCs w:val="16"/>
        </w:rPr>
        <w:t>Yatama</w:t>
      </w:r>
      <w:proofErr w:type="spellEnd"/>
      <w:r w:rsidRPr="00CF3AED">
        <w:rPr>
          <w:rFonts w:ascii="Verdana" w:hAnsi="Verdana" w:cs="Cambria"/>
          <w:i/>
          <w:spacing w:val="-12"/>
          <w:sz w:val="16"/>
          <w:szCs w:val="16"/>
        </w:rPr>
        <w:t xml:space="preserve"> vs Nicaragua, Excepciones Preliminares, Fondo, Reparaciones y Costas</w:t>
      </w:r>
      <w:r w:rsidRPr="00CF3AED">
        <w:rPr>
          <w:rFonts w:ascii="Verdana" w:hAnsi="Verdana" w:cs="Cambria"/>
          <w:spacing w:val="-12"/>
          <w:sz w:val="16"/>
          <w:szCs w:val="16"/>
        </w:rPr>
        <w:t>. Sentencia de 23 de junio de 2005. Serie C No.127, párr.</w:t>
      </w:r>
      <w:r w:rsidRPr="006203B0">
        <w:rPr>
          <w:rFonts w:ascii="Verdana" w:hAnsi="Verdana" w:cs="Cambria"/>
          <w:spacing w:val="-12"/>
          <w:sz w:val="16"/>
          <w:szCs w:val="16"/>
        </w:rPr>
        <w:t xml:space="preserve"> </w:t>
      </w:r>
      <w:r w:rsidRPr="00FC1D38">
        <w:rPr>
          <w:rFonts w:ascii="Verdana" w:hAnsi="Verdana" w:cs="Cambria"/>
          <w:spacing w:val="-12"/>
          <w:sz w:val="16"/>
          <w:szCs w:val="16"/>
        </w:rPr>
        <w:t xml:space="preserve">195; </w:t>
      </w:r>
      <w:r w:rsidRPr="0039667B">
        <w:rPr>
          <w:rFonts w:ascii="Verdana" w:hAnsi="Verdana" w:cs="Cambria"/>
          <w:i/>
          <w:spacing w:val="-12"/>
          <w:sz w:val="16"/>
          <w:szCs w:val="16"/>
        </w:rPr>
        <w:t xml:space="preserve">Caso Castañeda </w:t>
      </w:r>
      <w:proofErr w:type="spellStart"/>
      <w:r w:rsidRPr="0039667B">
        <w:rPr>
          <w:rFonts w:ascii="Verdana" w:hAnsi="Verdana" w:cs="Cambria"/>
          <w:i/>
          <w:spacing w:val="-12"/>
          <w:sz w:val="16"/>
          <w:szCs w:val="16"/>
        </w:rPr>
        <w:t>Gutman</w:t>
      </w:r>
      <w:proofErr w:type="spellEnd"/>
      <w:r w:rsidRPr="0039667B">
        <w:rPr>
          <w:rFonts w:ascii="Verdana" w:hAnsi="Verdana" w:cs="Cambria"/>
          <w:i/>
          <w:spacing w:val="-12"/>
          <w:sz w:val="16"/>
          <w:szCs w:val="16"/>
        </w:rPr>
        <w:t xml:space="preserve"> </w:t>
      </w:r>
      <w:r w:rsidRPr="000536CF">
        <w:rPr>
          <w:rFonts w:ascii="Verdana" w:hAnsi="Verdana" w:cs="Cambria"/>
          <w:i/>
          <w:spacing w:val="-12"/>
          <w:sz w:val="16"/>
          <w:szCs w:val="16"/>
        </w:rPr>
        <w:t>Vs. Estados Unidos Mexicanos, supra</w:t>
      </w:r>
      <w:r w:rsidRPr="001C16AC">
        <w:rPr>
          <w:rFonts w:ascii="Verdana" w:hAnsi="Verdana" w:cs="Cambria"/>
          <w:i/>
          <w:spacing w:val="-12"/>
          <w:sz w:val="16"/>
          <w:szCs w:val="16"/>
        </w:rPr>
        <w:t xml:space="preserve">, </w:t>
      </w:r>
      <w:r w:rsidRPr="006001C8">
        <w:rPr>
          <w:rFonts w:ascii="Verdana" w:hAnsi="Verdana" w:cs="Cambria"/>
          <w:spacing w:val="-12"/>
          <w:sz w:val="16"/>
          <w:szCs w:val="16"/>
        </w:rPr>
        <w:t>párr.</w:t>
      </w:r>
      <w:r w:rsidRPr="00D55480">
        <w:rPr>
          <w:rFonts w:ascii="Verdana" w:hAnsi="Verdana" w:cs="Cambria"/>
          <w:spacing w:val="-12"/>
          <w:sz w:val="16"/>
          <w:szCs w:val="16"/>
        </w:rPr>
        <w:t xml:space="preserve"> 145.</w:t>
      </w:r>
    </w:p>
  </w:footnote>
  <w:footnote w:id="181">
    <w:p w14:paraId="7193F865" w14:textId="77777777" w:rsidR="00837BB9" w:rsidRPr="00CF3AED" w:rsidRDefault="00837BB9" w:rsidP="008349B1">
      <w:pPr>
        <w:pStyle w:val="FootnoteText"/>
        <w:spacing w:before="120" w:after="120"/>
        <w:jc w:val="both"/>
        <w:rPr>
          <w:rFonts w:ascii="Verdana" w:hAnsi="Verdana"/>
          <w:spacing w:val="-12"/>
          <w:sz w:val="16"/>
          <w:szCs w:val="16"/>
        </w:rPr>
      </w:pPr>
      <w:r w:rsidRPr="009E7E48">
        <w:rPr>
          <w:rStyle w:val="FootnoteReference"/>
          <w:rFonts w:ascii="Verdana" w:hAnsi="Verdana"/>
          <w:spacing w:val="-12"/>
          <w:sz w:val="16"/>
          <w:szCs w:val="16"/>
        </w:rPr>
        <w:footnoteRef/>
      </w:r>
      <w:r w:rsidRPr="008B6122">
        <w:rPr>
          <w:rFonts w:ascii="Verdana" w:hAnsi="Verdana"/>
          <w:spacing w:val="-12"/>
          <w:sz w:val="16"/>
          <w:szCs w:val="16"/>
        </w:rPr>
        <w:t xml:space="preserve"> </w:t>
      </w:r>
      <w:r w:rsidRPr="008B6122">
        <w:rPr>
          <w:rFonts w:ascii="Verdana" w:hAnsi="Verdana" w:cs="Cambria"/>
          <w:spacing w:val="-12"/>
          <w:sz w:val="16"/>
          <w:szCs w:val="16"/>
        </w:rPr>
        <w:tab/>
      </w:r>
      <w:r w:rsidRPr="007C51D0">
        <w:rPr>
          <w:rFonts w:ascii="Verdana" w:hAnsi="Verdana" w:cs="Cambria"/>
          <w:i/>
          <w:spacing w:val="-12"/>
          <w:sz w:val="16"/>
          <w:szCs w:val="16"/>
        </w:rPr>
        <w:t>Cfr.</w:t>
      </w:r>
      <w:r w:rsidRPr="00CF3AED">
        <w:rPr>
          <w:rFonts w:ascii="Verdana" w:hAnsi="Verdana" w:cs="Cambria"/>
          <w:spacing w:val="-12"/>
          <w:sz w:val="16"/>
          <w:szCs w:val="16"/>
        </w:rPr>
        <w:t xml:space="preserve"> Organización de los Estados Americanos. Carta Democrática Interamericana. Aprobada en la primera sesión plenaria de la Asamblea General de la OEA, celebrada el 11 de septiembre de 2001 durante el Vigésimo Octavo Periodo de Sesiones, artículos 3 y 4.</w:t>
      </w:r>
    </w:p>
  </w:footnote>
  <w:footnote w:id="182">
    <w:p w14:paraId="54AD3A98" w14:textId="72E5D765" w:rsidR="00837BB9" w:rsidRPr="00C7142E" w:rsidRDefault="00837BB9" w:rsidP="008349B1">
      <w:pPr>
        <w:pStyle w:val="NormalWeb"/>
        <w:spacing w:before="120" w:beforeAutospacing="0" w:after="120" w:afterAutospacing="0"/>
        <w:ind w:right="74"/>
        <w:jc w:val="both"/>
        <w:rPr>
          <w:rFonts w:ascii="Verdana" w:eastAsiaTheme="minorHAnsi" w:hAnsi="Verdana" w:cstheme="minorBidi"/>
          <w:spacing w:val="-12"/>
          <w:sz w:val="16"/>
          <w:szCs w:val="16"/>
          <w:lang w:val="es-VE"/>
        </w:rPr>
      </w:pPr>
      <w:r w:rsidRPr="006203B0">
        <w:rPr>
          <w:rStyle w:val="FootnoteReference"/>
          <w:rFonts w:ascii="Verdana" w:hAnsi="Verdana"/>
          <w:spacing w:val="-12"/>
          <w:sz w:val="16"/>
          <w:szCs w:val="16"/>
        </w:rPr>
        <w:footnoteRef/>
      </w:r>
      <w:r w:rsidRPr="00FC1D38">
        <w:rPr>
          <w:rFonts w:ascii="Verdana" w:hAnsi="Verdana"/>
          <w:spacing w:val="-12"/>
          <w:sz w:val="16"/>
          <w:szCs w:val="16"/>
          <w:lang w:val="es-ES"/>
        </w:rPr>
        <w:t xml:space="preserve"> </w:t>
      </w:r>
      <w:r w:rsidRPr="00FC1D38">
        <w:rPr>
          <w:rFonts w:ascii="Verdana" w:hAnsi="Verdana"/>
          <w:spacing w:val="-12"/>
          <w:sz w:val="16"/>
          <w:szCs w:val="16"/>
          <w:lang w:val="es-ES"/>
        </w:rPr>
        <w:tab/>
      </w:r>
      <w:r w:rsidRPr="0039667B">
        <w:rPr>
          <w:rFonts w:ascii="Verdana" w:eastAsiaTheme="minorHAnsi" w:hAnsi="Verdana" w:cstheme="minorBidi"/>
          <w:spacing w:val="-12"/>
          <w:sz w:val="16"/>
          <w:szCs w:val="16"/>
          <w:lang w:val="es-VE"/>
        </w:rPr>
        <w:t xml:space="preserve">Considerandos 2 y 4 del Preámbulo de la Convención: “Reafirmando su propósito de consolidar en este Continente, dentro del cuadro de las instituciones democráticas, un régimen de libertad personal y de justicia social, fundado en el respeto de los derechos esenciales del hombre; </w:t>
      </w:r>
      <w:r w:rsidRPr="000536CF">
        <w:rPr>
          <w:rFonts w:ascii="Verdana" w:eastAsiaTheme="minorHAnsi" w:hAnsi="Verdana" w:cstheme="minorBidi"/>
          <w:spacing w:val="-12"/>
          <w:sz w:val="16"/>
          <w:szCs w:val="16"/>
          <w:lang w:val="es-VE"/>
        </w:rPr>
        <w:t>[…] Considerando que estos principios han sido consagrados en la Carta de la Organización de los Estados Americanos, en la Declaración Americana de los Derechos y Deberes del Hombre y en la Declaración Universal de los Derechos Humanos que han sido reaf</w:t>
      </w:r>
      <w:r w:rsidRPr="001C16AC">
        <w:rPr>
          <w:rFonts w:ascii="Verdana" w:eastAsiaTheme="minorHAnsi" w:hAnsi="Verdana" w:cstheme="minorBidi"/>
          <w:spacing w:val="-12"/>
          <w:sz w:val="16"/>
          <w:szCs w:val="16"/>
          <w:lang w:val="es-VE"/>
        </w:rPr>
        <w:t>irmado</w:t>
      </w:r>
      <w:r w:rsidRPr="006001C8">
        <w:rPr>
          <w:rFonts w:ascii="Verdana" w:eastAsiaTheme="minorHAnsi" w:hAnsi="Verdana" w:cstheme="minorBidi"/>
          <w:spacing w:val="-12"/>
          <w:sz w:val="16"/>
          <w:szCs w:val="16"/>
          <w:lang w:val="es-VE"/>
        </w:rPr>
        <w:t>s y desarrollados […]”.</w:t>
      </w:r>
      <w:r w:rsidRPr="00D55480">
        <w:rPr>
          <w:rFonts w:ascii="Verdana" w:eastAsiaTheme="minorHAnsi" w:hAnsi="Verdana" w:cstheme="minorBidi"/>
          <w:spacing w:val="-12"/>
          <w:sz w:val="16"/>
          <w:szCs w:val="16"/>
          <w:lang w:val="es-VE"/>
        </w:rPr>
        <w:t xml:space="preserve"> En este sentido, </w:t>
      </w:r>
      <w:r w:rsidRPr="009E7E48">
        <w:rPr>
          <w:rFonts w:ascii="Verdana" w:eastAsiaTheme="minorHAnsi" w:hAnsi="Verdana" w:cstheme="minorBidi"/>
          <w:spacing w:val="-12"/>
          <w:sz w:val="16"/>
          <w:szCs w:val="16"/>
          <w:lang w:val="es-VE"/>
        </w:rPr>
        <w:t xml:space="preserve">la Carta también </w:t>
      </w:r>
      <w:r w:rsidRPr="008B6122">
        <w:rPr>
          <w:rFonts w:ascii="Verdana" w:eastAsiaTheme="minorHAnsi" w:hAnsi="Verdana" w:cstheme="minorBidi"/>
          <w:spacing w:val="-12"/>
          <w:sz w:val="16"/>
          <w:szCs w:val="16"/>
          <w:lang w:val="es-VE"/>
        </w:rPr>
        <w:t>podría ser catalogada como un acuerdo entre los Estados parte en ambos tratados acerca de la aplicación e interpretación de esos instrumentos (Art. 31.3.a) de la Convención de Viena sobre el Derecho de los Tratados: “Juntamente con el contexto, habrá de tenerse en cuenta: a) todo acuerdo ulterior entre las partes acerca de la interpretación del tratado o de la aplicación de sus disposiciones”</w:t>
      </w:r>
      <w:r w:rsidRPr="00C7142E">
        <w:rPr>
          <w:rFonts w:ascii="Verdana" w:eastAsiaTheme="minorHAnsi" w:hAnsi="Verdana" w:cstheme="minorBidi"/>
          <w:spacing w:val="-12"/>
          <w:sz w:val="16"/>
          <w:szCs w:val="16"/>
          <w:lang w:val="es-VE"/>
        </w:rPr>
        <w:t>.</w:t>
      </w:r>
    </w:p>
  </w:footnote>
  <w:footnote w:id="183">
    <w:p w14:paraId="14ADB575" w14:textId="644543D2" w:rsidR="00837BB9" w:rsidRPr="0003211A"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eastAsiaTheme="minorHAnsi" w:hAnsi="Verdana" w:cstheme="minorBidi"/>
          <w:spacing w:val="-12"/>
          <w:sz w:val="16"/>
          <w:szCs w:val="16"/>
          <w:lang w:val="es-VE"/>
        </w:rPr>
        <w:tab/>
      </w:r>
      <w:r w:rsidRPr="006203B0">
        <w:rPr>
          <w:rFonts w:ascii="Verdana" w:hAnsi="Verdana"/>
          <w:i/>
          <w:spacing w:val="-12"/>
          <w:sz w:val="16"/>
          <w:szCs w:val="16"/>
        </w:rPr>
        <w:t xml:space="preserve">Cfr. </w:t>
      </w:r>
      <w:r w:rsidRPr="00C7142E">
        <w:rPr>
          <w:rFonts w:ascii="Verdana" w:eastAsiaTheme="minorHAnsi" w:hAnsi="Verdana" w:cstheme="minorBidi"/>
          <w:spacing w:val="-12"/>
          <w:sz w:val="16"/>
          <w:szCs w:val="16"/>
          <w:lang w:val="es-VE"/>
        </w:rPr>
        <w:t>Artículo 2 de la Carta Democrática Interamericana</w:t>
      </w:r>
      <w:r w:rsidRPr="0069409D">
        <w:rPr>
          <w:rFonts w:ascii="Verdana" w:eastAsiaTheme="minorHAnsi" w:hAnsi="Verdana" w:cstheme="minorBidi"/>
          <w:spacing w:val="-12"/>
          <w:sz w:val="16"/>
          <w:szCs w:val="16"/>
          <w:lang w:val="es-VE"/>
        </w:rPr>
        <w:t xml:space="preserve">, </w:t>
      </w:r>
      <w:r w:rsidRPr="0069409D">
        <w:rPr>
          <w:rFonts w:ascii="Verdana" w:eastAsiaTheme="minorHAnsi" w:hAnsi="Verdana" w:cstheme="minorBidi"/>
          <w:i/>
          <w:spacing w:val="-12"/>
          <w:sz w:val="16"/>
          <w:szCs w:val="16"/>
          <w:lang w:val="es-VE"/>
        </w:rPr>
        <w:t>su</w:t>
      </w:r>
      <w:r w:rsidRPr="006C24C0">
        <w:rPr>
          <w:rFonts w:ascii="Verdana" w:eastAsiaTheme="minorHAnsi" w:hAnsi="Verdana" w:cstheme="minorBidi"/>
          <w:i/>
          <w:spacing w:val="-12"/>
          <w:sz w:val="16"/>
          <w:szCs w:val="16"/>
          <w:lang w:val="es-VE"/>
        </w:rPr>
        <w:t>pra</w:t>
      </w:r>
      <w:r w:rsidRPr="003100FE">
        <w:rPr>
          <w:rFonts w:ascii="Verdana" w:eastAsiaTheme="minorHAnsi" w:hAnsi="Verdana" w:cstheme="minorBidi"/>
          <w:spacing w:val="-12"/>
          <w:sz w:val="16"/>
          <w:szCs w:val="16"/>
          <w:lang w:val="es-VE"/>
        </w:rPr>
        <w:t>.</w:t>
      </w:r>
    </w:p>
  </w:footnote>
  <w:footnote w:id="184">
    <w:p w14:paraId="671713FB" w14:textId="5047CC32" w:rsidR="00837BB9" w:rsidRPr="003100FE"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6203B0">
        <w:rPr>
          <w:rFonts w:ascii="Verdana" w:hAnsi="Verdana"/>
          <w:i/>
          <w:spacing w:val="-12"/>
          <w:sz w:val="16"/>
          <w:szCs w:val="16"/>
        </w:rPr>
        <w:t xml:space="preserve">Cfr. </w:t>
      </w:r>
      <w:r w:rsidRPr="00C7142E">
        <w:rPr>
          <w:rFonts w:ascii="Verdana" w:eastAsiaTheme="minorHAnsi" w:hAnsi="Verdana" w:cstheme="minorBidi"/>
          <w:spacing w:val="-12"/>
          <w:sz w:val="16"/>
          <w:szCs w:val="16"/>
          <w:lang w:val="es-VE"/>
        </w:rPr>
        <w:t>Artículo 3 de la Carta Democrática Interamericana</w:t>
      </w:r>
      <w:r w:rsidRPr="0069409D">
        <w:rPr>
          <w:rFonts w:ascii="Verdana" w:eastAsiaTheme="minorHAnsi" w:hAnsi="Verdana" w:cstheme="minorBidi"/>
          <w:spacing w:val="-12"/>
          <w:sz w:val="16"/>
          <w:szCs w:val="16"/>
          <w:lang w:val="es-VE"/>
        </w:rPr>
        <w:t xml:space="preserve">, </w:t>
      </w:r>
      <w:r w:rsidRPr="0069409D">
        <w:rPr>
          <w:rFonts w:ascii="Verdana" w:eastAsiaTheme="minorHAnsi" w:hAnsi="Verdana" w:cstheme="minorBidi"/>
          <w:i/>
          <w:spacing w:val="-12"/>
          <w:sz w:val="16"/>
          <w:szCs w:val="16"/>
          <w:lang w:val="es-VE"/>
        </w:rPr>
        <w:t>supra</w:t>
      </w:r>
      <w:r w:rsidRPr="006C24C0">
        <w:rPr>
          <w:rFonts w:ascii="Verdana" w:eastAsiaTheme="minorHAnsi" w:hAnsi="Verdana" w:cstheme="minorBidi"/>
          <w:spacing w:val="-12"/>
          <w:sz w:val="16"/>
          <w:szCs w:val="16"/>
          <w:lang w:val="es-VE"/>
        </w:rPr>
        <w:t>.</w:t>
      </w:r>
    </w:p>
  </w:footnote>
  <w:footnote w:id="185">
    <w:p w14:paraId="245C7962" w14:textId="6D716C22" w:rsidR="00837BB9" w:rsidRPr="0003211A"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203B0">
        <w:rPr>
          <w:rFonts w:ascii="Verdana" w:hAnsi="Verdana"/>
          <w:i/>
          <w:spacing w:val="-12"/>
          <w:sz w:val="16"/>
          <w:szCs w:val="16"/>
        </w:rPr>
        <w:t xml:space="preserve">Cfr. </w:t>
      </w:r>
      <w:r w:rsidRPr="0069409D">
        <w:rPr>
          <w:rFonts w:ascii="Verdana" w:eastAsiaTheme="minorHAnsi" w:hAnsi="Verdana" w:cstheme="minorBidi"/>
          <w:spacing w:val="-12"/>
          <w:sz w:val="16"/>
          <w:szCs w:val="16"/>
          <w:lang w:val="es-VE"/>
        </w:rPr>
        <w:t xml:space="preserve">Artículo 6 de la Carta Democrática Interamericana, </w:t>
      </w:r>
      <w:r w:rsidRPr="006C24C0">
        <w:rPr>
          <w:rFonts w:ascii="Verdana" w:eastAsiaTheme="minorHAnsi" w:hAnsi="Verdana" w:cstheme="minorBidi"/>
          <w:i/>
          <w:spacing w:val="-12"/>
          <w:sz w:val="16"/>
          <w:szCs w:val="16"/>
          <w:lang w:val="es-VE"/>
        </w:rPr>
        <w:t>supra</w:t>
      </w:r>
      <w:r w:rsidRPr="003100FE">
        <w:rPr>
          <w:rFonts w:ascii="Verdana" w:eastAsiaTheme="minorHAnsi" w:hAnsi="Verdana" w:cstheme="minorBidi"/>
          <w:spacing w:val="-12"/>
          <w:sz w:val="16"/>
          <w:szCs w:val="16"/>
          <w:lang w:val="es-VE"/>
        </w:rPr>
        <w:t>.</w:t>
      </w:r>
    </w:p>
  </w:footnote>
  <w:footnote w:id="186">
    <w:p w14:paraId="0AA972C1" w14:textId="334E499E" w:rsidR="00837BB9" w:rsidRPr="0003211A"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CR"/>
        </w:rPr>
        <w:tab/>
      </w:r>
      <w:r w:rsidRPr="006203B0">
        <w:rPr>
          <w:rFonts w:ascii="Verdana" w:hAnsi="Verdana"/>
          <w:i/>
          <w:spacing w:val="-12"/>
          <w:sz w:val="16"/>
          <w:szCs w:val="16"/>
        </w:rPr>
        <w:t xml:space="preserve">Cfr. </w:t>
      </w:r>
      <w:r w:rsidRPr="0069409D">
        <w:rPr>
          <w:rFonts w:ascii="Verdana" w:eastAsiaTheme="minorHAnsi" w:hAnsi="Verdana" w:cstheme="minorBidi"/>
          <w:spacing w:val="-12"/>
          <w:sz w:val="16"/>
          <w:szCs w:val="16"/>
          <w:lang w:val="es-VE"/>
        </w:rPr>
        <w:t xml:space="preserve">Artículo 9 de la Carta Democrática Interamericana, </w:t>
      </w:r>
      <w:r w:rsidRPr="006C24C0">
        <w:rPr>
          <w:rFonts w:ascii="Verdana" w:eastAsiaTheme="minorHAnsi" w:hAnsi="Verdana" w:cstheme="minorBidi"/>
          <w:i/>
          <w:spacing w:val="-12"/>
          <w:sz w:val="16"/>
          <w:szCs w:val="16"/>
          <w:lang w:val="es-VE"/>
        </w:rPr>
        <w:t>supra</w:t>
      </w:r>
      <w:r w:rsidRPr="003100FE">
        <w:rPr>
          <w:rFonts w:ascii="Verdana" w:eastAsiaTheme="minorHAnsi" w:hAnsi="Verdana" w:cstheme="minorBidi"/>
          <w:spacing w:val="-12"/>
          <w:sz w:val="16"/>
          <w:szCs w:val="16"/>
          <w:lang w:val="es-VE"/>
        </w:rPr>
        <w:t>.</w:t>
      </w:r>
    </w:p>
  </w:footnote>
  <w:footnote w:id="187">
    <w:p w14:paraId="47064BDD" w14:textId="266B552B" w:rsidR="00837BB9" w:rsidRPr="006203B0"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CR"/>
        </w:rPr>
        <w:tab/>
      </w:r>
      <w:r w:rsidRPr="006203B0">
        <w:rPr>
          <w:rFonts w:ascii="Verdana" w:hAnsi="Verdana"/>
          <w:i/>
          <w:spacing w:val="-12"/>
          <w:sz w:val="16"/>
          <w:szCs w:val="16"/>
        </w:rPr>
        <w:t xml:space="preserve">Cfr. </w:t>
      </w:r>
      <w:r w:rsidRPr="00FC1D38">
        <w:rPr>
          <w:rFonts w:ascii="Verdana" w:hAnsi="Verdana"/>
          <w:i/>
          <w:spacing w:val="-12"/>
          <w:sz w:val="16"/>
          <w:szCs w:val="16"/>
          <w:lang w:val="es-VE"/>
        </w:rPr>
        <w:t xml:space="preserve">Caso </w:t>
      </w:r>
      <w:proofErr w:type="spellStart"/>
      <w:r w:rsidRPr="00FC1D38">
        <w:rPr>
          <w:rFonts w:ascii="Verdana" w:hAnsi="Verdana"/>
          <w:i/>
          <w:spacing w:val="-12"/>
          <w:sz w:val="16"/>
          <w:szCs w:val="16"/>
          <w:lang w:val="es-VE"/>
        </w:rPr>
        <w:t>Granier</w:t>
      </w:r>
      <w:proofErr w:type="spellEnd"/>
      <w:r w:rsidRPr="00FC1D38">
        <w:rPr>
          <w:rFonts w:ascii="Verdana" w:hAnsi="Verdana"/>
          <w:i/>
          <w:spacing w:val="-12"/>
          <w:sz w:val="16"/>
          <w:szCs w:val="16"/>
          <w:lang w:val="es-VE"/>
        </w:rPr>
        <w:t xml:space="preserve"> y otros (Radio Caracas Televisión) Vs. Venezuela, supra</w:t>
      </w:r>
      <w:r w:rsidRPr="0039667B">
        <w:rPr>
          <w:rFonts w:ascii="Verdana" w:hAnsi="Verdana"/>
          <w:spacing w:val="-12"/>
          <w:sz w:val="16"/>
          <w:szCs w:val="16"/>
          <w:lang w:val="es-VE"/>
        </w:rPr>
        <w:t xml:space="preserve">, </w:t>
      </w:r>
      <w:proofErr w:type="spellStart"/>
      <w:r w:rsidRPr="0039667B">
        <w:rPr>
          <w:rFonts w:ascii="Verdana" w:hAnsi="Verdana"/>
          <w:spacing w:val="-12"/>
          <w:sz w:val="16"/>
          <w:szCs w:val="16"/>
          <w:lang w:val="es-VE"/>
        </w:rPr>
        <w:t>párrs</w:t>
      </w:r>
      <w:proofErr w:type="spellEnd"/>
      <w:r w:rsidRPr="0039667B">
        <w:rPr>
          <w:rFonts w:ascii="Verdana" w:hAnsi="Verdana"/>
          <w:spacing w:val="-12"/>
          <w:sz w:val="16"/>
          <w:szCs w:val="16"/>
          <w:lang w:val="es-VE"/>
        </w:rPr>
        <w:t>. 227 y 228</w:t>
      </w:r>
      <w:r w:rsidRPr="000536CF">
        <w:rPr>
          <w:rFonts w:ascii="Verdana" w:hAnsi="Verdana"/>
          <w:i/>
          <w:spacing w:val="-12"/>
          <w:sz w:val="16"/>
          <w:szCs w:val="16"/>
          <w:lang w:val="es-VE"/>
        </w:rPr>
        <w:t xml:space="preserve">.  </w:t>
      </w:r>
      <w:r w:rsidRPr="000536CF">
        <w:rPr>
          <w:rFonts w:ascii="Verdana" w:hAnsi="Verdana"/>
          <w:spacing w:val="-12"/>
          <w:sz w:val="16"/>
          <w:szCs w:val="16"/>
          <w:lang w:val="es-VE"/>
        </w:rPr>
        <w:t>Ver también,</w:t>
      </w:r>
      <w:r w:rsidRPr="000536CF">
        <w:rPr>
          <w:rFonts w:ascii="Verdana" w:hAnsi="Verdana"/>
          <w:i/>
          <w:spacing w:val="-12"/>
          <w:sz w:val="16"/>
          <w:szCs w:val="16"/>
          <w:lang w:val="es-VE"/>
        </w:rPr>
        <w:t xml:space="preserve"> mutatis </w:t>
      </w:r>
      <w:proofErr w:type="spellStart"/>
      <w:r w:rsidRPr="000536CF">
        <w:rPr>
          <w:rFonts w:ascii="Verdana" w:hAnsi="Verdana"/>
          <w:i/>
          <w:spacing w:val="-12"/>
          <w:sz w:val="16"/>
          <w:szCs w:val="16"/>
          <w:lang w:val="es-VE"/>
        </w:rPr>
        <w:t>mutandi</w:t>
      </w:r>
      <w:proofErr w:type="spellEnd"/>
      <w:r w:rsidRPr="000536CF">
        <w:rPr>
          <w:rFonts w:ascii="Verdana" w:hAnsi="Verdana"/>
          <w:i/>
          <w:spacing w:val="-12"/>
          <w:sz w:val="16"/>
          <w:szCs w:val="16"/>
          <w:lang w:val="es-VE"/>
        </w:rPr>
        <w:t xml:space="preserve">, Caso </w:t>
      </w:r>
      <w:proofErr w:type="spellStart"/>
      <w:r w:rsidRPr="000536CF">
        <w:rPr>
          <w:rFonts w:ascii="Verdana" w:hAnsi="Verdana"/>
          <w:i/>
          <w:spacing w:val="-12"/>
          <w:sz w:val="16"/>
          <w:szCs w:val="16"/>
          <w:lang w:val="es-VE"/>
        </w:rPr>
        <w:t>Atala</w:t>
      </w:r>
      <w:proofErr w:type="spellEnd"/>
      <w:r w:rsidRPr="000536CF">
        <w:rPr>
          <w:rFonts w:ascii="Verdana" w:hAnsi="Verdana"/>
          <w:i/>
          <w:spacing w:val="-12"/>
          <w:sz w:val="16"/>
          <w:szCs w:val="16"/>
          <w:lang w:val="es-VE"/>
        </w:rPr>
        <w:t xml:space="preserve"> </w:t>
      </w:r>
      <w:proofErr w:type="spellStart"/>
      <w:r w:rsidRPr="000536CF">
        <w:rPr>
          <w:rFonts w:ascii="Verdana" w:hAnsi="Verdana"/>
          <w:i/>
          <w:spacing w:val="-12"/>
          <w:sz w:val="16"/>
          <w:szCs w:val="16"/>
          <w:lang w:val="es-VE"/>
        </w:rPr>
        <w:t>Riffo</w:t>
      </w:r>
      <w:proofErr w:type="spellEnd"/>
      <w:r w:rsidRPr="000536CF">
        <w:rPr>
          <w:rFonts w:ascii="Verdana" w:hAnsi="Verdana"/>
          <w:i/>
          <w:spacing w:val="-12"/>
          <w:sz w:val="16"/>
          <w:szCs w:val="16"/>
          <w:lang w:val="es-VE"/>
        </w:rPr>
        <w:t xml:space="preserve"> y Niñas Vs. Chile</w:t>
      </w:r>
      <w:r w:rsidRPr="007C51D0">
        <w:rPr>
          <w:rFonts w:ascii="Verdana" w:hAnsi="Verdana"/>
          <w:bCs/>
          <w:i/>
          <w:spacing w:val="-12"/>
          <w:sz w:val="16"/>
          <w:szCs w:val="16"/>
          <w:lang w:val="es-CR"/>
        </w:rPr>
        <w:t xml:space="preserve">. Fondo, Reparaciones y Costas. </w:t>
      </w:r>
      <w:r w:rsidRPr="007C51D0">
        <w:rPr>
          <w:rFonts w:ascii="Verdana" w:hAnsi="Verdana"/>
          <w:bCs/>
          <w:spacing w:val="-12"/>
          <w:sz w:val="16"/>
          <w:szCs w:val="16"/>
          <w:lang w:val="es-CR"/>
        </w:rPr>
        <w:t>Sentencia de 24 de febrero de 2012. Serie C No. 239</w:t>
      </w:r>
      <w:r w:rsidRPr="00CF3AED">
        <w:rPr>
          <w:rFonts w:ascii="Verdana" w:hAnsi="Verdana"/>
          <w:spacing w:val="-12"/>
          <w:sz w:val="16"/>
          <w:szCs w:val="16"/>
          <w:lang w:val="es-VE"/>
        </w:rPr>
        <w:t xml:space="preserve">, </w:t>
      </w:r>
      <w:r w:rsidRPr="00CF3AED">
        <w:rPr>
          <w:rFonts w:ascii="Verdana" w:hAnsi="Verdana"/>
          <w:bCs/>
          <w:spacing w:val="-12"/>
          <w:sz w:val="16"/>
          <w:szCs w:val="16"/>
          <w:lang w:val="es-VE"/>
        </w:rPr>
        <w:t>párr. 124.</w:t>
      </w:r>
    </w:p>
  </w:footnote>
  <w:footnote w:id="188">
    <w:p w14:paraId="17D18A24" w14:textId="5C05087D" w:rsidR="00837BB9" w:rsidRPr="000536CF" w:rsidRDefault="00837BB9" w:rsidP="008349B1">
      <w:pPr>
        <w:pStyle w:val="FootnoteText"/>
        <w:tabs>
          <w:tab w:val="left" w:pos="567"/>
        </w:tabs>
        <w:spacing w:before="120" w:after="120"/>
        <w:jc w:val="both"/>
        <w:rPr>
          <w:rFonts w:ascii="Verdana" w:hAnsi="Verdana"/>
          <w:spacing w:val="-12"/>
          <w:sz w:val="16"/>
          <w:szCs w:val="16"/>
        </w:rPr>
      </w:pPr>
      <w:r w:rsidRPr="00CF3AED">
        <w:rPr>
          <w:rStyle w:val="FootnoteReference"/>
          <w:rFonts w:ascii="Verdana" w:eastAsia="Calibri"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rPr>
        <w:t>C</w:t>
      </w:r>
      <w:r>
        <w:rPr>
          <w:rFonts w:ascii="Verdana" w:hAnsi="Verdana"/>
          <w:i/>
          <w:spacing w:val="-12"/>
          <w:sz w:val="16"/>
          <w:szCs w:val="16"/>
        </w:rPr>
        <w:t>fr. C</w:t>
      </w:r>
      <w:r w:rsidRPr="00CF3AED">
        <w:rPr>
          <w:rFonts w:ascii="Verdana" w:hAnsi="Verdana"/>
          <w:i/>
          <w:spacing w:val="-12"/>
          <w:sz w:val="16"/>
          <w:szCs w:val="16"/>
        </w:rPr>
        <w:t>aso de la Corte Suprema de Justicia (Quintana Coello y otros) Vs. Ecuador. Excepción Preliminar, Fondo, Reparaciones y Costas.</w:t>
      </w:r>
      <w:r w:rsidRPr="006203B0">
        <w:rPr>
          <w:rFonts w:ascii="Verdana" w:hAnsi="Verdana"/>
          <w:spacing w:val="-12"/>
          <w:sz w:val="16"/>
          <w:szCs w:val="16"/>
        </w:rPr>
        <w:t xml:space="preserve"> Sentencia de 23 de agosto de 2013. Serie C No. 266, párr. 173, y </w:t>
      </w:r>
      <w:r w:rsidRPr="00FC1D38">
        <w:rPr>
          <w:rFonts w:ascii="Verdana" w:hAnsi="Verdana"/>
          <w:i/>
          <w:spacing w:val="-12"/>
          <w:sz w:val="16"/>
          <w:szCs w:val="16"/>
        </w:rPr>
        <w:t>Caso del Tribunal Constitucional (Camba Campos y otros) Vs</w:t>
      </w:r>
      <w:r w:rsidRPr="000536CF">
        <w:rPr>
          <w:rFonts w:ascii="Verdana" w:hAnsi="Verdana"/>
          <w:i/>
          <w:spacing w:val="-12"/>
          <w:sz w:val="16"/>
          <w:szCs w:val="16"/>
        </w:rPr>
        <w:t>. Ecuador. Excepciones Preliminares, Fondo, Reparaciones y Costas.</w:t>
      </w:r>
      <w:r w:rsidRPr="000536CF">
        <w:rPr>
          <w:rFonts w:ascii="Verdana" w:hAnsi="Verdana"/>
          <w:spacing w:val="-12"/>
          <w:sz w:val="16"/>
          <w:szCs w:val="16"/>
        </w:rPr>
        <w:t xml:space="preserve"> Sentencia de 28 de agosto de 2013. Serie C No. 268, párr. 210.</w:t>
      </w:r>
    </w:p>
  </w:footnote>
  <w:footnote w:id="189">
    <w:p w14:paraId="5CAD3814" w14:textId="2CBEA280" w:rsidR="00837BB9" w:rsidRPr="00CF3AED" w:rsidRDefault="00837BB9" w:rsidP="008349B1">
      <w:pPr>
        <w:tabs>
          <w:tab w:val="left" w:pos="567"/>
        </w:tabs>
        <w:spacing w:before="120" w:after="120" w:line="240" w:lineRule="auto"/>
        <w:jc w:val="both"/>
        <w:rPr>
          <w:rFonts w:ascii="Verdana" w:hAnsi="Verdana" w:cs="Arial"/>
          <w:spacing w:val="-12"/>
          <w:sz w:val="16"/>
          <w:szCs w:val="16"/>
          <w:lang w:val="es-ES"/>
        </w:rPr>
      </w:pPr>
      <w:r w:rsidRPr="00CF3AED">
        <w:rPr>
          <w:rStyle w:val="FootnoteReference"/>
          <w:rFonts w:ascii="Verdana" w:eastAsia="ヒラギノ角ゴ Pro W3"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rPr>
        <w:t>C</w:t>
      </w:r>
      <w:r>
        <w:rPr>
          <w:rFonts w:ascii="Verdana" w:hAnsi="Verdana"/>
          <w:i/>
          <w:spacing w:val="-12"/>
          <w:sz w:val="16"/>
          <w:szCs w:val="16"/>
        </w:rPr>
        <w:t xml:space="preserve">fr. </w:t>
      </w:r>
      <w:r w:rsidRPr="00CF3AED">
        <w:rPr>
          <w:rFonts w:ascii="Verdana" w:hAnsi="Verdana"/>
          <w:i/>
          <w:spacing w:val="-12"/>
          <w:sz w:val="16"/>
          <w:szCs w:val="16"/>
        </w:rPr>
        <w:t xml:space="preserve">Caso de la Corte Suprema de Justicia (Quintana Coello y otros) Vs. Ecuador, supra, </w:t>
      </w:r>
      <w:r w:rsidRPr="006203B0">
        <w:rPr>
          <w:rFonts w:ascii="Verdana" w:hAnsi="Verdana"/>
          <w:spacing w:val="-12"/>
          <w:sz w:val="16"/>
          <w:szCs w:val="16"/>
        </w:rPr>
        <w:t>párr. 173</w:t>
      </w:r>
      <w:r w:rsidRPr="00FC1D38">
        <w:rPr>
          <w:rFonts w:ascii="Verdana" w:hAnsi="Verdana"/>
          <w:spacing w:val="-12"/>
          <w:sz w:val="16"/>
          <w:szCs w:val="16"/>
        </w:rPr>
        <w:t>. Al respecto, el Tribunal Euro</w:t>
      </w:r>
      <w:r w:rsidRPr="000536CF">
        <w:rPr>
          <w:rFonts w:ascii="Verdana" w:hAnsi="Verdana"/>
          <w:spacing w:val="-12"/>
          <w:sz w:val="16"/>
          <w:szCs w:val="16"/>
        </w:rPr>
        <w:t xml:space="preserve">peo ha tenido en cuenta el propósito o motivación que las autoridades estatales mostraron a la hora de ejercer sus funciones, para determinar si existió o no una violación al Convenio Europeo de Derechos Humanos. </w:t>
      </w:r>
      <w:r>
        <w:rPr>
          <w:rFonts w:ascii="Verdana" w:hAnsi="Verdana"/>
          <w:spacing w:val="-12"/>
          <w:sz w:val="16"/>
          <w:szCs w:val="16"/>
        </w:rPr>
        <w:t xml:space="preserve">Ver </w:t>
      </w:r>
      <w:r w:rsidRPr="0054215F">
        <w:rPr>
          <w:rFonts w:ascii="Verdana" w:hAnsi="Verdana"/>
          <w:spacing w:val="-12"/>
          <w:sz w:val="16"/>
          <w:szCs w:val="16"/>
          <w:lang w:val="es-CO"/>
        </w:rPr>
        <w:t xml:space="preserve">TEDH, </w:t>
      </w:r>
      <w:r w:rsidRPr="00D758B5">
        <w:rPr>
          <w:rFonts w:ascii="Verdana" w:hAnsi="Verdana" w:cs="Arial"/>
          <w:i/>
          <w:spacing w:val="-12"/>
          <w:sz w:val="16"/>
          <w:szCs w:val="16"/>
          <w:lang w:val="es-ES"/>
        </w:rPr>
        <w:t xml:space="preserve">Caso </w:t>
      </w:r>
      <w:proofErr w:type="spellStart"/>
      <w:r w:rsidRPr="00D758B5">
        <w:rPr>
          <w:rFonts w:ascii="Verdana" w:hAnsi="Verdana" w:cs="Arial"/>
          <w:i/>
          <w:spacing w:val="-12"/>
          <w:sz w:val="16"/>
          <w:szCs w:val="16"/>
          <w:lang w:val="es-ES"/>
        </w:rPr>
        <w:t>Gusinskiy</w:t>
      </w:r>
      <w:proofErr w:type="spellEnd"/>
      <w:r w:rsidRPr="00D758B5">
        <w:rPr>
          <w:rFonts w:ascii="Verdana" w:hAnsi="Verdana" w:cs="Arial"/>
          <w:i/>
          <w:spacing w:val="-12"/>
          <w:sz w:val="16"/>
          <w:szCs w:val="16"/>
          <w:lang w:val="es-ES"/>
        </w:rPr>
        <w:t xml:space="preserve"> Vs. Rus</w:t>
      </w:r>
      <w:r w:rsidRPr="00EC1725">
        <w:rPr>
          <w:rFonts w:ascii="Verdana" w:hAnsi="Verdana" w:cs="Arial"/>
          <w:i/>
          <w:spacing w:val="-12"/>
          <w:sz w:val="16"/>
          <w:szCs w:val="16"/>
          <w:lang w:val="es-ES"/>
        </w:rPr>
        <w:t>ia</w:t>
      </w:r>
      <w:r w:rsidRPr="00EC1725">
        <w:rPr>
          <w:rFonts w:ascii="Verdana" w:hAnsi="Verdana" w:cs="Arial"/>
          <w:spacing w:val="-12"/>
          <w:sz w:val="16"/>
          <w:szCs w:val="16"/>
          <w:lang w:val="es-ES"/>
        </w:rPr>
        <w:t xml:space="preserve">, (No. 70276/01), Sentencia de 19 de mayo de 2004, </w:t>
      </w:r>
      <w:proofErr w:type="spellStart"/>
      <w:r w:rsidRPr="00EC1725">
        <w:rPr>
          <w:rFonts w:ascii="Verdana" w:hAnsi="Verdana" w:cs="Arial"/>
          <w:spacing w:val="-12"/>
          <w:sz w:val="16"/>
          <w:szCs w:val="16"/>
          <w:lang w:val="es-ES"/>
        </w:rPr>
        <w:t>párrs</w:t>
      </w:r>
      <w:proofErr w:type="spellEnd"/>
      <w:r w:rsidRPr="00EC1725">
        <w:rPr>
          <w:rFonts w:ascii="Verdana" w:hAnsi="Verdana" w:cs="Arial"/>
          <w:spacing w:val="-12"/>
          <w:sz w:val="16"/>
          <w:szCs w:val="16"/>
          <w:lang w:val="es-ES"/>
        </w:rPr>
        <w:t xml:space="preserve">. </w:t>
      </w:r>
      <w:r w:rsidRPr="00CF3AED">
        <w:rPr>
          <w:rFonts w:ascii="Verdana" w:hAnsi="Verdana" w:cs="Arial"/>
          <w:spacing w:val="-12"/>
          <w:sz w:val="16"/>
          <w:szCs w:val="16"/>
        </w:rPr>
        <w:t xml:space="preserve">71 a 78; Caso </w:t>
      </w:r>
      <w:proofErr w:type="spellStart"/>
      <w:r w:rsidRPr="00CF3AED">
        <w:rPr>
          <w:rFonts w:ascii="Verdana" w:hAnsi="Verdana" w:cs="Arial"/>
          <w:i/>
          <w:iCs/>
          <w:spacing w:val="-12"/>
          <w:sz w:val="16"/>
          <w:szCs w:val="16"/>
        </w:rPr>
        <w:t>Cebotari</w:t>
      </w:r>
      <w:proofErr w:type="spellEnd"/>
      <w:r w:rsidRPr="00CF3AED">
        <w:rPr>
          <w:rFonts w:ascii="Verdana" w:hAnsi="Verdana" w:cs="Arial"/>
          <w:i/>
          <w:iCs/>
          <w:spacing w:val="-12"/>
          <w:sz w:val="16"/>
          <w:szCs w:val="16"/>
        </w:rPr>
        <w:t xml:space="preserve"> Vs. </w:t>
      </w:r>
      <w:r w:rsidRPr="00CF3AED">
        <w:rPr>
          <w:rFonts w:ascii="Verdana" w:hAnsi="Verdana" w:cs="Arial"/>
          <w:i/>
          <w:iCs/>
          <w:spacing w:val="-12"/>
          <w:sz w:val="16"/>
          <w:szCs w:val="16"/>
          <w:lang w:val="es-ES"/>
        </w:rPr>
        <w:t>Moldavia</w:t>
      </w:r>
      <w:r w:rsidRPr="00CF3AED">
        <w:rPr>
          <w:rFonts w:ascii="Verdana" w:hAnsi="Verdana" w:cs="Arial"/>
          <w:iCs/>
          <w:spacing w:val="-12"/>
          <w:sz w:val="16"/>
          <w:szCs w:val="16"/>
          <w:lang w:val="es-ES"/>
        </w:rPr>
        <w:t xml:space="preserve">, </w:t>
      </w:r>
      <w:r w:rsidRPr="00CF3AED">
        <w:rPr>
          <w:rFonts w:ascii="Verdana" w:hAnsi="Verdana" w:cs="Arial"/>
          <w:spacing w:val="-12"/>
          <w:sz w:val="16"/>
          <w:szCs w:val="16"/>
          <w:lang w:val="es-ES"/>
        </w:rPr>
        <w:t>(No.</w:t>
      </w:r>
      <w:r w:rsidRPr="00CF3AED">
        <w:rPr>
          <w:rFonts w:ascii="Verdana" w:hAnsi="Verdana"/>
          <w:spacing w:val="-12"/>
          <w:sz w:val="16"/>
          <w:szCs w:val="16"/>
          <w:lang w:val="es-ES"/>
        </w:rPr>
        <w:t xml:space="preserve"> </w:t>
      </w:r>
      <w:r w:rsidRPr="00CF3AED">
        <w:rPr>
          <w:rFonts w:ascii="Verdana" w:hAnsi="Verdana" w:cs="Arial"/>
          <w:spacing w:val="-12"/>
          <w:sz w:val="16"/>
          <w:szCs w:val="16"/>
          <w:lang w:val="es-ES"/>
        </w:rPr>
        <w:t xml:space="preserve">35615/06), </w:t>
      </w:r>
      <w:r w:rsidRPr="00CF3AED">
        <w:rPr>
          <w:rFonts w:ascii="Verdana" w:hAnsi="Verdana" w:cs="Arial"/>
          <w:iCs/>
          <w:spacing w:val="-12"/>
          <w:sz w:val="16"/>
          <w:szCs w:val="16"/>
          <w:lang w:val="es-ES"/>
        </w:rPr>
        <w:t xml:space="preserve">Sentencia de 13 de noviembre de 2007, </w:t>
      </w:r>
      <w:proofErr w:type="spellStart"/>
      <w:r w:rsidRPr="00CF3AED">
        <w:rPr>
          <w:rFonts w:ascii="Verdana" w:hAnsi="Verdana" w:cs="Arial"/>
          <w:spacing w:val="-12"/>
          <w:sz w:val="16"/>
          <w:szCs w:val="16"/>
          <w:lang w:val="es-ES"/>
        </w:rPr>
        <w:t>párrs</w:t>
      </w:r>
      <w:proofErr w:type="spellEnd"/>
      <w:r w:rsidRPr="00CF3AED">
        <w:rPr>
          <w:rFonts w:ascii="Verdana" w:hAnsi="Verdana" w:cs="Arial"/>
          <w:spacing w:val="-12"/>
          <w:sz w:val="16"/>
          <w:szCs w:val="16"/>
          <w:lang w:val="es-ES"/>
        </w:rPr>
        <w:t xml:space="preserve">. </w:t>
      </w:r>
      <w:r w:rsidRPr="00CF3AED">
        <w:rPr>
          <w:rFonts w:ascii="Verdana" w:hAnsi="Verdana" w:cs="Arial"/>
          <w:iCs/>
          <w:spacing w:val="-12"/>
          <w:sz w:val="16"/>
          <w:szCs w:val="16"/>
          <w:lang w:val="es-ES"/>
        </w:rPr>
        <w:t xml:space="preserve">46 a 53, </w:t>
      </w:r>
      <w:r w:rsidRPr="00CF3AED">
        <w:rPr>
          <w:rFonts w:ascii="Verdana" w:hAnsi="Verdana" w:cs="Arial"/>
          <w:spacing w:val="-12"/>
          <w:sz w:val="16"/>
          <w:szCs w:val="16"/>
          <w:lang w:val="es-ES"/>
        </w:rPr>
        <w:t xml:space="preserve">y </w:t>
      </w:r>
      <w:r w:rsidRPr="00CF3AED">
        <w:rPr>
          <w:rFonts w:ascii="Verdana" w:hAnsi="Verdana" w:cs="Arial"/>
          <w:i/>
          <w:spacing w:val="-12"/>
          <w:sz w:val="16"/>
          <w:szCs w:val="16"/>
          <w:lang w:val="es-ES"/>
        </w:rPr>
        <w:t xml:space="preserve">Caso </w:t>
      </w:r>
      <w:proofErr w:type="spellStart"/>
      <w:r w:rsidRPr="00CF3AED">
        <w:rPr>
          <w:rFonts w:ascii="Verdana" w:hAnsi="Verdana" w:cs="Arial"/>
          <w:i/>
          <w:spacing w:val="-12"/>
          <w:sz w:val="16"/>
          <w:szCs w:val="16"/>
          <w:lang w:val="es-ES"/>
        </w:rPr>
        <w:t>Lutsenko</w:t>
      </w:r>
      <w:proofErr w:type="spellEnd"/>
      <w:r w:rsidRPr="00CF3AED">
        <w:rPr>
          <w:rFonts w:ascii="Verdana" w:hAnsi="Verdana" w:cs="Arial"/>
          <w:i/>
          <w:spacing w:val="-12"/>
          <w:sz w:val="16"/>
          <w:szCs w:val="16"/>
          <w:lang w:val="es-ES"/>
        </w:rPr>
        <w:t xml:space="preserve"> Vs. Ucrania</w:t>
      </w:r>
      <w:r w:rsidRPr="00CF3AED">
        <w:rPr>
          <w:rFonts w:ascii="Verdana" w:hAnsi="Verdana" w:cs="Arial"/>
          <w:spacing w:val="-12"/>
          <w:sz w:val="16"/>
          <w:szCs w:val="16"/>
          <w:lang w:val="es-ES"/>
        </w:rPr>
        <w:t>, (No.</w:t>
      </w:r>
      <w:r w:rsidRPr="00CF3AED">
        <w:rPr>
          <w:rFonts w:ascii="Verdana" w:hAnsi="Verdana"/>
          <w:spacing w:val="-12"/>
          <w:sz w:val="16"/>
          <w:szCs w:val="16"/>
          <w:lang w:val="es-ES"/>
        </w:rPr>
        <w:t xml:space="preserve"> </w:t>
      </w:r>
      <w:r w:rsidRPr="00CF3AED">
        <w:rPr>
          <w:rFonts w:ascii="Verdana" w:hAnsi="Verdana" w:cs="Arial"/>
          <w:spacing w:val="-12"/>
          <w:sz w:val="16"/>
          <w:szCs w:val="16"/>
          <w:lang w:val="es-ES"/>
        </w:rPr>
        <w:t>6492/11),</w:t>
      </w:r>
      <w:r w:rsidRPr="00CF3AED">
        <w:rPr>
          <w:rFonts w:ascii="Verdana" w:hAnsi="Verdana" w:cs="Arial"/>
          <w:i/>
          <w:spacing w:val="-12"/>
          <w:sz w:val="16"/>
          <w:szCs w:val="16"/>
          <w:lang w:val="es-ES"/>
        </w:rPr>
        <w:t xml:space="preserve"> </w:t>
      </w:r>
      <w:r w:rsidRPr="00CF3AED">
        <w:rPr>
          <w:rFonts w:ascii="Verdana" w:hAnsi="Verdana" w:cs="Arial"/>
          <w:spacing w:val="-12"/>
          <w:sz w:val="16"/>
          <w:szCs w:val="16"/>
          <w:lang w:val="es-ES"/>
        </w:rPr>
        <w:t xml:space="preserve">Sentencia de 3 de julio de 2012, </w:t>
      </w:r>
      <w:proofErr w:type="spellStart"/>
      <w:r w:rsidRPr="00CF3AED">
        <w:rPr>
          <w:rFonts w:ascii="Verdana" w:hAnsi="Verdana" w:cs="Arial"/>
          <w:spacing w:val="-12"/>
          <w:sz w:val="16"/>
          <w:szCs w:val="16"/>
          <w:lang w:val="es-ES"/>
        </w:rPr>
        <w:t>párrs</w:t>
      </w:r>
      <w:proofErr w:type="spellEnd"/>
      <w:r w:rsidRPr="00CF3AED">
        <w:rPr>
          <w:rFonts w:ascii="Verdana" w:hAnsi="Verdana" w:cs="Arial"/>
          <w:spacing w:val="-12"/>
          <w:sz w:val="16"/>
          <w:szCs w:val="16"/>
          <w:lang w:val="es-ES"/>
        </w:rPr>
        <w:t>. 100 a 110.</w:t>
      </w:r>
    </w:p>
  </w:footnote>
  <w:footnote w:id="190">
    <w:p w14:paraId="4F098979" w14:textId="5B2AC6DC" w:rsidR="00837BB9" w:rsidRPr="007C51D0" w:rsidRDefault="00837BB9" w:rsidP="008349B1">
      <w:pPr>
        <w:pStyle w:val="FootnoteText"/>
        <w:jc w:val="both"/>
        <w:rPr>
          <w:rFonts w:ascii="Verdana" w:hAnsi="Verdana"/>
          <w:sz w:val="16"/>
          <w:szCs w:val="16"/>
          <w:lang w:val="es-CR"/>
        </w:rPr>
      </w:pPr>
      <w:r w:rsidRPr="00872581">
        <w:rPr>
          <w:rStyle w:val="FootnoteReference"/>
          <w:rFonts w:ascii="Verdana" w:eastAsia="Calibri" w:hAnsi="Verdana"/>
          <w:spacing w:val="-12"/>
          <w:sz w:val="16"/>
          <w:szCs w:val="16"/>
        </w:rPr>
        <w:footnoteRef/>
      </w:r>
      <w:r w:rsidRPr="007C51D0">
        <w:rPr>
          <w:rFonts w:ascii="Verdana" w:hAnsi="Verdana"/>
          <w:sz w:val="16"/>
          <w:szCs w:val="16"/>
        </w:rPr>
        <w:t xml:space="preserve"> </w:t>
      </w:r>
      <w:r w:rsidRPr="007C51D0">
        <w:rPr>
          <w:rFonts w:ascii="Verdana" w:hAnsi="Verdana"/>
          <w:sz w:val="16"/>
          <w:szCs w:val="16"/>
        </w:rPr>
        <w:tab/>
      </w:r>
      <w:r w:rsidRPr="00CF3AED">
        <w:rPr>
          <w:rFonts w:ascii="Verdana" w:hAnsi="Verdana"/>
          <w:i/>
          <w:spacing w:val="-12"/>
          <w:sz w:val="16"/>
          <w:szCs w:val="16"/>
        </w:rPr>
        <w:t xml:space="preserve">Cfr. Caso </w:t>
      </w:r>
      <w:proofErr w:type="spellStart"/>
      <w:r w:rsidRPr="00CF3AED">
        <w:rPr>
          <w:rFonts w:ascii="Verdana" w:hAnsi="Verdana"/>
          <w:i/>
          <w:spacing w:val="-12"/>
          <w:sz w:val="16"/>
          <w:szCs w:val="16"/>
        </w:rPr>
        <w:t>Granier</w:t>
      </w:r>
      <w:proofErr w:type="spellEnd"/>
      <w:r w:rsidRPr="00CF3AED">
        <w:rPr>
          <w:rFonts w:ascii="Verdana" w:hAnsi="Verdana"/>
          <w:i/>
          <w:spacing w:val="-12"/>
          <w:sz w:val="16"/>
          <w:szCs w:val="16"/>
        </w:rPr>
        <w:t xml:space="preserve"> y otros (</w:t>
      </w:r>
      <w:r w:rsidRPr="006203B0">
        <w:rPr>
          <w:rFonts w:ascii="Verdana" w:eastAsiaTheme="minorHAnsi" w:hAnsi="Verdana" w:cs="Cambria"/>
          <w:spacing w:val="-12"/>
          <w:sz w:val="16"/>
          <w:szCs w:val="16"/>
          <w:lang w:val="es-CR"/>
        </w:rPr>
        <w:t>Radio Caracas Televisión</w:t>
      </w:r>
      <w:r w:rsidRPr="000536CF">
        <w:rPr>
          <w:rFonts w:ascii="Verdana" w:hAnsi="Verdana"/>
          <w:i/>
          <w:spacing w:val="-12"/>
          <w:sz w:val="16"/>
          <w:szCs w:val="16"/>
        </w:rPr>
        <w:t xml:space="preserve">) Vs. </w:t>
      </w:r>
      <w:r w:rsidRPr="001C16AC">
        <w:rPr>
          <w:rFonts w:ascii="Verdana" w:hAnsi="Verdana"/>
          <w:i/>
          <w:spacing w:val="-12"/>
          <w:sz w:val="16"/>
          <w:szCs w:val="16"/>
        </w:rPr>
        <w:t xml:space="preserve"> Venezuela, supra, </w:t>
      </w:r>
      <w:r w:rsidRPr="006001C8">
        <w:rPr>
          <w:rFonts w:ascii="Verdana" w:hAnsi="Verdana"/>
          <w:spacing w:val="-12"/>
          <w:sz w:val="16"/>
          <w:szCs w:val="16"/>
        </w:rPr>
        <w:t>párr. 189.</w:t>
      </w:r>
    </w:p>
  </w:footnote>
  <w:footnote w:id="191">
    <w:p w14:paraId="7C4D4F86" w14:textId="20585B4F" w:rsidR="00837BB9" w:rsidRPr="008B6122" w:rsidRDefault="00837BB9" w:rsidP="00C94CA1">
      <w:pPr>
        <w:pStyle w:val="FootnoteText"/>
        <w:spacing w:before="120" w:after="120"/>
        <w:jc w:val="both"/>
        <w:rPr>
          <w:rFonts w:ascii="Verdana" w:hAnsi="Verdana"/>
          <w:spacing w:val="-12"/>
          <w:sz w:val="16"/>
          <w:szCs w:val="16"/>
          <w:lang w:val="es-ES_tradnl"/>
        </w:rPr>
      </w:pPr>
      <w:r w:rsidRPr="00CF3AED">
        <w:rPr>
          <w:rStyle w:val="FootnoteReference"/>
          <w:rFonts w:ascii="Verdana" w:eastAsia="Calibri"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rPr>
        <w:t>C</w:t>
      </w:r>
      <w:r>
        <w:rPr>
          <w:rFonts w:ascii="Verdana" w:hAnsi="Verdana"/>
          <w:i/>
          <w:spacing w:val="-12"/>
          <w:sz w:val="16"/>
          <w:szCs w:val="16"/>
        </w:rPr>
        <w:t xml:space="preserve">fr. </w:t>
      </w:r>
      <w:r w:rsidRPr="00CF3AED">
        <w:rPr>
          <w:rFonts w:ascii="Verdana" w:hAnsi="Verdana"/>
          <w:i/>
          <w:spacing w:val="-12"/>
          <w:sz w:val="16"/>
          <w:szCs w:val="16"/>
        </w:rPr>
        <w:t>Caso de la Corte Suprema de Justicia (Quintana Coello y otros</w:t>
      </w:r>
      <w:r w:rsidRPr="006203B0">
        <w:rPr>
          <w:rFonts w:ascii="Verdana" w:hAnsi="Verdana"/>
          <w:i/>
          <w:spacing w:val="-12"/>
          <w:sz w:val="16"/>
          <w:szCs w:val="16"/>
        </w:rPr>
        <w:t>) Vs. Ecuador</w:t>
      </w:r>
      <w:r w:rsidRPr="00FC1D38">
        <w:rPr>
          <w:rFonts w:ascii="Verdana" w:hAnsi="Verdana"/>
          <w:spacing w:val="-12"/>
          <w:sz w:val="16"/>
          <w:szCs w:val="16"/>
        </w:rPr>
        <w:t xml:space="preserve">, </w:t>
      </w:r>
      <w:r w:rsidRPr="000536CF">
        <w:rPr>
          <w:rFonts w:ascii="Verdana" w:hAnsi="Verdana"/>
          <w:i/>
          <w:spacing w:val="-12"/>
          <w:sz w:val="16"/>
          <w:szCs w:val="16"/>
        </w:rPr>
        <w:t xml:space="preserve">supra, </w:t>
      </w:r>
      <w:r w:rsidRPr="000536CF">
        <w:rPr>
          <w:rFonts w:ascii="Verdana" w:hAnsi="Verdana"/>
          <w:spacing w:val="-12"/>
          <w:sz w:val="16"/>
          <w:szCs w:val="16"/>
        </w:rPr>
        <w:t xml:space="preserve">párr. 173, y </w:t>
      </w:r>
      <w:r w:rsidRPr="000536CF">
        <w:rPr>
          <w:rFonts w:ascii="Verdana" w:hAnsi="Verdana"/>
          <w:i/>
          <w:spacing w:val="-12"/>
          <w:sz w:val="16"/>
          <w:szCs w:val="16"/>
        </w:rPr>
        <w:t>Caso del Tribunal Constitucional (Camba Campos y otros) Vs. Ecuador</w:t>
      </w:r>
      <w:r w:rsidRPr="001C16AC">
        <w:rPr>
          <w:rFonts w:ascii="Verdana" w:hAnsi="Verdana"/>
          <w:spacing w:val="-12"/>
          <w:sz w:val="16"/>
          <w:szCs w:val="16"/>
        </w:rPr>
        <w:t xml:space="preserve">, </w:t>
      </w:r>
      <w:r w:rsidRPr="006001C8">
        <w:rPr>
          <w:rFonts w:ascii="Verdana" w:hAnsi="Verdana"/>
          <w:i/>
          <w:spacing w:val="-12"/>
          <w:sz w:val="16"/>
          <w:szCs w:val="16"/>
        </w:rPr>
        <w:t>supra</w:t>
      </w:r>
      <w:r w:rsidRPr="00D55480">
        <w:rPr>
          <w:rFonts w:ascii="Verdana" w:hAnsi="Verdana"/>
          <w:spacing w:val="-12"/>
          <w:sz w:val="16"/>
          <w:szCs w:val="16"/>
        </w:rPr>
        <w:t>,</w:t>
      </w:r>
      <w:r w:rsidRPr="00D55480">
        <w:rPr>
          <w:rFonts w:ascii="Verdana" w:hAnsi="Verdana"/>
          <w:i/>
          <w:spacing w:val="-12"/>
          <w:sz w:val="16"/>
          <w:szCs w:val="16"/>
        </w:rPr>
        <w:t xml:space="preserve"> </w:t>
      </w:r>
      <w:r w:rsidRPr="009E7E48">
        <w:rPr>
          <w:rFonts w:ascii="Verdana" w:hAnsi="Verdana"/>
          <w:spacing w:val="-12"/>
          <w:sz w:val="16"/>
          <w:szCs w:val="16"/>
        </w:rPr>
        <w:t>párr. 210.</w:t>
      </w:r>
    </w:p>
  </w:footnote>
  <w:footnote w:id="192">
    <w:p w14:paraId="3CF0B5FA" w14:textId="78B3AF0D" w:rsidR="00837BB9" w:rsidRPr="00C7142E" w:rsidRDefault="00837BB9" w:rsidP="00C94CA1">
      <w:pPr>
        <w:autoSpaceDE w:val="0"/>
        <w:autoSpaceDN w:val="0"/>
        <w:spacing w:before="120" w:after="120" w:line="240" w:lineRule="auto"/>
        <w:jc w:val="both"/>
        <w:rPr>
          <w:rFonts w:ascii="Verdana" w:hAnsi="Verdana" w:cs="Arial"/>
          <w:spacing w:val="-12"/>
          <w:sz w:val="16"/>
          <w:szCs w:val="16"/>
          <w:lang w:eastAsia="de-DE"/>
        </w:rPr>
      </w:pPr>
      <w:r w:rsidRPr="00CF3AED">
        <w:rPr>
          <w:rStyle w:val="FootnoteReference"/>
          <w:rFonts w:ascii="Verdana" w:eastAsia="Calibri"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rPr>
        <w:t>C</w:t>
      </w:r>
      <w:r>
        <w:rPr>
          <w:rFonts w:ascii="Verdana" w:hAnsi="Verdana"/>
          <w:i/>
          <w:spacing w:val="-12"/>
          <w:sz w:val="16"/>
          <w:szCs w:val="16"/>
        </w:rPr>
        <w:t xml:space="preserve">fr. </w:t>
      </w:r>
      <w:r w:rsidRPr="00CF3AED">
        <w:rPr>
          <w:rFonts w:ascii="Verdana" w:hAnsi="Verdana"/>
          <w:i/>
          <w:spacing w:val="-12"/>
          <w:sz w:val="16"/>
          <w:szCs w:val="16"/>
        </w:rPr>
        <w:t>Caso de la Corte Suprema de Justicia (Quintana Coello y otros) Vs. Ecuador</w:t>
      </w:r>
      <w:r w:rsidRPr="00CF3AED">
        <w:rPr>
          <w:rFonts w:ascii="Verdana" w:hAnsi="Verdana"/>
          <w:spacing w:val="-12"/>
          <w:sz w:val="16"/>
          <w:szCs w:val="16"/>
        </w:rPr>
        <w:t xml:space="preserve">, </w:t>
      </w:r>
      <w:r w:rsidRPr="006203B0">
        <w:rPr>
          <w:rFonts w:ascii="Verdana" w:hAnsi="Verdana"/>
          <w:i/>
          <w:spacing w:val="-12"/>
          <w:sz w:val="16"/>
          <w:szCs w:val="16"/>
        </w:rPr>
        <w:t xml:space="preserve">supra, </w:t>
      </w:r>
      <w:r w:rsidRPr="00FC1D38">
        <w:rPr>
          <w:rFonts w:ascii="Verdana" w:hAnsi="Verdana"/>
          <w:spacing w:val="-12"/>
          <w:sz w:val="16"/>
          <w:szCs w:val="16"/>
        </w:rPr>
        <w:t xml:space="preserve">párr. 173, y </w:t>
      </w:r>
      <w:r w:rsidRPr="000536CF">
        <w:rPr>
          <w:rFonts w:ascii="Verdana" w:hAnsi="Verdana"/>
          <w:i/>
          <w:spacing w:val="-12"/>
          <w:sz w:val="16"/>
          <w:szCs w:val="16"/>
        </w:rPr>
        <w:t>Caso del Tribunal Constitucional (Camba Campos y otros) Vs. Ecuador</w:t>
      </w:r>
      <w:r w:rsidRPr="000536CF">
        <w:rPr>
          <w:rFonts w:ascii="Verdana" w:hAnsi="Verdana"/>
          <w:spacing w:val="-12"/>
          <w:sz w:val="16"/>
          <w:szCs w:val="16"/>
        </w:rPr>
        <w:t>,</w:t>
      </w:r>
      <w:r w:rsidRPr="001C16AC">
        <w:rPr>
          <w:rFonts w:ascii="Verdana" w:hAnsi="Verdana"/>
          <w:spacing w:val="-12"/>
          <w:sz w:val="16"/>
          <w:szCs w:val="16"/>
        </w:rPr>
        <w:t xml:space="preserve"> </w:t>
      </w:r>
      <w:r w:rsidRPr="006001C8">
        <w:rPr>
          <w:rFonts w:ascii="Verdana" w:hAnsi="Verdana"/>
          <w:i/>
          <w:spacing w:val="-12"/>
          <w:sz w:val="16"/>
          <w:szCs w:val="16"/>
        </w:rPr>
        <w:t>supra,</w:t>
      </w:r>
      <w:r w:rsidRPr="00D55480">
        <w:rPr>
          <w:rFonts w:ascii="Verdana" w:hAnsi="Verdana"/>
          <w:spacing w:val="-12"/>
          <w:sz w:val="16"/>
          <w:szCs w:val="16"/>
        </w:rPr>
        <w:t xml:space="preserve"> párr. 210.</w:t>
      </w:r>
      <w:r w:rsidRPr="00D55480">
        <w:rPr>
          <w:rFonts w:ascii="Verdana" w:hAnsi="Verdana" w:cs="Arial"/>
          <w:spacing w:val="-12"/>
          <w:sz w:val="16"/>
          <w:szCs w:val="16"/>
          <w:lang w:eastAsia="de-DE"/>
        </w:rPr>
        <w:t xml:space="preserve"> La Corte Interamericana ha señalado que “la prueba directa, ya sea testimonial o documental, no es la única que puede legítimamente considerarse para fundar la sentencia. La prueba circunstancial, los ind</w:t>
      </w:r>
      <w:r w:rsidRPr="009E7E48">
        <w:rPr>
          <w:rFonts w:ascii="Verdana" w:hAnsi="Verdana" w:cs="Arial"/>
          <w:spacing w:val="-12"/>
          <w:sz w:val="16"/>
          <w:szCs w:val="16"/>
          <w:lang w:eastAsia="de-DE"/>
        </w:rPr>
        <w:t>icios y las presunciones, pueden utilizarse, siempre que de ellos puedan inferirse conclusiones</w:t>
      </w:r>
      <w:r>
        <w:rPr>
          <w:rFonts w:ascii="Verdana" w:hAnsi="Verdana" w:cs="Arial"/>
          <w:spacing w:val="-12"/>
          <w:sz w:val="16"/>
          <w:szCs w:val="16"/>
          <w:lang w:eastAsia="de-DE"/>
        </w:rPr>
        <w:t xml:space="preserve"> consistentes sobre los hechos” (</w:t>
      </w:r>
      <w:r w:rsidRPr="008B6122">
        <w:rPr>
          <w:rFonts w:ascii="Verdana" w:hAnsi="Verdana"/>
          <w:i/>
          <w:spacing w:val="-12"/>
          <w:sz w:val="16"/>
          <w:szCs w:val="16"/>
        </w:rPr>
        <w:t>C</w:t>
      </w:r>
      <w:r>
        <w:rPr>
          <w:rFonts w:ascii="Verdana" w:hAnsi="Verdana"/>
          <w:i/>
          <w:spacing w:val="-12"/>
          <w:sz w:val="16"/>
          <w:szCs w:val="16"/>
        </w:rPr>
        <w:t>fr. C</w:t>
      </w:r>
      <w:r w:rsidRPr="008B6122">
        <w:rPr>
          <w:rFonts w:ascii="Verdana" w:hAnsi="Verdana"/>
          <w:i/>
          <w:spacing w:val="-12"/>
          <w:sz w:val="16"/>
          <w:szCs w:val="16"/>
        </w:rPr>
        <w:t>aso Velásquez Rodríguez Vs. Honduras. Fondo</w:t>
      </w:r>
      <w:r w:rsidRPr="0012407E">
        <w:rPr>
          <w:rFonts w:ascii="Verdana" w:hAnsi="Verdana"/>
          <w:spacing w:val="-12"/>
          <w:sz w:val="16"/>
          <w:szCs w:val="16"/>
        </w:rPr>
        <w:t xml:space="preserve">, </w:t>
      </w:r>
      <w:r w:rsidRPr="00872581">
        <w:rPr>
          <w:rFonts w:ascii="Verdana" w:hAnsi="Verdana"/>
          <w:i/>
          <w:spacing w:val="-12"/>
          <w:sz w:val="16"/>
          <w:szCs w:val="16"/>
        </w:rPr>
        <w:t xml:space="preserve">supra, </w:t>
      </w:r>
      <w:r w:rsidRPr="00C7142E">
        <w:rPr>
          <w:rFonts w:ascii="Verdana" w:hAnsi="Verdana"/>
          <w:spacing w:val="-12"/>
          <w:sz w:val="16"/>
          <w:szCs w:val="16"/>
        </w:rPr>
        <w:t>párr. 130</w:t>
      </w:r>
      <w:r>
        <w:rPr>
          <w:rFonts w:ascii="Verdana" w:hAnsi="Verdana"/>
          <w:spacing w:val="-12"/>
          <w:sz w:val="16"/>
          <w:szCs w:val="16"/>
        </w:rPr>
        <w:t>)</w:t>
      </w:r>
      <w:r w:rsidRPr="00C7142E">
        <w:rPr>
          <w:rFonts w:ascii="Verdana" w:hAnsi="Verdana"/>
          <w:spacing w:val="-12"/>
          <w:sz w:val="16"/>
          <w:szCs w:val="16"/>
        </w:rPr>
        <w:t>.</w:t>
      </w:r>
    </w:p>
  </w:footnote>
  <w:footnote w:id="193">
    <w:p w14:paraId="1B280E93" w14:textId="2C89B724" w:rsidR="00837BB9" w:rsidRPr="0054215F" w:rsidRDefault="00837BB9" w:rsidP="00C94CA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spacing w:val="-12"/>
          <w:sz w:val="16"/>
          <w:szCs w:val="16"/>
        </w:rPr>
        <w:t>C</w:t>
      </w:r>
      <w:r w:rsidRPr="0069409D">
        <w:rPr>
          <w:rFonts w:ascii="Verdana" w:hAnsi="Verdana"/>
          <w:i/>
          <w:spacing w:val="-12"/>
          <w:sz w:val="16"/>
          <w:szCs w:val="16"/>
        </w:rPr>
        <w:t xml:space="preserve">fr. Caso </w:t>
      </w:r>
      <w:proofErr w:type="spellStart"/>
      <w:r w:rsidRPr="0069409D">
        <w:rPr>
          <w:rFonts w:ascii="Verdana" w:hAnsi="Verdana"/>
          <w:i/>
          <w:spacing w:val="-12"/>
          <w:sz w:val="16"/>
          <w:szCs w:val="16"/>
        </w:rPr>
        <w:t>Granier</w:t>
      </w:r>
      <w:proofErr w:type="spellEnd"/>
      <w:r w:rsidRPr="0069409D">
        <w:rPr>
          <w:rFonts w:ascii="Verdana" w:hAnsi="Verdana"/>
          <w:i/>
          <w:spacing w:val="-12"/>
          <w:sz w:val="16"/>
          <w:szCs w:val="16"/>
        </w:rPr>
        <w:t xml:space="preserve"> y otros </w:t>
      </w:r>
      <w:r w:rsidRPr="000F7294">
        <w:rPr>
          <w:rFonts w:ascii="Verdana" w:hAnsi="Verdana"/>
          <w:i/>
          <w:spacing w:val="-12"/>
          <w:sz w:val="16"/>
          <w:szCs w:val="16"/>
        </w:rPr>
        <w:t>(</w:t>
      </w:r>
      <w:r w:rsidRPr="000F7294">
        <w:rPr>
          <w:rFonts w:ascii="Verdana" w:eastAsiaTheme="minorHAnsi" w:hAnsi="Verdana" w:cs="Cambria"/>
          <w:i/>
          <w:spacing w:val="-12"/>
          <w:sz w:val="16"/>
          <w:szCs w:val="16"/>
          <w:lang w:val="es-CR"/>
        </w:rPr>
        <w:t>Radio Caracas Televisión</w:t>
      </w:r>
      <w:r w:rsidRPr="0003211A">
        <w:rPr>
          <w:rFonts w:ascii="Verdana" w:hAnsi="Verdana"/>
          <w:i/>
          <w:spacing w:val="-12"/>
          <w:sz w:val="16"/>
          <w:szCs w:val="16"/>
        </w:rPr>
        <w:t xml:space="preserve">) </w:t>
      </w:r>
      <w:r w:rsidRPr="00CE7020">
        <w:rPr>
          <w:rFonts w:ascii="Verdana" w:hAnsi="Verdana"/>
          <w:i/>
          <w:spacing w:val="-12"/>
          <w:sz w:val="16"/>
          <w:szCs w:val="16"/>
        </w:rPr>
        <w:t>V</w:t>
      </w:r>
      <w:r w:rsidRPr="00773F82">
        <w:rPr>
          <w:rFonts w:ascii="Verdana" w:hAnsi="Verdana"/>
          <w:i/>
          <w:spacing w:val="-12"/>
          <w:sz w:val="16"/>
          <w:szCs w:val="16"/>
        </w:rPr>
        <w:t xml:space="preserve">s. </w:t>
      </w:r>
      <w:r w:rsidRPr="00290E0C">
        <w:rPr>
          <w:rFonts w:ascii="Verdana" w:hAnsi="Verdana"/>
          <w:i/>
          <w:spacing w:val="-12"/>
          <w:sz w:val="16"/>
          <w:szCs w:val="16"/>
        </w:rPr>
        <w:t xml:space="preserve"> Venezuela, supra, </w:t>
      </w:r>
      <w:r w:rsidRPr="00B252EB">
        <w:rPr>
          <w:rFonts w:ascii="Verdana" w:hAnsi="Verdana"/>
          <w:spacing w:val="-12"/>
          <w:sz w:val="16"/>
          <w:szCs w:val="16"/>
        </w:rPr>
        <w:t>párr. 189.</w:t>
      </w:r>
    </w:p>
  </w:footnote>
  <w:footnote w:id="194">
    <w:p w14:paraId="086E88B4" w14:textId="1998AEB1" w:rsidR="00837BB9" w:rsidRPr="007C51D0" w:rsidRDefault="00837BB9" w:rsidP="00C94CA1">
      <w:pPr>
        <w:pStyle w:val="FootnoteText"/>
        <w:jc w:val="both"/>
        <w:rPr>
          <w:rFonts w:ascii="Verdana" w:hAnsi="Verdana"/>
          <w:sz w:val="16"/>
          <w:szCs w:val="16"/>
          <w:lang w:val="es-CR"/>
        </w:rPr>
      </w:pPr>
      <w:r w:rsidRPr="00C7142E">
        <w:rPr>
          <w:rStyle w:val="FootnoteReference"/>
          <w:rFonts w:ascii="Verdana" w:hAnsi="Verdana"/>
          <w:sz w:val="16"/>
          <w:szCs w:val="16"/>
        </w:rPr>
        <w:footnoteRef/>
      </w:r>
      <w:r w:rsidRPr="00C7142E">
        <w:rPr>
          <w:rFonts w:ascii="Verdana" w:hAnsi="Verdana"/>
          <w:sz w:val="16"/>
          <w:szCs w:val="16"/>
        </w:rPr>
        <w:t xml:space="preserve"> </w:t>
      </w:r>
      <w:r w:rsidRPr="00C7142E">
        <w:rPr>
          <w:rFonts w:ascii="Verdana" w:hAnsi="Verdana"/>
          <w:sz w:val="16"/>
          <w:szCs w:val="16"/>
          <w:lang w:val="es-CR"/>
        </w:rPr>
        <w:tab/>
      </w:r>
      <w:r w:rsidRPr="0069409D">
        <w:rPr>
          <w:rFonts w:ascii="Verdana" w:eastAsiaTheme="minorHAnsi" w:hAnsi="Verdana" w:cs="Cambria"/>
          <w:spacing w:val="-12"/>
          <w:sz w:val="16"/>
          <w:szCs w:val="16"/>
          <w:lang w:val="es-CR"/>
        </w:rPr>
        <w:t>En este sentido, el Estado señaló que la persona que firma simplemente solicita a la autoridad electoral, en ejercicio de su derecho de petición, la puesta en marcha de un procedimiento administrativo para convocar tal refere</w:t>
      </w:r>
      <w:r w:rsidRPr="006C24C0">
        <w:rPr>
          <w:rFonts w:ascii="Verdana" w:eastAsiaTheme="minorHAnsi" w:hAnsi="Verdana" w:cs="Cambria"/>
          <w:spacing w:val="-12"/>
          <w:sz w:val="16"/>
          <w:szCs w:val="16"/>
          <w:lang w:val="es-CR"/>
        </w:rPr>
        <w:t xml:space="preserve">ndo y que en este caso no fue directamente ante el órgano electoral competente, sino a través de un tercero (la organización civil SUMATE) que recabó las firmas y luego las consignó ante el </w:t>
      </w:r>
      <w:r w:rsidRPr="00D0656B">
        <w:rPr>
          <w:rFonts w:ascii="Verdana" w:hAnsi="Verdana"/>
          <w:spacing w:val="-12"/>
          <w:sz w:val="16"/>
          <w:szCs w:val="16"/>
          <w:lang w:val="es-VE"/>
        </w:rPr>
        <w:t>Consejo Nacional Electoral</w:t>
      </w:r>
      <w:r w:rsidRPr="006C24C0">
        <w:rPr>
          <w:rFonts w:ascii="Verdana" w:eastAsiaTheme="minorHAnsi" w:hAnsi="Verdana" w:cs="Cambria"/>
          <w:spacing w:val="-12"/>
          <w:sz w:val="16"/>
          <w:szCs w:val="16"/>
          <w:lang w:val="es-CR"/>
        </w:rPr>
        <w:t>.</w:t>
      </w:r>
    </w:p>
  </w:footnote>
  <w:footnote w:id="195">
    <w:p w14:paraId="7FE6B8FD" w14:textId="00B4DCBD" w:rsidR="00837BB9" w:rsidRPr="00773F82" w:rsidRDefault="00837BB9" w:rsidP="008349B1">
      <w:pPr>
        <w:autoSpaceDE w:val="0"/>
        <w:autoSpaceDN w:val="0"/>
        <w:adjustRightInd w:val="0"/>
        <w:spacing w:before="120" w:after="120" w:line="240" w:lineRule="auto"/>
        <w:jc w:val="both"/>
        <w:rPr>
          <w:rFonts w:ascii="Verdana" w:hAnsi="Verdana" w:cs="Cambri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cs="Cambria"/>
          <w:spacing w:val="-12"/>
          <w:sz w:val="16"/>
          <w:szCs w:val="16"/>
        </w:rPr>
        <w:tab/>
        <w:t>El Estado hizo referencia a las declaraciones de Luis Sala</w:t>
      </w:r>
      <w:r w:rsidRPr="006203B0">
        <w:rPr>
          <w:rFonts w:ascii="Verdana" w:hAnsi="Verdana" w:cs="Cambria"/>
          <w:spacing w:val="-12"/>
          <w:sz w:val="16"/>
          <w:szCs w:val="16"/>
        </w:rPr>
        <w:t>manca y Vicente Díaz</w:t>
      </w:r>
      <w:r w:rsidRPr="00FC1D38">
        <w:rPr>
          <w:rFonts w:ascii="Verdana" w:hAnsi="Verdana" w:cs="Cambria"/>
          <w:spacing w:val="-12"/>
          <w:sz w:val="16"/>
          <w:szCs w:val="16"/>
        </w:rPr>
        <w:t xml:space="preserve">. </w:t>
      </w:r>
      <w:r w:rsidRPr="000536CF">
        <w:rPr>
          <w:rFonts w:ascii="Verdana" w:hAnsi="Verdana" w:cs="Cambria"/>
          <w:spacing w:val="-12"/>
          <w:sz w:val="16"/>
          <w:szCs w:val="16"/>
        </w:rPr>
        <w:t>Éste último declaró: “El CNE es l</w:t>
      </w:r>
      <w:r w:rsidRPr="001C16AC">
        <w:rPr>
          <w:rFonts w:ascii="Verdana" w:hAnsi="Verdana" w:cs="Cambria"/>
          <w:spacing w:val="-12"/>
          <w:sz w:val="16"/>
          <w:szCs w:val="16"/>
        </w:rPr>
        <w:t>a cabeza del Poder Electoral, que jurí</w:t>
      </w:r>
      <w:r w:rsidRPr="006001C8">
        <w:rPr>
          <w:rFonts w:ascii="Verdana" w:hAnsi="Verdana" w:cs="Cambria"/>
          <w:spacing w:val="-12"/>
          <w:sz w:val="16"/>
          <w:szCs w:val="16"/>
        </w:rPr>
        <w:t>dicamente goza de plena autonomí</w:t>
      </w:r>
      <w:r w:rsidRPr="00D55480">
        <w:rPr>
          <w:rFonts w:ascii="Verdana" w:hAnsi="Verdana" w:cs="Cambria"/>
          <w:spacing w:val="-12"/>
          <w:sz w:val="16"/>
          <w:szCs w:val="16"/>
        </w:rPr>
        <w:t>a constitucional para actuar en el á</w:t>
      </w:r>
      <w:r w:rsidRPr="009E7E48">
        <w:rPr>
          <w:rFonts w:ascii="Verdana" w:hAnsi="Verdana" w:cs="Cambria"/>
          <w:spacing w:val="-12"/>
          <w:sz w:val="16"/>
          <w:szCs w:val="16"/>
        </w:rPr>
        <w:t>mbito de su competencia sin mayores limitaciones qu</w:t>
      </w:r>
      <w:r w:rsidRPr="008B6122">
        <w:rPr>
          <w:rFonts w:ascii="Verdana" w:hAnsi="Verdana" w:cs="Cambria"/>
          <w:spacing w:val="-12"/>
          <w:sz w:val="16"/>
          <w:szCs w:val="16"/>
        </w:rPr>
        <w:t xml:space="preserve">e las derivadas de la ley. Y </w:t>
      </w:r>
      <w:r w:rsidRPr="0012407E">
        <w:rPr>
          <w:rFonts w:ascii="Verdana" w:hAnsi="Verdana" w:cs="Cambria"/>
          <w:spacing w:val="-12"/>
          <w:sz w:val="16"/>
          <w:szCs w:val="16"/>
        </w:rPr>
        <w:t>l</w:t>
      </w:r>
      <w:r w:rsidRPr="00872581">
        <w:rPr>
          <w:rFonts w:ascii="Verdana" w:hAnsi="Verdana" w:cs="Cambria"/>
          <w:spacing w:val="-12"/>
          <w:sz w:val="16"/>
          <w:szCs w:val="16"/>
        </w:rPr>
        <w:t>a inexist</w:t>
      </w:r>
      <w:r w:rsidRPr="00C7142E">
        <w:rPr>
          <w:rFonts w:ascii="Verdana" w:hAnsi="Verdana" w:cs="Cambria"/>
          <w:spacing w:val="-12"/>
          <w:sz w:val="16"/>
          <w:szCs w:val="16"/>
        </w:rPr>
        <w:t>encia de una Ley que regule los procesos refrendarios faculta al CNE a solventar normativamente dichos procesos, según octava disposición transitoria de l</w:t>
      </w:r>
      <w:r w:rsidRPr="0069409D">
        <w:rPr>
          <w:rFonts w:ascii="Verdana" w:hAnsi="Verdana" w:cs="Cambria"/>
          <w:spacing w:val="-12"/>
          <w:sz w:val="16"/>
          <w:szCs w:val="16"/>
        </w:rPr>
        <w:t>a Constitución</w:t>
      </w:r>
      <w:r w:rsidRPr="006C24C0">
        <w:rPr>
          <w:rFonts w:ascii="Verdana" w:hAnsi="Verdana" w:cs="Cambria"/>
          <w:spacing w:val="-12"/>
          <w:sz w:val="16"/>
          <w:szCs w:val="16"/>
        </w:rPr>
        <w:t xml:space="preserve">. </w:t>
      </w:r>
      <w:r w:rsidRPr="003100FE">
        <w:rPr>
          <w:rFonts w:ascii="Verdana" w:hAnsi="Verdana" w:cs="Cambria"/>
          <w:spacing w:val="-12"/>
          <w:sz w:val="16"/>
          <w:szCs w:val="16"/>
        </w:rPr>
        <w:t xml:space="preserve">[…] </w:t>
      </w:r>
      <w:r w:rsidRPr="0003211A">
        <w:rPr>
          <w:rFonts w:ascii="Verdana" w:hAnsi="Verdana" w:cs="Cambria"/>
          <w:spacing w:val="-12"/>
          <w:sz w:val="16"/>
          <w:szCs w:val="16"/>
        </w:rPr>
        <w:t>El funcionario revocable tiene el derecho de que se le garantice que los solicitan</w:t>
      </w:r>
      <w:r w:rsidRPr="00CE7020">
        <w:rPr>
          <w:rFonts w:ascii="Verdana" w:hAnsi="Verdana" w:cs="Cambria"/>
          <w:spacing w:val="-12"/>
          <w:sz w:val="16"/>
          <w:szCs w:val="16"/>
        </w:rPr>
        <w:t>tes han reunido el quorum constitucional requerido para activar el referendo y que las firmas en efecto hayan sido adecuadamente recogidas entre los ciudadanos legitimados para participar” (</w:t>
      </w:r>
      <w:proofErr w:type="spellStart"/>
      <w:r w:rsidRPr="00CE7020">
        <w:rPr>
          <w:rFonts w:ascii="Verdana" w:hAnsi="Verdana" w:cs="Cambria"/>
          <w:spacing w:val="-12"/>
          <w:sz w:val="16"/>
          <w:szCs w:val="16"/>
        </w:rPr>
        <w:t>exp</w:t>
      </w:r>
      <w:proofErr w:type="spellEnd"/>
      <w:r w:rsidRPr="00CE7020">
        <w:rPr>
          <w:rFonts w:ascii="Verdana" w:hAnsi="Verdana" w:cs="Cambria"/>
          <w:spacing w:val="-12"/>
          <w:sz w:val="16"/>
          <w:szCs w:val="16"/>
        </w:rPr>
        <w:t>. prueba folio, 3306)</w:t>
      </w:r>
      <w:r w:rsidRPr="00773F82">
        <w:rPr>
          <w:rFonts w:ascii="Verdana" w:hAnsi="Verdana" w:cs="Cambria"/>
          <w:spacing w:val="-12"/>
          <w:sz w:val="16"/>
          <w:szCs w:val="16"/>
        </w:rPr>
        <w:t>.</w:t>
      </w:r>
    </w:p>
  </w:footnote>
  <w:footnote w:id="196">
    <w:p w14:paraId="7418D24B" w14:textId="431F697B" w:rsidR="00837BB9" w:rsidRPr="006203B0"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lang w:val="es-CR"/>
        </w:rPr>
        <w:t xml:space="preserve"> </w:t>
      </w:r>
      <w:r w:rsidRPr="00CF3AED">
        <w:rPr>
          <w:rFonts w:ascii="Verdana" w:hAnsi="Verdana"/>
          <w:spacing w:val="-12"/>
          <w:sz w:val="16"/>
          <w:szCs w:val="16"/>
          <w:lang w:val="es-CR"/>
        </w:rPr>
        <w:tab/>
      </w:r>
      <w:r w:rsidRPr="00D0656B">
        <w:rPr>
          <w:rFonts w:ascii="Verdana" w:hAnsi="Verdana"/>
          <w:i/>
          <w:spacing w:val="-12"/>
          <w:sz w:val="16"/>
          <w:szCs w:val="16"/>
          <w:lang w:val="es-VE"/>
        </w:rPr>
        <w:t>Cfr.</w:t>
      </w:r>
      <w:r>
        <w:rPr>
          <w:rFonts w:ascii="Verdana" w:hAnsi="Verdana"/>
          <w:spacing w:val="-12"/>
          <w:sz w:val="16"/>
          <w:szCs w:val="16"/>
          <w:lang w:val="es-VE"/>
        </w:rPr>
        <w:t xml:space="preserve"> C</w:t>
      </w:r>
      <w:r w:rsidRPr="00D0656B">
        <w:rPr>
          <w:rFonts w:ascii="Verdana" w:hAnsi="Verdana"/>
          <w:spacing w:val="-12"/>
          <w:sz w:val="16"/>
          <w:szCs w:val="16"/>
          <w:lang w:val="es-VE"/>
        </w:rPr>
        <w:t>onsejo Nacional Electoral</w:t>
      </w:r>
      <w:r w:rsidRPr="00CF3AED">
        <w:rPr>
          <w:rFonts w:ascii="Verdana" w:hAnsi="Verdana"/>
          <w:spacing w:val="-12"/>
          <w:sz w:val="16"/>
          <w:szCs w:val="16"/>
          <w:lang w:val="es-CR"/>
        </w:rPr>
        <w:t>, Resolución No. 30925-03, 25 de septiembre de 2003, art. 31. Con respecto a la confidencialidad de la firma y la posible identificación de los solicitantes, es relevante destacar que el artículo 31 de la Resolución 30925-03 del Consejo Nacional Electora</w:t>
      </w:r>
      <w:r>
        <w:rPr>
          <w:rFonts w:ascii="Verdana" w:hAnsi="Verdana"/>
          <w:spacing w:val="-12"/>
          <w:sz w:val="16"/>
          <w:szCs w:val="16"/>
          <w:lang w:val="es-CR"/>
        </w:rPr>
        <w:t>l (CNE) de Venezuela del 25 de s</w:t>
      </w:r>
      <w:r w:rsidRPr="00CF3AED">
        <w:rPr>
          <w:rFonts w:ascii="Verdana" w:hAnsi="Verdana"/>
          <w:spacing w:val="-12"/>
          <w:sz w:val="16"/>
          <w:szCs w:val="16"/>
          <w:lang w:val="es-CR"/>
        </w:rPr>
        <w:t xml:space="preserve">eptiembre de 2003 </w:t>
      </w:r>
      <w:r>
        <w:rPr>
          <w:rFonts w:ascii="Verdana" w:hAnsi="Verdana"/>
          <w:spacing w:val="-12"/>
          <w:sz w:val="16"/>
          <w:szCs w:val="16"/>
          <w:lang w:val="es-CR"/>
        </w:rPr>
        <w:t>estableció</w:t>
      </w:r>
      <w:r w:rsidRPr="00CF3AED">
        <w:rPr>
          <w:rFonts w:ascii="Verdana" w:hAnsi="Verdana"/>
          <w:spacing w:val="-12"/>
          <w:sz w:val="16"/>
          <w:szCs w:val="16"/>
          <w:lang w:val="es-CR"/>
        </w:rPr>
        <w:t xml:space="preserve"> que el CNE “</w:t>
      </w:r>
      <w:proofErr w:type="gramStart"/>
      <w:r w:rsidRPr="00CF3AED">
        <w:rPr>
          <w:rFonts w:ascii="Verdana" w:hAnsi="Verdana"/>
          <w:spacing w:val="-12"/>
          <w:sz w:val="16"/>
          <w:szCs w:val="16"/>
          <w:lang w:val="es-CR"/>
        </w:rPr>
        <w:t>publicar[</w:t>
      </w:r>
      <w:proofErr w:type="spellStart"/>
      <w:proofErr w:type="gramEnd"/>
      <w:r w:rsidRPr="00CF3AED">
        <w:rPr>
          <w:rFonts w:ascii="Verdana" w:hAnsi="Verdana"/>
          <w:spacing w:val="-12"/>
          <w:sz w:val="16"/>
          <w:szCs w:val="16"/>
          <w:lang w:val="es-CR"/>
        </w:rPr>
        <w:t>ía</w:t>
      </w:r>
      <w:proofErr w:type="spellEnd"/>
      <w:r w:rsidRPr="00CF3AED">
        <w:rPr>
          <w:rFonts w:ascii="Verdana" w:hAnsi="Verdana"/>
          <w:spacing w:val="-12"/>
          <w:sz w:val="16"/>
          <w:szCs w:val="16"/>
          <w:lang w:val="es-CR"/>
        </w:rPr>
        <w:t>] en al menos un medio impreso de circulación nacional los resultados del proceso de validación [de las firmas…] mediante la mención de los números</w:t>
      </w:r>
      <w:r w:rsidRPr="006203B0">
        <w:rPr>
          <w:rFonts w:ascii="Verdana" w:hAnsi="Verdana"/>
          <w:spacing w:val="-12"/>
          <w:sz w:val="16"/>
          <w:szCs w:val="16"/>
          <w:lang w:val="es-CR"/>
        </w:rPr>
        <w:t xml:space="preserve"> de cédula de identidad de los solicitantes del referendo”.</w:t>
      </w:r>
    </w:p>
  </w:footnote>
  <w:footnote w:id="197">
    <w:p w14:paraId="5C26424C" w14:textId="57D5CDBC" w:rsidR="00837BB9" w:rsidRPr="00FA44C4" w:rsidRDefault="00837BB9" w:rsidP="008349B1">
      <w:pPr>
        <w:pStyle w:val="FootnoteText"/>
        <w:jc w:val="both"/>
        <w:rPr>
          <w:lang w:val="es-CR"/>
        </w:rPr>
      </w:pPr>
      <w:r w:rsidRPr="007A2893">
        <w:rPr>
          <w:rStyle w:val="FootnoteReference"/>
          <w:rFonts w:ascii="Verdana" w:hAnsi="Verdana"/>
          <w:sz w:val="16"/>
          <w:szCs w:val="16"/>
        </w:rPr>
        <w:footnoteRef/>
      </w:r>
      <w:r>
        <w:t xml:space="preserve"> </w:t>
      </w:r>
      <w:r w:rsidRPr="00FA44C4">
        <w:rPr>
          <w:rFonts w:ascii="Verdana" w:hAnsi="Verdana"/>
          <w:spacing w:val="-12"/>
          <w:sz w:val="16"/>
          <w:szCs w:val="16"/>
          <w:lang w:val="es-VE"/>
        </w:rPr>
        <w:tab/>
        <w:t>En ese contexto, “escuálido” era una forma peyorativa de referirse a un opositor político al gobierno o</w:t>
      </w:r>
      <w:r>
        <w:rPr>
          <w:rFonts w:ascii="Verdana" w:hAnsi="Verdana"/>
          <w:spacing w:val="-12"/>
          <w:sz w:val="16"/>
          <w:szCs w:val="16"/>
          <w:lang w:val="es-VE"/>
        </w:rPr>
        <w:t xml:space="preserve"> a</w:t>
      </w:r>
      <w:r w:rsidRPr="00FA44C4">
        <w:rPr>
          <w:rFonts w:ascii="Verdana" w:hAnsi="Verdana"/>
          <w:spacing w:val="-12"/>
          <w:sz w:val="16"/>
          <w:szCs w:val="16"/>
          <w:lang w:val="es-VE"/>
        </w:rPr>
        <w:t xml:space="preserve"> quién fuese percibido como tal.</w:t>
      </w:r>
    </w:p>
  </w:footnote>
  <w:footnote w:id="198">
    <w:p w14:paraId="793F5B19" w14:textId="1AC63669" w:rsidR="00837BB9" w:rsidRPr="00D55480" w:rsidRDefault="00837BB9" w:rsidP="008349B1">
      <w:pPr>
        <w:pStyle w:val="FootnoteText"/>
        <w:spacing w:before="120" w:after="120"/>
        <w:jc w:val="both"/>
        <w:rPr>
          <w:rFonts w:ascii="Verdana" w:hAnsi="Verdana"/>
          <w:spacing w:val="-12"/>
          <w:sz w:val="16"/>
          <w:szCs w:val="16"/>
          <w:lang w:val="es-VE"/>
        </w:rPr>
      </w:pPr>
      <w:r w:rsidRPr="006203B0">
        <w:rPr>
          <w:rStyle w:val="FootnoteReference"/>
          <w:rFonts w:ascii="Verdana" w:hAnsi="Verdana"/>
          <w:spacing w:val="-12"/>
          <w:sz w:val="16"/>
          <w:szCs w:val="16"/>
        </w:rPr>
        <w:footnoteRef/>
      </w:r>
      <w:r w:rsidRPr="00FC1D38">
        <w:rPr>
          <w:rFonts w:ascii="Verdana" w:hAnsi="Verdana"/>
          <w:spacing w:val="-12"/>
          <w:sz w:val="16"/>
          <w:szCs w:val="16"/>
          <w:lang w:val="es-VE"/>
        </w:rPr>
        <w:t xml:space="preserve"> </w:t>
      </w:r>
      <w:r w:rsidRPr="00FC1D38">
        <w:rPr>
          <w:rFonts w:ascii="Verdana" w:hAnsi="Verdana"/>
          <w:spacing w:val="-12"/>
          <w:sz w:val="16"/>
          <w:szCs w:val="16"/>
          <w:lang w:val="es-VE"/>
        </w:rPr>
        <w:tab/>
        <w:t>Cfr. Acta de entrevista a Rocío del Carmen San Miguel Sosa,  rendida ante la Fiscalía Trigésima Séptima el 15 de julio de 2004 (</w:t>
      </w:r>
      <w:proofErr w:type="spellStart"/>
      <w:r w:rsidRPr="000536CF">
        <w:rPr>
          <w:rFonts w:ascii="Verdana" w:hAnsi="Verdana"/>
          <w:spacing w:val="-12"/>
          <w:sz w:val="16"/>
          <w:szCs w:val="16"/>
          <w:lang w:val="es-VE"/>
        </w:rPr>
        <w:t>exp</w:t>
      </w:r>
      <w:proofErr w:type="spellEnd"/>
      <w:r w:rsidRPr="000536CF">
        <w:rPr>
          <w:rFonts w:ascii="Verdana" w:hAnsi="Verdana"/>
          <w:spacing w:val="-12"/>
          <w:sz w:val="16"/>
          <w:szCs w:val="16"/>
          <w:lang w:val="es-VE"/>
        </w:rPr>
        <w:t xml:space="preserve">. prueba, </w:t>
      </w:r>
      <w:r w:rsidRPr="006001C8">
        <w:rPr>
          <w:rFonts w:ascii="Verdana" w:hAnsi="Verdana"/>
          <w:spacing w:val="-12"/>
          <w:sz w:val="16"/>
          <w:szCs w:val="16"/>
          <w:lang w:val="es-VE"/>
        </w:rPr>
        <w:t>folios</w:t>
      </w:r>
      <w:r w:rsidRPr="00D55480">
        <w:rPr>
          <w:rFonts w:ascii="Verdana" w:hAnsi="Verdana"/>
          <w:spacing w:val="-12"/>
          <w:sz w:val="16"/>
          <w:szCs w:val="16"/>
          <w:lang w:val="es-VE"/>
        </w:rPr>
        <w:t xml:space="preserve"> 360-364). </w:t>
      </w:r>
    </w:p>
  </w:footnote>
  <w:footnote w:id="199">
    <w:p w14:paraId="47837A26" w14:textId="552EBEE1" w:rsidR="00837BB9" w:rsidRPr="003100FE" w:rsidRDefault="00837BB9" w:rsidP="008349B1">
      <w:pPr>
        <w:pStyle w:val="FootnoteText"/>
        <w:spacing w:before="120" w:after="120"/>
        <w:jc w:val="both"/>
        <w:rPr>
          <w:rFonts w:ascii="Verdana" w:hAnsi="Verdana"/>
          <w:spacing w:val="-12"/>
          <w:sz w:val="16"/>
          <w:szCs w:val="16"/>
          <w:lang w:val="es-VE"/>
        </w:rPr>
      </w:pPr>
      <w:r w:rsidRPr="00D55480">
        <w:rPr>
          <w:rStyle w:val="FootnoteReference"/>
          <w:rFonts w:ascii="Verdana" w:hAnsi="Verdana"/>
          <w:spacing w:val="-12"/>
          <w:sz w:val="16"/>
          <w:szCs w:val="16"/>
        </w:rPr>
        <w:footnoteRef/>
      </w:r>
      <w:r w:rsidRPr="009E7E48">
        <w:rPr>
          <w:rFonts w:ascii="Verdana" w:hAnsi="Verdana"/>
          <w:spacing w:val="-12"/>
          <w:sz w:val="16"/>
          <w:szCs w:val="16"/>
          <w:lang w:val="es-VE"/>
        </w:rPr>
        <w:t xml:space="preserve"> </w:t>
      </w:r>
      <w:r w:rsidRPr="009E7E48">
        <w:rPr>
          <w:rFonts w:ascii="Verdana" w:hAnsi="Verdana"/>
          <w:spacing w:val="-12"/>
          <w:sz w:val="16"/>
          <w:szCs w:val="16"/>
          <w:lang w:val="es-VE"/>
        </w:rPr>
        <w:tab/>
      </w:r>
      <w:r w:rsidRPr="008B6122">
        <w:rPr>
          <w:rFonts w:ascii="Verdana" w:hAnsi="Verdana"/>
          <w:i/>
          <w:spacing w:val="-12"/>
          <w:sz w:val="16"/>
          <w:szCs w:val="16"/>
          <w:lang w:val="es-VE"/>
        </w:rPr>
        <w:t>Cfr</w:t>
      </w:r>
      <w:r w:rsidRPr="008B6122">
        <w:rPr>
          <w:rFonts w:ascii="Verdana" w:hAnsi="Verdana"/>
          <w:spacing w:val="-12"/>
          <w:sz w:val="16"/>
          <w:szCs w:val="16"/>
          <w:lang w:val="es-VE"/>
        </w:rPr>
        <w:t>. Act</w:t>
      </w:r>
      <w:r w:rsidRPr="0012407E">
        <w:rPr>
          <w:rFonts w:ascii="Verdana" w:hAnsi="Verdana"/>
          <w:spacing w:val="-12"/>
          <w:sz w:val="16"/>
          <w:szCs w:val="16"/>
          <w:lang w:val="es-VE"/>
        </w:rPr>
        <w:t>a de entrevista a Thais Coromoto Peña,  rendida ante la Fiscalía Trigésima Séptima el 15 de julio de 2004 (</w:t>
      </w:r>
      <w:proofErr w:type="spellStart"/>
      <w:r w:rsidRPr="00C7142E">
        <w:rPr>
          <w:rFonts w:ascii="Verdana" w:hAnsi="Verdana"/>
          <w:spacing w:val="-12"/>
          <w:sz w:val="16"/>
          <w:szCs w:val="16"/>
          <w:lang w:val="es-VE"/>
        </w:rPr>
        <w:t>exp</w:t>
      </w:r>
      <w:proofErr w:type="spellEnd"/>
      <w:r w:rsidRPr="00C7142E">
        <w:rPr>
          <w:rFonts w:ascii="Verdana" w:hAnsi="Verdana"/>
          <w:spacing w:val="-12"/>
          <w:sz w:val="16"/>
          <w:szCs w:val="16"/>
          <w:lang w:val="es-VE"/>
        </w:rPr>
        <w:t>. prueba</w:t>
      </w:r>
      <w:r w:rsidRPr="0069409D">
        <w:rPr>
          <w:rFonts w:ascii="Verdana" w:hAnsi="Verdana"/>
          <w:spacing w:val="-12"/>
          <w:sz w:val="16"/>
          <w:szCs w:val="16"/>
          <w:lang w:val="es-VE"/>
        </w:rPr>
        <w:t xml:space="preserve">, </w:t>
      </w:r>
      <w:r w:rsidRPr="006C24C0">
        <w:rPr>
          <w:rFonts w:ascii="Verdana" w:hAnsi="Verdana"/>
          <w:spacing w:val="-12"/>
          <w:sz w:val="16"/>
          <w:szCs w:val="16"/>
          <w:lang w:val="es-VE"/>
        </w:rPr>
        <w:t>folios</w:t>
      </w:r>
      <w:r w:rsidRPr="003100FE">
        <w:rPr>
          <w:rFonts w:ascii="Verdana" w:hAnsi="Verdana"/>
          <w:spacing w:val="-12"/>
          <w:sz w:val="16"/>
          <w:szCs w:val="16"/>
          <w:lang w:val="es-VE"/>
        </w:rPr>
        <w:t xml:space="preserve"> 387-389). </w:t>
      </w:r>
    </w:p>
  </w:footnote>
  <w:footnote w:id="200">
    <w:p w14:paraId="19F1E9B6" w14:textId="3D49AC8B" w:rsidR="00837BB9" w:rsidRPr="00773F82" w:rsidRDefault="00837BB9" w:rsidP="008349B1">
      <w:pPr>
        <w:pStyle w:val="FootnoteText"/>
        <w:spacing w:before="120" w:after="120"/>
        <w:jc w:val="both"/>
        <w:rPr>
          <w:rFonts w:ascii="Verdana" w:hAnsi="Verdana"/>
          <w:spacing w:val="-12"/>
          <w:sz w:val="16"/>
          <w:szCs w:val="16"/>
          <w:lang w:val="es-VE"/>
        </w:rPr>
      </w:pPr>
      <w:r w:rsidRPr="00C7142E">
        <w:rPr>
          <w:rStyle w:val="FootnoteReference"/>
          <w:rFonts w:ascii="Verdana" w:hAnsi="Verdana"/>
          <w:spacing w:val="-12"/>
          <w:sz w:val="16"/>
          <w:szCs w:val="16"/>
        </w:rPr>
        <w:footnoteRef/>
      </w:r>
      <w:r w:rsidRPr="00C7142E">
        <w:rPr>
          <w:rFonts w:ascii="Verdana" w:hAnsi="Verdana"/>
          <w:spacing w:val="-12"/>
          <w:sz w:val="16"/>
          <w:szCs w:val="16"/>
          <w:lang w:val="es-VE"/>
        </w:rPr>
        <w:t xml:space="preserve"> </w:t>
      </w:r>
      <w:r w:rsidRPr="00C7142E">
        <w:rPr>
          <w:rFonts w:ascii="Verdana" w:hAnsi="Verdana"/>
          <w:spacing w:val="-12"/>
          <w:sz w:val="16"/>
          <w:szCs w:val="16"/>
          <w:lang w:val="es-VE"/>
        </w:rPr>
        <w:tab/>
      </w:r>
      <w:r w:rsidRPr="00C7142E">
        <w:rPr>
          <w:rFonts w:ascii="Verdana" w:hAnsi="Verdana"/>
          <w:i/>
          <w:spacing w:val="-12"/>
          <w:sz w:val="16"/>
          <w:szCs w:val="16"/>
          <w:lang w:val="es-VE"/>
        </w:rPr>
        <w:t>Cfr.</w:t>
      </w:r>
      <w:r w:rsidRPr="0069409D">
        <w:rPr>
          <w:rFonts w:ascii="Verdana" w:hAnsi="Verdana"/>
          <w:spacing w:val="-12"/>
          <w:sz w:val="16"/>
          <w:szCs w:val="16"/>
          <w:lang w:val="es-VE"/>
        </w:rPr>
        <w:t xml:space="preserve"> Acta de entrevista a </w:t>
      </w:r>
      <w:proofErr w:type="spellStart"/>
      <w:r w:rsidRPr="0069409D">
        <w:rPr>
          <w:rFonts w:ascii="Verdana" w:hAnsi="Verdana"/>
          <w:spacing w:val="-12"/>
          <w:sz w:val="16"/>
          <w:szCs w:val="16"/>
          <w:lang w:val="es-VE"/>
        </w:rPr>
        <w:t>Magally</w:t>
      </w:r>
      <w:proofErr w:type="spellEnd"/>
      <w:r w:rsidRPr="0069409D">
        <w:rPr>
          <w:rFonts w:ascii="Verdana" w:hAnsi="Verdana"/>
          <w:spacing w:val="-12"/>
          <w:sz w:val="16"/>
          <w:szCs w:val="16"/>
          <w:lang w:val="es-VE"/>
        </w:rPr>
        <w:t xml:space="preserve"> Margarita Chang Girón,  rendida ante la Fiscalía Trigésima Séptima el 16 de julio de 2004 (</w:t>
      </w:r>
      <w:proofErr w:type="spellStart"/>
      <w:r w:rsidRPr="003100FE">
        <w:rPr>
          <w:rFonts w:ascii="Verdana" w:hAnsi="Verdana"/>
          <w:spacing w:val="-12"/>
          <w:sz w:val="16"/>
          <w:szCs w:val="16"/>
          <w:lang w:val="es-VE"/>
        </w:rPr>
        <w:t>exp</w:t>
      </w:r>
      <w:proofErr w:type="spellEnd"/>
      <w:r w:rsidRPr="003100FE">
        <w:rPr>
          <w:rFonts w:ascii="Verdana" w:hAnsi="Verdana"/>
          <w:spacing w:val="-12"/>
          <w:sz w:val="16"/>
          <w:szCs w:val="16"/>
          <w:lang w:val="es-VE"/>
        </w:rPr>
        <w:t>. prueba</w:t>
      </w:r>
      <w:r w:rsidRPr="0003211A">
        <w:rPr>
          <w:rFonts w:ascii="Verdana" w:hAnsi="Verdana"/>
          <w:spacing w:val="-12"/>
          <w:sz w:val="16"/>
          <w:szCs w:val="16"/>
          <w:lang w:val="es-VE"/>
        </w:rPr>
        <w:t xml:space="preserve">, </w:t>
      </w:r>
      <w:r w:rsidRPr="00CE7020">
        <w:rPr>
          <w:rFonts w:ascii="Verdana" w:hAnsi="Verdana"/>
          <w:spacing w:val="-12"/>
          <w:sz w:val="16"/>
          <w:szCs w:val="16"/>
          <w:lang w:val="es-VE"/>
        </w:rPr>
        <w:t>folios</w:t>
      </w:r>
      <w:r w:rsidRPr="00773F82">
        <w:rPr>
          <w:rFonts w:ascii="Verdana" w:hAnsi="Verdana"/>
          <w:spacing w:val="-12"/>
          <w:sz w:val="16"/>
          <w:szCs w:val="16"/>
          <w:lang w:val="es-VE"/>
        </w:rPr>
        <w:t xml:space="preserve"> 384-385).</w:t>
      </w:r>
    </w:p>
  </w:footnote>
  <w:footnote w:id="201">
    <w:p w14:paraId="5DD3F85B" w14:textId="6F73003B" w:rsidR="00837BB9" w:rsidRPr="007C51D0" w:rsidRDefault="00837BB9" w:rsidP="008349B1">
      <w:pPr>
        <w:pStyle w:val="FootnoteText"/>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hAnsi="Verdana"/>
          <w:i/>
          <w:spacing w:val="-12"/>
          <w:sz w:val="16"/>
          <w:szCs w:val="16"/>
          <w:lang w:val="es-VE"/>
        </w:rPr>
        <w:t>Cfr.</w:t>
      </w:r>
      <w:r>
        <w:rPr>
          <w:rFonts w:ascii="Verdana" w:hAnsi="Verdana"/>
          <w:spacing w:val="-12"/>
          <w:sz w:val="16"/>
          <w:szCs w:val="16"/>
          <w:lang w:val="es-VE"/>
        </w:rPr>
        <w:t xml:space="preserve"> Declaració</w:t>
      </w:r>
      <w:r w:rsidRPr="00CF3AED">
        <w:rPr>
          <w:rFonts w:ascii="Verdana" w:hAnsi="Verdana"/>
          <w:spacing w:val="-12"/>
          <w:sz w:val="16"/>
          <w:szCs w:val="16"/>
          <w:lang w:val="es-VE"/>
        </w:rPr>
        <w:t>n de la</w:t>
      </w:r>
      <w:r>
        <w:rPr>
          <w:rFonts w:ascii="Verdana" w:hAnsi="Verdana"/>
          <w:spacing w:val="-12"/>
          <w:sz w:val="16"/>
          <w:szCs w:val="16"/>
          <w:lang w:val="es-VE"/>
        </w:rPr>
        <w:t xml:space="preserve"> señora San Miguel Sosa</w:t>
      </w:r>
      <w:r w:rsidRPr="00CF3AED">
        <w:rPr>
          <w:rFonts w:ascii="Verdana" w:hAnsi="Verdana"/>
          <w:spacing w:val="-12"/>
          <w:sz w:val="16"/>
          <w:szCs w:val="16"/>
          <w:lang w:val="es-VE"/>
        </w:rPr>
        <w:t xml:space="preserve"> en audiencia pública ante la Corte</w:t>
      </w:r>
      <w:r>
        <w:rPr>
          <w:rFonts w:ascii="Verdana" w:hAnsi="Verdana"/>
          <w:spacing w:val="-12"/>
          <w:sz w:val="16"/>
          <w:szCs w:val="16"/>
          <w:lang w:val="es-VE"/>
        </w:rPr>
        <w:t xml:space="preserve"> </w:t>
      </w:r>
      <w:r w:rsidRPr="00FC1D38">
        <w:rPr>
          <w:rFonts w:ascii="Verdana" w:hAnsi="Verdana"/>
          <w:spacing w:val="-12"/>
          <w:sz w:val="16"/>
          <w:szCs w:val="16"/>
          <w:lang w:val="es-VE"/>
        </w:rPr>
        <w:t xml:space="preserve">y </w:t>
      </w:r>
      <w:r>
        <w:rPr>
          <w:rFonts w:ascii="Verdana" w:hAnsi="Verdana"/>
          <w:spacing w:val="-12"/>
          <w:sz w:val="16"/>
          <w:szCs w:val="16"/>
          <w:lang w:val="es-VE"/>
        </w:rPr>
        <w:t xml:space="preserve">declaraciones escritas de las señoras Chang Girón y Peña Coromoto </w:t>
      </w:r>
      <w:r w:rsidRPr="00FC1D38">
        <w:rPr>
          <w:rFonts w:ascii="Verdana" w:hAnsi="Verdana"/>
          <w:spacing w:val="-12"/>
          <w:sz w:val="16"/>
          <w:szCs w:val="16"/>
          <w:lang w:val="es-VE"/>
        </w:rPr>
        <w:t>(</w:t>
      </w:r>
      <w:proofErr w:type="spellStart"/>
      <w:r w:rsidRPr="00FC1D38">
        <w:rPr>
          <w:rFonts w:ascii="Verdana" w:hAnsi="Verdana"/>
          <w:spacing w:val="-12"/>
          <w:sz w:val="16"/>
          <w:szCs w:val="16"/>
          <w:lang w:val="es-VE"/>
        </w:rPr>
        <w:t>exp</w:t>
      </w:r>
      <w:proofErr w:type="spellEnd"/>
      <w:r w:rsidRPr="00FC1D38">
        <w:rPr>
          <w:rFonts w:ascii="Verdana" w:hAnsi="Verdana"/>
          <w:spacing w:val="-12"/>
          <w:sz w:val="16"/>
          <w:szCs w:val="16"/>
          <w:lang w:val="es-VE"/>
        </w:rPr>
        <w:t>. prueba f</w:t>
      </w:r>
      <w:r w:rsidRPr="000536CF">
        <w:rPr>
          <w:rFonts w:ascii="Verdana" w:hAnsi="Verdana"/>
          <w:spacing w:val="-12"/>
          <w:sz w:val="16"/>
          <w:szCs w:val="16"/>
          <w:lang w:val="es-VE"/>
        </w:rPr>
        <w:t xml:space="preserve">olios </w:t>
      </w:r>
      <w:r w:rsidRPr="006001C8">
        <w:rPr>
          <w:rFonts w:ascii="Verdana" w:hAnsi="Verdana"/>
          <w:spacing w:val="-12"/>
          <w:sz w:val="16"/>
          <w:szCs w:val="16"/>
          <w:lang w:val="es-VE"/>
        </w:rPr>
        <w:t>3093 y 3099)</w:t>
      </w:r>
      <w:r>
        <w:rPr>
          <w:rFonts w:ascii="Verdana" w:hAnsi="Verdana"/>
          <w:spacing w:val="-12"/>
          <w:sz w:val="16"/>
          <w:szCs w:val="16"/>
          <w:lang w:val="es-VE"/>
        </w:rPr>
        <w:t>.</w:t>
      </w:r>
    </w:p>
  </w:footnote>
  <w:footnote w:id="202">
    <w:p w14:paraId="07996252" w14:textId="24EAB2CD" w:rsidR="00837BB9" w:rsidRPr="008B6122" w:rsidRDefault="00837BB9" w:rsidP="008349B1">
      <w:pPr>
        <w:autoSpaceDE w:val="0"/>
        <w:autoSpaceDN w:val="0"/>
        <w:adjustRightInd w:val="0"/>
        <w:spacing w:before="120" w:after="120" w:line="240" w:lineRule="auto"/>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VE"/>
        </w:rPr>
        <w:tab/>
        <w:t xml:space="preserve">La testigo María Alejandra Marrero de </w:t>
      </w:r>
      <w:proofErr w:type="spellStart"/>
      <w:r w:rsidRPr="00CF3AED">
        <w:rPr>
          <w:rFonts w:ascii="Verdana" w:hAnsi="Verdana"/>
          <w:spacing w:val="-12"/>
          <w:sz w:val="16"/>
          <w:szCs w:val="16"/>
          <w:lang w:val="es-VE"/>
        </w:rPr>
        <w:t>Ugas</w:t>
      </w:r>
      <w:proofErr w:type="spellEnd"/>
      <w:r w:rsidRPr="00CF3AED">
        <w:rPr>
          <w:rFonts w:ascii="Verdana" w:hAnsi="Verdana"/>
          <w:spacing w:val="-12"/>
          <w:sz w:val="16"/>
          <w:szCs w:val="16"/>
          <w:lang w:val="es-VE"/>
        </w:rPr>
        <w:t xml:space="preserve"> declaró que su esposo le comentó </w:t>
      </w:r>
      <w:r w:rsidRPr="006203B0">
        <w:rPr>
          <w:rFonts w:ascii="Verdana" w:hAnsi="Verdana"/>
          <w:spacing w:val="-12"/>
          <w:sz w:val="16"/>
          <w:szCs w:val="16"/>
          <w:lang w:val="es-VE"/>
        </w:rPr>
        <w:t xml:space="preserve">en ese entonces </w:t>
      </w:r>
      <w:r w:rsidRPr="00FC1D38">
        <w:rPr>
          <w:rFonts w:ascii="Verdana" w:hAnsi="Verdana"/>
          <w:spacing w:val="-12"/>
          <w:sz w:val="16"/>
          <w:szCs w:val="16"/>
          <w:lang w:val="es-VE"/>
        </w:rPr>
        <w:t xml:space="preserve">“que lamentablemente estaban aplicando la Lista </w:t>
      </w:r>
      <w:proofErr w:type="spellStart"/>
      <w:r w:rsidRPr="00FC1D38">
        <w:rPr>
          <w:rFonts w:ascii="Verdana" w:hAnsi="Verdana"/>
          <w:spacing w:val="-12"/>
          <w:sz w:val="16"/>
          <w:szCs w:val="16"/>
          <w:lang w:val="es-VE"/>
        </w:rPr>
        <w:t>Tasc</w:t>
      </w:r>
      <w:r>
        <w:rPr>
          <w:rFonts w:ascii="Verdana" w:hAnsi="Verdana"/>
          <w:spacing w:val="-12"/>
          <w:sz w:val="16"/>
          <w:szCs w:val="16"/>
          <w:lang w:val="es-VE"/>
        </w:rPr>
        <w:t>ó</w:t>
      </w:r>
      <w:r w:rsidRPr="00FC1D38">
        <w:rPr>
          <w:rFonts w:ascii="Verdana" w:hAnsi="Verdana"/>
          <w:spacing w:val="-12"/>
          <w:sz w:val="16"/>
          <w:szCs w:val="16"/>
          <w:lang w:val="es-VE"/>
        </w:rPr>
        <w:t>n</w:t>
      </w:r>
      <w:proofErr w:type="spellEnd"/>
      <w:r w:rsidRPr="00FC1D38">
        <w:rPr>
          <w:rFonts w:ascii="Verdana" w:hAnsi="Verdana"/>
          <w:spacing w:val="-12"/>
          <w:sz w:val="16"/>
          <w:szCs w:val="16"/>
          <w:lang w:val="es-VE"/>
        </w:rPr>
        <w:t xml:space="preserve"> en el Consejo Nacional de Fronteras. Que José Vicente Rangel había ordenado despedir a todos</w:t>
      </w:r>
      <w:r>
        <w:rPr>
          <w:rFonts w:ascii="Verdana" w:hAnsi="Verdana"/>
          <w:spacing w:val="-12"/>
          <w:sz w:val="16"/>
          <w:szCs w:val="16"/>
          <w:lang w:val="es-VE"/>
        </w:rPr>
        <w:t xml:space="preserve"> los que habían firmado contra </w:t>
      </w:r>
      <w:r w:rsidRPr="00FC1D38">
        <w:rPr>
          <w:rFonts w:ascii="Verdana" w:hAnsi="Verdana"/>
          <w:spacing w:val="-12"/>
          <w:sz w:val="16"/>
          <w:szCs w:val="16"/>
          <w:lang w:val="es-VE"/>
        </w:rPr>
        <w:t>Ch</w:t>
      </w:r>
      <w:r w:rsidRPr="000536CF">
        <w:rPr>
          <w:rFonts w:ascii="Verdana" w:hAnsi="Verdana"/>
          <w:spacing w:val="-12"/>
          <w:sz w:val="16"/>
          <w:szCs w:val="16"/>
          <w:lang w:val="es-VE"/>
        </w:rPr>
        <w:t>ávez […]</w:t>
      </w:r>
      <w:r>
        <w:rPr>
          <w:rFonts w:ascii="Verdana" w:hAnsi="Verdana"/>
          <w:spacing w:val="-12"/>
          <w:sz w:val="16"/>
          <w:szCs w:val="16"/>
          <w:lang w:val="es-VE"/>
        </w:rPr>
        <w:t xml:space="preserve"> </w:t>
      </w:r>
      <w:r w:rsidRPr="000536CF">
        <w:rPr>
          <w:rFonts w:ascii="Verdana" w:hAnsi="Verdana"/>
          <w:spacing w:val="-12"/>
          <w:sz w:val="16"/>
          <w:szCs w:val="16"/>
          <w:lang w:val="es-VE"/>
        </w:rPr>
        <w:t xml:space="preserve">que a ellas las despidieron por firmar en contra de un gobierno para el cual ellas trabajaban”. La testigo </w:t>
      </w:r>
      <w:proofErr w:type="spellStart"/>
      <w:r w:rsidRPr="000536CF">
        <w:rPr>
          <w:rFonts w:ascii="Verdana" w:hAnsi="Verdana"/>
          <w:spacing w:val="-12"/>
          <w:sz w:val="16"/>
          <w:szCs w:val="16"/>
          <w:lang w:val="es-VE"/>
        </w:rPr>
        <w:t>Morelba</w:t>
      </w:r>
      <w:proofErr w:type="spellEnd"/>
      <w:r w:rsidRPr="000536CF">
        <w:rPr>
          <w:rFonts w:ascii="Verdana" w:hAnsi="Verdana"/>
          <w:spacing w:val="-12"/>
          <w:sz w:val="16"/>
          <w:szCs w:val="16"/>
          <w:lang w:val="es-VE"/>
        </w:rPr>
        <w:t xml:space="preserve"> Karina Molina Noguera señaló: “me consta que los jefes para ese momento Lic. Feijoo </w:t>
      </w:r>
      <w:proofErr w:type="spellStart"/>
      <w:r w:rsidRPr="000536CF">
        <w:rPr>
          <w:rFonts w:ascii="Verdana" w:hAnsi="Verdana"/>
          <w:spacing w:val="-12"/>
          <w:sz w:val="16"/>
          <w:szCs w:val="16"/>
          <w:lang w:val="es-VE"/>
        </w:rPr>
        <w:t>Colomine</w:t>
      </w:r>
      <w:proofErr w:type="spellEnd"/>
      <w:r w:rsidRPr="000536CF">
        <w:rPr>
          <w:rFonts w:ascii="Verdana" w:hAnsi="Verdana"/>
          <w:spacing w:val="-12"/>
          <w:sz w:val="16"/>
          <w:szCs w:val="16"/>
          <w:lang w:val="es-VE"/>
        </w:rPr>
        <w:t xml:space="preserve"> (secretario ejecutivo) y Raúl Martínez (director de administración) lo conversaron y yo por accidente escuché. A ellas las despidieron por haber firmado solicitando el revocatorio”. </w:t>
      </w:r>
      <w:r w:rsidRPr="007C51D0">
        <w:rPr>
          <w:rFonts w:ascii="Verdana" w:hAnsi="Verdana"/>
          <w:i/>
          <w:spacing w:val="-12"/>
          <w:sz w:val="16"/>
          <w:szCs w:val="16"/>
          <w:lang w:val="es-VE"/>
        </w:rPr>
        <w:t>Cfr</w:t>
      </w:r>
      <w:r w:rsidRPr="00CF3AED">
        <w:rPr>
          <w:rFonts w:ascii="Verdana" w:hAnsi="Verdana"/>
          <w:spacing w:val="-12"/>
          <w:sz w:val="16"/>
          <w:szCs w:val="16"/>
          <w:lang w:val="es-VE"/>
        </w:rPr>
        <w:t xml:space="preserve">. Declaraciones de </w:t>
      </w:r>
      <w:r w:rsidRPr="00C94CA1">
        <w:rPr>
          <w:rFonts w:ascii="Verdana" w:hAnsi="Verdana"/>
          <w:spacing w:val="-12"/>
          <w:sz w:val="16"/>
          <w:szCs w:val="16"/>
          <w:lang w:val="es-VE"/>
        </w:rPr>
        <w:t xml:space="preserve">María Alejandra Marrero de </w:t>
      </w:r>
      <w:proofErr w:type="spellStart"/>
      <w:r w:rsidRPr="00C94CA1">
        <w:rPr>
          <w:rFonts w:ascii="Verdana" w:hAnsi="Verdana"/>
          <w:spacing w:val="-12"/>
          <w:sz w:val="16"/>
          <w:szCs w:val="16"/>
          <w:lang w:val="es-VE"/>
        </w:rPr>
        <w:t>Ugas</w:t>
      </w:r>
      <w:proofErr w:type="spellEnd"/>
      <w:r w:rsidRPr="00CF3AED">
        <w:rPr>
          <w:rFonts w:ascii="Verdana" w:hAnsi="Verdana"/>
          <w:spacing w:val="-12"/>
          <w:sz w:val="16"/>
          <w:szCs w:val="16"/>
          <w:lang w:val="es-VE"/>
        </w:rPr>
        <w:t xml:space="preserve"> y </w:t>
      </w:r>
      <w:proofErr w:type="spellStart"/>
      <w:r w:rsidRPr="00CF3AED">
        <w:rPr>
          <w:rFonts w:ascii="Verdana" w:hAnsi="Verdana"/>
          <w:spacing w:val="-12"/>
          <w:sz w:val="16"/>
          <w:szCs w:val="16"/>
          <w:lang w:val="es-VE"/>
        </w:rPr>
        <w:t>Morelba</w:t>
      </w:r>
      <w:proofErr w:type="spellEnd"/>
      <w:r w:rsidRPr="00CF3AED">
        <w:rPr>
          <w:rFonts w:ascii="Verdana" w:hAnsi="Verdana"/>
          <w:spacing w:val="-12"/>
          <w:sz w:val="16"/>
          <w:szCs w:val="16"/>
          <w:lang w:val="es-VE"/>
        </w:rPr>
        <w:t xml:space="preserve"> Karina Molin</w:t>
      </w:r>
      <w:r w:rsidRPr="006203B0">
        <w:rPr>
          <w:rFonts w:ascii="Verdana" w:hAnsi="Verdana"/>
          <w:spacing w:val="-12"/>
          <w:sz w:val="16"/>
          <w:szCs w:val="16"/>
          <w:lang w:val="es-VE"/>
        </w:rPr>
        <w:t>a Noguera (</w:t>
      </w:r>
      <w:proofErr w:type="spellStart"/>
      <w:r w:rsidRPr="000536CF">
        <w:rPr>
          <w:rFonts w:ascii="Verdana" w:hAnsi="Verdana"/>
          <w:spacing w:val="-12"/>
          <w:sz w:val="16"/>
          <w:szCs w:val="16"/>
          <w:lang w:val="es-VE"/>
        </w:rPr>
        <w:t>exp</w:t>
      </w:r>
      <w:proofErr w:type="spellEnd"/>
      <w:r w:rsidRPr="000536CF">
        <w:rPr>
          <w:rFonts w:ascii="Verdana" w:hAnsi="Verdana"/>
          <w:spacing w:val="-12"/>
          <w:sz w:val="16"/>
          <w:szCs w:val="16"/>
          <w:lang w:val="es-VE"/>
        </w:rPr>
        <w:t xml:space="preserve">. prueba, </w:t>
      </w:r>
      <w:r w:rsidRPr="001C16AC">
        <w:rPr>
          <w:rFonts w:ascii="Verdana" w:hAnsi="Verdana"/>
          <w:spacing w:val="-12"/>
          <w:sz w:val="16"/>
          <w:szCs w:val="16"/>
          <w:lang w:val="es-VE"/>
        </w:rPr>
        <w:t>folios</w:t>
      </w:r>
      <w:r w:rsidRPr="006001C8">
        <w:rPr>
          <w:rFonts w:ascii="Verdana" w:hAnsi="Verdana"/>
          <w:spacing w:val="-12"/>
          <w:sz w:val="16"/>
          <w:szCs w:val="16"/>
          <w:lang w:val="es-VE"/>
        </w:rPr>
        <w:t xml:space="preserve"> </w:t>
      </w:r>
      <w:r>
        <w:rPr>
          <w:rFonts w:ascii="Verdana" w:hAnsi="Verdana"/>
          <w:spacing w:val="-12"/>
          <w:sz w:val="16"/>
          <w:szCs w:val="16"/>
          <w:lang w:val="es-VE"/>
        </w:rPr>
        <w:t>3174 a 3175</w:t>
      </w:r>
      <w:r w:rsidRPr="00D55480">
        <w:rPr>
          <w:rFonts w:ascii="Verdana" w:hAnsi="Verdana"/>
          <w:spacing w:val="-12"/>
          <w:sz w:val="16"/>
          <w:szCs w:val="16"/>
          <w:lang w:val="es-VE"/>
        </w:rPr>
        <w:t xml:space="preserve"> y 3179 a 3180</w:t>
      </w:r>
      <w:r w:rsidRPr="009E7E48">
        <w:rPr>
          <w:rFonts w:ascii="Verdana" w:hAnsi="Verdana"/>
          <w:spacing w:val="-12"/>
          <w:sz w:val="16"/>
          <w:szCs w:val="16"/>
          <w:lang w:val="es-VE"/>
        </w:rPr>
        <w:t>)</w:t>
      </w:r>
      <w:r w:rsidRPr="008B6122">
        <w:rPr>
          <w:rFonts w:ascii="Verdana" w:hAnsi="Verdana"/>
          <w:spacing w:val="-12"/>
          <w:sz w:val="16"/>
          <w:szCs w:val="16"/>
          <w:lang w:val="es-VE"/>
        </w:rPr>
        <w:t>.</w:t>
      </w:r>
    </w:p>
  </w:footnote>
  <w:footnote w:id="203">
    <w:p w14:paraId="71661C6D" w14:textId="1D69E7AE" w:rsidR="00837BB9" w:rsidRPr="00CE7020" w:rsidRDefault="00837BB9" w:rsidP="008349B1">
      <w:pPr>
        <w:pStyle w:val="FootnoteText"/>
        <w:tabs>
          <w:tab w:val="left" w:pos="567"/>
        </w:tabs>
        <w:spacing w:before="120" w:after="120"/>
        <w:jc w:val="both"/>
        <w:rPr>
          <w:rFonts w:ascii="Verdana" w:hAnsi="Verdana"/>
          <w:spacing w:val="-12"/>
          <w:sz w:val="16"/>
          <w:szCs w:val="16"/>
        </w:rPr>
      </w:pPr>
      <w:r w:rsidRPr="008B6122">
        <w:rPr>
          <w:rStyle w:val="FootnoteReference"/>
          <w:rFonts w:ascii="Verdana" w:hAnsi="Verdana"/>
          <w:spacing w:val="-12"/>
          <w:sz w:val="16"/>
          <w:szCs w:val="16"/>
        </w:rPr>
        <w:footnoteRef/>
      </w:r>
      <w:r w:rsidRPr="0012407E">
        <w:rPr>
          <w:rFonts w:ascii="Verdana" w:hAnsi="Verdana"/>
          <w:spacing w:val="-12"/>
          <w:sz w:val="16"/>
          <w:szCs w:val="16"/>
        </w:rPr>
        <w:t xml:space="preserve"> </w:t>
      </w:r>
      <w:r w:rsidRPr="00C7142E">
        <w:rPr>
          <w:rFonts w:ascii="Verdana" w:eastAsiaTheme="minorHAnsi" w:hAnsi="Verdana" w:cstheme="minorBidi"/>
          <w:spacing w:val="-12"/>
          <w:sz w:val="16"/>
          <w:szCs w:val="16"/>
          <w:lang w:val="es-VE"/>
        </w:rPr>
        <w:tab/>
      </w:r>
      <w:r w:rsidRPr="00C7142E">
        <w:rPr>
          <w:rFonts w:ascii="Verdana" w:eastAsiaTheme="minorHAnsi" w:hAnsi="Verdana" w:cstheme="minorBidi"/>
          <w:i/>
          <w:spacing w:val="-12"/>
          <w:sz w:val="16"/>
          <w:szCs w:val="16"/>
          <w:lang w:val="es-VE"/>
        </w:rPr>
        <w:t>Cfr. Caso Ríos y otros Vs. Venezuela</w:t>
      </w:r>
      <w:r w:rsidRPr="0069409D">
        <w:rPr>
          <w:rFonts w:ascii="Verdana" w:eastAsiaTheme="minorHAnsi" w:hAnsi="Verdana" w:cstheme="minorBidi"/>
          <w:spacing w:val="-12"/>
          <w:sz w:val="16"/>
          <w:szCs w:val="16"/>
          <w:lang w:val="es-VE"/>
        </w:rPr>
        <w:t xml:space="preserve">, </w:t>
      </w:r>
      <w:r w:rsidRPr="006C24C0">
        <w:rPr>
          <w:rFonts w:ascii="Verdana" w:eastAsiaTheme="minorHAnsi" w:hAnsi="Verdana" w:cstheme="minorBidi"/>
          <w:i/>
          <w:spacing w:val="-12"/>
          <w:sz w:val="16"/>
          <w:szCs w:val="16"/>
          <w:lang w:val="es-VE"/>
        </w:rPr>
        <w:t>supra,</w:t>
      </w:r>
      <w:r w:rsidRPr="003100FE">
        <w:rPr>
          <w:rFonts w:ascii="Verdana" w:eastAsiaTheme="minorHAnsi" w:hAnsi="Verdana" w:cstheme="minorBidi"/>
          <w:spacing w:val="-12"/>
          <w:sz w:val="16"/>
          <w:szCs w:val="16"/>
          <w:lang w:val="es-VE"/>
        </w:rPr>
        <w:t xml:space="preserve"> párr. 139. Ver también </w:t>
      </w:r>
      <w:r w:rsidRPr="0003211A">
        <w:rPr>
          <w:rFonts w:ascii="Verdana" w:eastAsiaTheme="minorHAnsi" w:hAnsi="Verdana" w:cstheme="minorBidi"/>
          <w:i/>
          <w:spacing w:val="-12"/>
          <w:sz w:val="16"/>
          <w:szCs w:val="16"/>
          <w:lang w:val="es-VE"/>
        </w:rPr>
        <w:t xml:space="preserve">Caso </w:t>
      </w:r>
      <w:proofErr w:type="spellStart"/>
      <w:r w:rsidRPr="0003211A">
        <w:rPr>
          <w:rFonts w:ascii="Verdana" w:eastAsiaTheme="minorHAnsi" w:hAnsi="Verdana" w:cstheme="minorBidi"/>
          <w:i/>
          <w:spacing w:val="-12"/>
          <w:sz w:val="16"/>
          <w:szCs w:val="16"/>
          <w:lang w:val="es-VE"/>
        </w:rPr>
        <w:t>Granier</w:t>
      </w:r>
      <w:proofErr w:type="spellEnd"/>
      <w:r w:rsidRPr="0003211A">
        <w:rPr>
          <w:rFonts w:ascii="Verdana" w:eastAsiaTheme="minorHAnsi" w:hAnsi="Verdana" w:cstheme="minorBidi"/>
          <w:i/>
          <w:spacing w:val="-12"/>
          <w:sz w:val="16"/>
          <w:szCs w:val="16"/>
          <w:lang w:val="es-VE"/>
        </w:rPr>
        <w:t xml:space="preserve"> y otros (Radio Caracas Televisión) Vs. Venezuela, supra, </w:t>
      </w:r>
      <w:r w:rsidRPr="00CE7020">
        <w:rPr>
          <w:rFonts w:ascii="Verdana" w:eastAsiaTheme="minorHAnsi" w:hAnsi="Verdana" w:cstheme="minorBidi"/>
          <w:spacing w:val="-12"/>
          <w:sz w:val="16"/>
          <w:szCs w:val="16"/>
          <w:lang w:val="es-VE"/>
        </w:rPr>
        <w:t>párr. 195.</w:t>
      </w:r>
    </w:p>
  </w:footnote>
  <w:footnote w:id="204">
    <w:p w14:paraId="4B6DBC1D" w14:textId="6640EBF1" w:rsidR="00837BB9" w:rsidRPr="007C51D0" w:rsidRDefault="00837BB9" w:rsidP="008349B1">
      <w:pPr>
        <w:pStyle w:val="FootnoteText"/>
        <w:tabs>
          <w:tab w:val="left" w:pos="567"/>
        </w:tabs>
        <w:spacing w:before="120" w:after="120"/>
        <w:jc w:val="both"/>
        <w:rPr>
          <w:rFonts w:ascii="Verdana" w:hAnsi="Verdana"/>
          <w:sz w:val="16"/>
          <w:szCs w:val="16"/>
          <w:lang w:val="es-CR"/>
        </w:rPr>
      </w:pPr>
      <w:r w:rsidRPr="00C7142E">
        <w:rPr>
          <w:rStyle w:val="FootnoteReference"/>
          <w:rFonts w:ascii="Verdana" w:hAnsi="Verdana"/>
          <w:sz w:val="16"/>
          <w:szCs w:val="16"/>
        </w:rPr>
        <w:footnoteRef/>
      </w:r>
      <w:r w:rsidRPr="00C7142E">
        <w:rPr>
          <w:rFonts w:ascii="Verdana" w:hAnsi="Verdana"/>
          <w:sz w:val="16"/>
          <w:szCs w:val="16"/>
        </w:rPr>
        <w:t xml:space="preserve"> </w:t>
      </w:r>
      <w:r w:rsidRPr="00C7142E">
        <w:rPr>
          <w:rFonts w:ascii="Verdana" w:hAnsi="Verdana"/>
          <w:sz w:val="16"/>
          <w:szCs w:val="16"/>
          <w:lang w:val="es-CR"/>
        </w:rPr>
        <w:tab/>
      </w:r>
      <w:r w:rsidRPr="0069409D">
        <w:rPr>
          <w:rFonts w:ascii="Verdana" w:eastAsiaTheme="minorHAnsi" w:hAnsi="Verdana" w:cstheme="minorBidi"/>
          <w:i/>
          <w:spacing w:val="-12"/>
          <w:sz w:val="16"/>
          <w:szCs w:val="16"/>
          <w:lang w:val="es-VE"/>
        </w:rPr>
        <w:t>Cfr., mutat</w:t>
      </w:r>
      <w:r w:rsidRPr="006C24C0">
        <w:rPr>
          <w:rFonts w:ascii="Verdana" w:eastAsiaTheme="minorHAnsi" w:hAnsi="Verdana" w:cstheme="minorBidi"/>
          <w:i/>
          <w:spacing w:val="-12"/>
          <w:sz w:val="16"/>
          <w:szCs w:val="16"/>
          <w:lang w:val="es-VE"/>
        </w:rPr>
        <w:t xml:space="preserve">is </w:t>
      </w:r>
      <w:proofErr w:type="spellStart"/>
      <w:r w:rsidRPr="006C24C0">
        <w:rPr>
          <w:rFonts w:ascii="Verdana" w:eastAsiaTheme="minorHAnsi" w:hAnsi="Verdana" w:cstheme="minorBidi"/>
          <w:i/>
          <w:spacing w:val="-12"/>
          <w:sz w:val="16"/>
          <w:szCs w:val="16"/>
          <w:lang w:val="es-VE"/>
        </w:rPr>
        <w:t>mutandi</w:t>
      </w:r>
      <w:proofErr w:type="spellEnd"/>
      <w:r w:rsidRPr="006C24C0">
        <w:rPr>
          <w:rFonts w:ascii="Verdana" w:eastAsiaTheme="minorHAnsi" w:hAnsi="Verdana" w:cstheme="minorBidi"/>
          <w:i/>
          <w:spacing w:val="-12"/>
          <w:sz w:val="16"/>
          <w:szCs w:val="16"/>
          <w:lang w:val="es-VE"/>
        </w:rPr>
        <w:t>,</w:t>
      </w:r>
      <w:r w:rsidRPr="003100FE">
        <w:rPr>
          <w:rFonts w:ascii="Verdana" w:eastAsiaTheme="minorHAnsi" w:hAnsi="Verdana" w:cstheme="minorBidi"/>
          <w:i/>
          <w:spacing w:val="-12"/>
          <w:sz w:val="16"/>
          <w:szCs w:val="16"/>
          <w:lang w:val="es-VE"/>
        </w:rPr>
        <w:t xml:space="preserve"> Caso </w:t>
      </w:r>
      <w:r w:rsidRPr="0003211A">
        <w:rPr>
          <w:rFonts w:ascii="Verdana" w:eastAsiaTheme="minorHAnsi" w:hAnsi="Verdana" w:cstheme="minorBidi"/>
          <w:i/>
          <w:spacing w:val="-12"/>
          <w:sz w:val="16"/>
          <w:szCs w:val="16"/>
          <w:lang w:val="es-VE"/>
        </w:rPr>
        <w:t xml:space="preserve">Perozo y </w:t>
      </w:r>
      <w:r w:rsidRPr="00CE7020">
        <w:rPr>
          <w:rFonts w:ascii="Verdana" w:eastAsiaTheme="minorHAnsi" w:hAnsi="Verdana" w:cstheme="minorBidi"/>
          <w:i/>
          <w:spacing w:val="-12"/>
          <w:sz w:val="16"/>
          <w:szCs w:val="16"/>
          <w:lang w:val="es-VE"/>
        </w:rPr>
        <w:t>otros Vs. Venezuela</w:t>
      </w:r>
      <w:r>
        <w:rPr>
          <w:rFonts w:ascii="Verdana" w:eastAsiaTheme="minorHAnsi" w:hAnsi="Verdana" w:cstheme="minorBidi"/>
          <w:i/>
          <w:spacing w:val="-12"/>
          <w:sz w:val="16"/>
          <w:szCs w:val="16"/>
          <w:lang w:val="es-VE"/>
        </w:rPr>
        <w:t xml:space="preserve">. </w:t>
      </w:r>
      <w:r w:rsidRPr="006C24C0">
        <w:rPr>
          <w:rFonts w:ascii="Verdana" w:eastAsiaTheme="minorHAnsi" w:hAnsi="Verdana" w:cstheme="minorBidi"/>
          <w:i/>
          <w:spacing w:val="-12"/>
          <w:sz w:val="16"/>
          <w:szCs w:val="16"/>
          <w:lang w:val="es-VE"/>
        </w:rPr>
        <w:t xml:space="preserve">Excepciones Preliminares, Fondo, Reparaciones y Costas. </w:t>
      </w:r>
      <w:r w:rsidRPr="003100FE">
        <w:rPr>
          <w:rFonts w:ascii="Verdana" w:eastAsiaTheme="minorHAnsi" w:hAnsi="Verdana" w:cstheme="minorBidi"/>
          <w:spacing w:val="-12"/>
          <w:sz w:val="16"/>
          <w:szCs w:val="16"/>
          <w:lang w:val="es-VE"/>
        </w:rPr>
        <w:t>Sentencia de 28 de enero de 2009. Se</w:t>
      </w:r>
      <w:r w:rsidRPr="0003211A">
        <w:rPr>
          <w:rFonts w:ascii="Verdana" w:eastAsiaTheme="minorHAnsi" w:hAnsi="Verdana" w:cstheme="minorBidi"/>
          <w:spacing w:val="-12"/>
          <w:sz w:val="16"/>
          <w:szCs w:val="16"/>
          <w:lang w:val="es-VE"/>
        </w:rPr>
        <w:t>rie C No. 195</w:t>
      </w:r>
      <w:r w:rsidRPr="00290E0C">
        <w:rPr>
          <w:rFonts w:ascii="Verdana" w:eastAsiaTheme="minorHAnsi" w:hAnsi="Verdana" w:cstheme="minorBidi"/>
          <w:spacing w:val="-12"/>
          <w:sz w:val="16"/>
          <w:szCs w:val="16"/>
          <w:lang w:val="es-VE"/>
        </w:rPr>
        <w:t xml:space="preserve">, </w:t>
      </w:r>
      <w:proofErr w:type="spellStart"/>
      <w:r w:rsidRPr="00290E0C">
        <w:rPr>
          <w:rFonts w:ascii="Verdana" w:eastAsiaTheme="minorHAnsi" w:hAnsi="Verdana" w:cstheme="minorBidi"/>
          <w:spacing w:val="-12"/>
          <w:sz w:val="16"/>
          <w:szCs w:val="16"/>
          <w:lang w:val="es-VE"/>
        </w:rPr>
        <w:t>párrs</w:t>
      </w:r>
      <w:proofErr w:type="spellEnd"/>
      <w:r w:rsidRPr="00290E0C">
        <w:rPr>
          <w:rFonts w:ascii="Verdana" w:eastAsiaTheme="minorHAnsi" w:hAnsi="Verdana" w:cstheme="minorBidi"/>
          <w:spacing w:val="-12"/>
          <w:sz w:val="16"/>
          <w:szCs w:val="16"/>
          <w:lang w:val="es-VE"/>
        </w:rPr>
        <w:t>. 160 y 161.</w:t>
      </w:r>
    </w:p>
  </w:footnote>
  <w:footnote w:id="205">
    <w:p w14:paraId="7D8052A9" w14:textId="0F305148" w:rsidR="00837BB9" w:rsidRPr="001C16AC" w:rsidRDefault="00837BB9" w:rsidP="008349B1">
      <w:pPr>
        <w:pStyle w:val="FootnoteText"/>
        <w:spacing w:before="120" w:after="120"/>
        <w:jc w:val="both"/>
        <w:rPr>
          <w:rFonts w:ascii="Verdana" w:hAnsi="Verdana"/>
          <w:spacing w:val="-12"/>
          <w:sz w:val="16"/>
          <w:szCs w:val="16"/>
          <w:u w:val="single"/>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hAnsi="Verdana"/>
          <w:spacing w:val="-12"/>
          <w:sz w:val="16"/>
          <w:szCs w:val="16"/>
          <w:lang w:val="es-VE"/>
        </w:rPr>
        <w:tab/>
      </w:r>
      <w:r w:rsidRPr="00CF3AED">
        <w:rPr>
          <w:rFonts w:ascii="Verdana" w:eastAsiaTheme="minorHAnsi" w:hAnsi="Verdana" w:cstheme="minorBidi"/>
          <w:i/>
          <w:spacing w:val="-12"/>
          <w:sz w:val="16"/>
          <w:szCs w:val="16"/>
          <w:lang w:val="es-VE"/>
        </w:rPr>
        <w:t>Cfr.</w:t>
      </w:r>
      <w:r w:rsidRPr="006203B0">
        <w:rPr>
          <w:rFonts w:ascii="Verdana" w:eastAsiaTheme="minorHAnsi" w:hAnsi="Verdana" w:cstheme="minorBidi"/>
          <w:spacing w:val="-12"/>
          <w:sz w:val="16"/>
          <w:szCs w:val="16"/>
          <w:lang w:val="es-VE"/>
        </w:rPr>
        <w:t xml:space="preserve"> CIDH, Democracia y derechos humanos en Venezuela, </w:t>
      </w:r>
      <w:r w:rsidRPr="00CF3AED">
        <w:rPr>
          <w:rFonts w:ascii="Verdana" w:eastAsiaTheme="minorHAnsi" w:hAnsi="Verdana" w:cstheme="minorBidi"/>
          <w:i/>
          <w:spacing w:val="-12"/>
          <w:sz w:val="16"/>
          <w:szCs w:val="16"/>
          <w:lang w:val="es-VE"/>
        </w:rPr>
        <w:t>supra</w:t>
      </w:r>
      <w:r w:rsidRPr="00CF3AED">
        <w:rPr>
          <w:rFonts w:ascii="Verdana" w:eastAsiaTheme="minorHAnsi" w:hAnsi="Verdana" w:cstheme="minorBidi"/>
          <w:spacing w:val="-12"/>
          <w:sz w:val="16"/>
          <w:szCs w:val="16"/>
          <w:lang w:val="es-VE"/>
        </w:rPr>
        <w:t>,</w:t>
      </w:r>
      <w:r>
        <w:rPr>
          <w:rFonts w:ascii="Verdana" w:eastAsiaTheme="minorHAnsi" w:hAnsi="Verdana" w:cstheme="minorBidi"/>
          <w:spacing w:val="-12"/>
          <w:sz w:val="16"/>
          <w:szCs w:val="16"/>
          <w:lang w:val="es-VE"/>
        </w:rPr>
        <w:t xml:space="preserve"> </w:t>
      </w:r>
      <w:r w:rsidRPr="00CF3AED">
        <w:rPr>
          <w:rFonts w:ascii="Verdana" w:eastAsiaTheme="minorHAnsi" w:hAnsi="Verdana" w:cstheme="minorBidi"/>
          <w:spacing w:val="-12"/>
          <w:sz w:val="16"/>
          <w:szCs w:val="16"/>
          <w:lang w:val="es-VE"/>
        </w:rPr>
        <w:t>párr.</w:t>
      </w:r>
      <w:r>
        <w:rPr>
          <w:rFonts w:ascii="Verdana" w:eastAsiaTheme="minorHAnsi" w:hAnsi="Verdana" w:cstheme="minorBidi"/>
          <w:spacing w:val="-12"/>
          <w:sz w:val="16"/>
          <w:szCs w:val="16"/>
          <w:lang w:val="es-VE"/>
        </w:rPr>
        <w:t xml:space="preserve"> </w:t>
      </w:r>
      <w:r w:rsidRPr="006203B0">
        <w:rPr>
          <w:rFonts w:ascii="Verdana" w:eastAsiaTheme="minorHAnsi" w:hAnsi="Verdana" w:cstheme="minorBidi"/>
          <w:spacing w:val="-12"/>
          <w:sz w:val="16"/>
          <w:szCs w:val="16"/>
          <w:lang w:val="es-VE"/>
        </w:rPr>
        <w:t>101</w:t>
      </w:r>
      <w:r w:rsidRPr="00FC1D38">
        <w:rPr>
          <w:rFonts w:ascii="Verdana" w:eastAsiaTheme="minorHAnsi" w:hAnsi="Verdana" w:cstheme="minorBidi"/>
          <w:spacing w:val="-12"/>
          <w:sz w:val="16"/>
          <w:szCs w:val="16"/>
          <w:lang w:val="es-VE"/>
        </w:rPr>
        <w:t>.</w:t>
      </w:r>
    </w:p>
  </w:footnote>
  <w:footnote w:id="206">
    <w:p w14:paraId="42956507" w14:textId="03791E66" w:rsidR="00837BB9" w:rsidRPr="00CF3AED" w:rsidRDefault="00837BB9" w:rsidP="008349B1">
      <w:pPr>
        <w:tabs>
          <w:tab w:val="left" w:pos="567"/>
        </w:tabs>
        <w:spacing w:before="120" w:after="120" w:line="240" w:lineRule="auto"/>
        <w:jc w:val="both"/>
        <w:rPr>
          <w:rFonts w:ascii="Verdana" w:hAnsi="Verdana"/>
          <w:spacing w:val="-12"/>
          <w:sz w:val="16"/>
          <w:szCs w:val="16"/>
          <w:lang w:val="es-ES"/>
        </w:rPr>
      </w:pPr>
      <w:r w:rsidRPr="00CF3AED">
        <w:rPr>
          <w:rStyle w:val="FootnoteReference"/>
          <w:rFonts w:ascii="Verdana" w:hAnsi="Verdana"/>
          <w:spacing w:val="-12"/>
          <w:sz w:val="16"/>
          <w:szCs w:val="16"/>
        </w:rPr>
        <w:footnoteRef/>
      </w:r>
      <w:r w:rsidRPr="00CF3AED">
        <w:rPr>
          <w:rFonts w:ascii="Verdana" w:hAnsi="Verdana"/>
          <w:i/>
          <w:spacing w:val="-12"/>
          <w:sz w:val="16"/>
          <w:szCs w:val="16"/>
          <w:lang w:val="es-ES"/>
        </w:rPr>
        <w:t xml:space="preserve"> </w:t>
      </w:r>
      <w:r w:rsidRPr="00CF3AED">
        <w:rPr>
          <w:rFonts w:ascii="Verdana" w:hAnsi="Verdana" w:cs="Cambria"/>
          <w:spacing w:val="-12"/>
          <w:sz w:val="16"/>
          <w:szCs w:val="16"/>
        </w:rPr>
        <w:tab/>
      </w:r>
      <w:r w:rsidRPr="007C51D0">
        <w:rPr>
          <w:rFonts w:ascii="Verdana" w:hAnsi="Verdana" w:cs="Cambria"/>
          <w:i/>
          <w:spacing w:val="-12"/>
          <w:sz w:val="16"/>
          <w:szCs w:val="16"/>
        </w:rPr>
        <w:t>Cfr.</w:t>
      </w:r>
      <w:r w:rsidRPr="00CF3AED">
        <w:rPr>
          <w:rFonts w:ascii="Verdana" w:hAnsi="Verdana" w:cs="Cambria"/>
          <w:spacing w:val="-12"/>
          <w:sz w:val="16"/>
          <w:szCs w:val="16"/>
        </w:rPr>
        <w:t xml:space="preserve"> </w:t>
      </w:r>
      <w:r w:rsidRPr="00CF3AED">
        <w:rPr>
          <w:rFonts w:ascii="Verdana" w:hAnsi="Verdana" w:cs="Cambria"/>
          <w:i/>
          <w:spacing w:val="-12"/>
          <w:sz w:val="16"/>
          <w:szCs w:val="16"/>
        </w:rPr>
        <w:t>La Colegiación Obligatoria de Periodistas</w:t>
      </w:r>
      <w:r w:rsidRPr="00CF3AED">
        <w:rPr>
          <w:rFonts w:ascii="Verdana" w:hAnsi="Verdana" w:cs="Cambria"/>
          <w:spacing w:val="-12"/>
          <w:sz w:val="16"/>
          <w:szCs w:val="16"/>
        </w:rPr>
        <w:t xml:space="preserve"> (Arts. 13 y 29 Convención Americana sobre Derechos Humanos). Opinión Consultiva OC-5/85 del 13 de noviembre de 1985. Serie A No. 5, </w:t>
      </w:r>
      <w:proofErr w:type="spellStart"/>
      <w:r w:rsidRPr="00CF3AED">
        <w:rPr>
          <w:rFonts w:ascii="Verdana" w:hAnsi="Verdana" w:cs="Cambria"/>
          <w:spacing w:val="-12"/>
          <w:sz w:val="16"/>
          <w:szCs w:val="16"/>
        </w:rPr>
        <w:t>párr</w:t>
      </w:r>
      <w:r w:rsidRPr="006203B0">
        <w:rPr>
          <w:rFonts w:ascii="Verdana" w:hAnsi="Verdana" w:cs="Cambria"/>
          <w:spacing w:val="-12"/>
          <w:sz w:val="16"/>
          <w:szCs w:val="16"/>
        </w:rPr>
        <w:t>s</w:t>
      </w:r>
      <w:proofErr w:type="spellEnd"/>
      <w:r w:rsidRPr="00FC1D38">
        <w:rPr>
          <w:rFonts w:ascii="Verdana" w:hAnsi="Verdana" w:cs="Cambria"/>
          <w:spacing w:val="-12"/>
          <w:sz w:val="16"/>
          <w:szCs w:val="16"/>
        </w:rPr>
        <w:t>. 30</w:t>
      </w:r>
      <w:r w:rsidRPr="0039667B">
        <w:rPr>
          <w:rFonts w:ascii="Verdana" w:hAnsi="Verdana" w:cs="Cambria"/>
          <w:spacing w:val="-12"/>
          <w:sz w:val="16"/>
          <w:szCs w:val="16"/>
        </w:rPr>
        <w:t xml:space="preserve"> a 32;</w:t>
      </w:r>
      <w:r>
        <w:rPr>
          <w:rFonts w:ascii="Verdana" w:hAnsi="Verdana" w:cs="Cambria"/>
          <w:spacing w:val="-12"/>
          <w:sz w:val="16"/>
          <w:szCs w:val="16"/>
        </w:rPr>
        <w:t xml:space="preserve"> y</w:t>
      </w:r>
      <w:r w:rsidRPr="0039667B">
        <w:rPr>
          <w:rFonts w:ascii="Verdana" w:hAnsi="Verdana" w:cs="Cambria"/>
          <w:spacing w:val="-12"/>
          <w:sz w:val="16"/>
          <w:szCs w:val="16"/>
        </w:rPr>
        <w:t xml:space="preserve"> </w:t>
      </w:r>
      <w:r>
        <w:rPr>
          <w:rFonts w:ascii="Verdana" w:hAnsi="Verdana" w:cs="Cambria"/>
          <w:bCs/>
          <w:i/>
          <w:spacing w:val="-12"/>
          <w:sz w:val="16"/>
          <w:szCs w:val="16"/>
        </w:rPr>
        <w:t>Caso Lagos del Campo Vs. Perú, supra</w:t>
      </w:r>
      <w:r>
        <w:rPr>
          <w:rFonts w:ascii="Verdana" w:hAnsi="Verdana" w:cs="Cambria"/>
          <w:bCs/>
          <w:spacing w:val="-12"/>
          <w:sz w:val="16"/>
          <w:szCs w:val="16"/>
        </w:rPr>
        <w:t>, párr. 89</w:t>
      </w:r>
      <w:r w:rsidRPr="00CF3AED">
        <w:rPr>
          <w:rFonts w:ascii="Verdana" w:hAnsi="Verdana" w:cs="Cambria"/>
          <w:spacing w:val="-12"/>
          <w:sz w:val="16"/>
          <w:szCs w:val="16"/>
        </w:rPr>
        <w:t>.</w:t>
      </w:r>
    </w:p>
  </w:footnote>
  <w:footnote w:id="207">
    <w:p w14:paraId="5C641464" w14:textId="728D4FC9" w:rsidR="00837BB9" w:rsidRPr="007C51D0" w:rsidRDefault="00837BB9" w:rsidP="00C94CA1">
      <w:pPr>
        <w:pStyle w:val="FootnoteText"/>
        <w:tabs>
          <w:tab w:val="left" w:pos="567"/>
        </w:tabs>
        <w:spacing w:before="120" w:after="120"/>
        <w:jc w:val="both"/>
        <w:rPr>
          <w:rFonts w:ascii="Verdana" w:eastAsiaTheme="minorHAnsi" w:hAnsi="Verdana" w:cs="Cambria"/>
          <w:spacing w:val="-12"/>
          <w:sz w:val="16"/>
          <w:szCs w:val="16"/>
          <w:lang w:val="es-CR"/>
        </w:rPr>
      </w:pPr>
      <w:r w:rsidRPr="00CF3AED">
        <w:rPr>
          <w:rStyle w:val="FootnoteReference"/>
          <w:rFonts w:ascii="Verdana" w:hAnsi="Verdana"/>
          <w:spacing w:val="-12"/>
          <w:sz w:val="16"/>
          <w:szCs w:val="16"/>
        </w:rPr>
        <w:footnoteRef/>
      </w:r>
      <w:r w:rsidRPr="006203B0">
        <w:rPr>
          <w:rFonts w:ascii="Verdana" w:hAnsi="Verdana"/>
          <w:spacing w:val="-12"/>
          <w:sz w:val="16"/>
          <w:szCs w:val="16"/>
        </w:rPr>
        <w:t xml:space="preserve"> </w:t>
      </w:r>
      <w:r w:rsidRPr="00FC1D38">
        <w:rPr>
          <w:rFonts w:ascii="Verdana" w:eastAsiaTheme="minorHAnsi" w:hAnsi="Verdana" w:cs="Cambria"/>
          <w:spacing w:val="-12"/>
          <w:sz w:val="16"/>
          <w:szCs w:val="16"/>
          <w:lang w:val="es-CR"/>
        </w:rPr>
        <w:tab/>
      </w:r>
      <w:r w:rsidRPr="007C51D0">
        <w:rPr>
          <w:rFonts w:ascii="Verdana" w:eastAsiaTheme="minorHAnsi" w:hAnsi="Verdana" w:cs="Cambria"/>
          <w:i/>
          <w:spacing w:val="-12"/>
          <w:sz w:val="16"/>
          <w:szCs w:val="16"/>
          <w:lang w:val="es-CR"/>
        </w:rPr>
        <w:t>Cfr.</w:t>
      </w:r>
      <w:r w:rsidRPr="00CF3AED">
        <w:rPr>
          <w:rFonts w:ascii="Verdana" w:eastAsiaTheme="minorHAnsi" w:hAnsi="Verdana" w:cs="Cambria"/>
          <w:spacing w:val="-12"/>
          <w:sz w:val="16"/>
          <w:szCs w:val="16"/>
          <w:lang w:val="es-CR"/>
        </w:rPr>
        <w:t xml:space="preserve"> </w:t>
      </w:r>
      <w:r w:rsidRPr="007C51D0">
        <w:rPr>
          <w:rFonts w:ascii="Verdana" w:eastAsiaTheme="minorHAnsi" w:hAnsi="Verdana" w:cs="Cambria"/>
          <w:i/>
          <w:spacing w:val="-12"/>
          <w:sz w:val="16"/>
          <w:szCs w:val="16"/>
          <w:lang w:val="es-CR"/>
        </w:rPr>
        <w:t>Caso “La Última Tentación de Cristo” (Olmedo Bustos y otros) Vs. Chile</w:t>
      </w:r>
      <w:r w:rsidRPr="00CF3AED">
        <w:rPr>
          <w:rFonts w:ascii="Verdana" w:eastAsiaTheme="minorHAnsi" w:hAnsi="Verdana" w:cs="Cambria"/>
          <w:i/>
          <w:spacing w:val="-12"/>
          <w:sz w:val="16"/>
          <w:szCs w:val="16"/>
          <w:lang w:val="es-CR"/>
        </w:rPr>
        <w:t xml:space="preserve">. </w:t>
      </w:r>
      <w:r w:rsidRPr="00CF3AED">
        <w:rPr>
          <w:rFonts w:ascii="Verdana" w:eastAsiaTheme="minorHAnsi" w:hAnsi="Verdana" w:cs="Cambria"/>
          <w:bCs/>
          <w:i/>
          <w:spacing w:val="-12"/>
          <w:sz w:val="16"/>
          <w:szCs w:val="16"/>
          <w:lang w:val="es-CR"/>
        </w:rPr>
        <w:t>Fondo, Reparaciones y Costas. Sentencia de 5 de febrero de 2001. Serie C No. 73</w:t>
      </w:r>
      <w:r w:rsidRPr="006203B0">
        <w:rPr>
          <w:rFonts w:ascii="Verdana" w:eastAsiaTheme="minorHAnsi" w:hAnsi="Verdana" w:cs="Cambria"/>
          <w:spacing w:val="-12"/>
          <w:sz w:val="16"/>
          <w:szCs w:val="16"/>
          <w:lang w:val="es-CR"/>
        </w:rPr>
        <w:t xml:space="preserve">, </w:t>
      </w:r>
      <w:proofErr w:type="spellStart"/>
      <w:r w:rsidRPr="006203B0">
        <w:rPr>
          <w:rFonts w:ascii="Verdana" w:eastAsiaTheme="minorHAnsi" w:hAnsi="Verdana" w:cs="Cambria"/>
          <w:spacing w:val="-12"/>
          <w:sz w:val="16"/>
          <w:szCs w:val="16"/>
          <w:lang w:val="es-CR"/>
        </w:rPr>
        <w:t>párr</w:t>
      </w:r>
      <w:r>
        <w:rPr>
          <w:rFonts w:ascii="Verdana" w:eastAsiaTheme="minorHAnsi" w:hAnsi="Verdana" w:cs="Cambria"/>
          <w:spacing w:val="-12"/>
          <w:sz w:val="16"/>
          <w:szCs w:val="16"/>
          <w:lang w:val="es-CR"/>
        </w:rPr>
        <w:t>s</w:t>
      </w:r>
      <w:proofErr w:type="spellEnd"/>
      <w:r w:rsidRPr="006203B0">
        <w:rPr>
          <w:rFonts w:ascii="Verdana" w:eastAsiaTheme="minorHAnsi" w:hAnsi="Verdana" w:cs="Cambria"/>
          <w:spacing w:val="-12"/>
          <w:sz w:val="16"/>
          <w:szCs w:val="16"/>
          <w:lang w:val="es-CR"/>
        </w:rPr>
        <w:t>. 65</w:t>
      </w:r>
      <w:r>
        <w:rPr>
          <w:rFonts w:ascii="Verdana" w:eastAsiaTheme="minorHAnsi" w:hAnsi="Verdana" w:cs="Cambria"/>
          <w:spacing w:val="-12"/>
          <w:sz w:val="16"/>
          <w:szCs w:val="16"/>
          <w:lang w:val="es-CR"/>
        </w:rPr>
        <w:t xml:space="preserve"> y 66;</w:t>
      </w:r>
      <w:r w:rsidRPr="006203B0">
        <w:rPr>
          <w:rFonts w:ascii="Verdana" w:eastAsiaTheme="minorHAnsi" w:hAnsi="Verdana" w:cs="Cambria"/>
          <w:spacing w:val="-12"/>
          <w:sz w:val="16"/>
          <w:szCs w:val="16"/>
          <w:lang w:val="es-CR"/>
        </w:rPr>
        <w:t xml:space="preserve"> y </w:t>
      </w:r>
      <w:r>
        <w:rPr>
          <w:rFonts w:ascii="Verdana" w:eastAsiaTheme="minorHAnsi" w:hAnsi="Verdana" w:cs="Cambria"/>
          <w:bCs/>
          <w:i/>
          <w:spacing w:val="-12"/>
          <w:sz w:val="16"/>
          <w:szCs w:val="16"/>
          <w:lang w:val="es-CR"/>
        </w:rPr>
        <w:t>Caso Lagos del Campo Vs. Perú, supra</w:t>
      </w:r>
      <w:r>
        <w:rPr>
          <w:rFonts w:ascii="Verdana" w:hAnsi="Verdana" w:cs="Cambria"/>
          <w:bCs/>
          <w:spacing w:val="-12"/>
          <w:sz w:val="16"/>
          <w:szCs w:val="16"/>
        </w:rPr>
        <w:t xml:space="preserve">, </w:t>
      </w:r>
      <w:proofErr w:type="spellStart"/>
      <w:r>
        <w:rPr>
          <w:rFonts w:ascii="Verdana" w:hAnsi="Verdana" w:cs="Cambria"/>
          <w:bCs/>
          <w:spacing w:val="-12"/>
          <w:sz w:val="16"/>
          <w:szCs w:val="16"/>
        </w:rPr>
        <w:t>párr</w:t>
      </w:r>
      <w:proofErr w:type="spellEnd"/>
      <w:r>
        <w:rPr>
          <w:rFonts w:ascii="Verdana" w:eastAsiaTheme="minorHAnsi" w:hAnsi="Verdana" w:cs="Cambria"/>
          <w:bCs/>
          <w:spacing w:val="-12"/>
          <w:sz w:val="16"/>
          <w:szCs w:val="16"/>
          <w:lang w:val="es-CR"/>
        </w:rPr>
        <w:t>.</w:t>
      </w:r>
      <w:r>
        <w:rPr>
          <w:rFonts w:ascii="Verdana" w:hAnsi="Verdana" w:cs="Cambria"/>
          <w:bCs/>
          <w:spacing w:val="-12"/>
          <w:sz w:val="16"/>
          <w:szCs w:val="16"/>
        </w:rPr>
        <w:t xml:space="preserve"> 89</w:t>
      </w:r>
      <w:r w:rsidRPr="0039667B">
        <w:rPr>
          <w:rFonts w:ascii="Verdana" w:eastAsiaTheme="minorHAnsi" w:hAnsi="Verdana" w:cs="Cambria"/>
          <w:spacing w:val="-12"/>
          <w:sz w:val="16"/>
          <w:szCs w:val="16"/>
          <w:lang w:val="es-CR"/>
        </w:rPr>
        <w:t>.</w:t>
      </w:r>
    </w:p>
  </w:footnote>
  <w:footnote w:id="208">
    <w:p w14:paraId="1212B9A9" w14:textId="77777777" w:rsidR="00837BB9" w:rsidRPr="007C51D0" w:rsidRDefault="00837BB9" w:rsidP="008349B1">
      <w:pPr>
        <w:pStyle w:val="FootnoteText"/>
        <w:jc w:val="both"/>
        <w:rPr>
          <w:rFonts w:ascii="Verdana" w:hAnsi="Verdana"/>
          <w:i/>
          <w:sz w:val="16"/>
          <w:szCs w:val="16"/>
          <w:lang w:val="es-CR"/>
        </w:rPr>
      </w:pPr>
      <w:r w:rsidRPr="0039667B">
        <w:rPr>
          <w:rStyle w:val="FootnoteReference"/>
          <w:rFonts w:ascii="Verdana" w:hAnsi="Verdana"/>
          <w:spacing w:val="-12"/>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eastAsiaTheme="minorHAnsi" w:hAnsi="Verdana" w:cstheme="minorBidi"/>
          <w:spacing w:val="-12"/>
          <w:sz w:val="16"/>
          <w:szCs w:val="16"/>
          <w:lang w:val="es-VE"/>
        </w:rPr>
        <w:t>Artículo 4 de la Carta Democrática Interamericana</w:t>
      </w:r>
      <w:r w:rsidRPr="006203B0">
        <w:rPr>
          <w:rFonts w:ascii="Verdana" w:eastAsiaTheme="minorHAnsi" w:hAnsi="Verdana" w:cstheme="minorBidi"/>
          <w:spacing w:val="-12"/>
          <w:sz w:val="16"/>
          <w:szCs w:val="16"/>
          <w:lang w:val="es-VE"/>
        </w:rPr>
        <w:t xml:space="preserve">, </w:t>
      </w:r>
      <w:r w:rsidRPr="00FC1D38">
        <w:rPr>
          <w:rFonts w:ascii="Verdana" w:eastAsiaTheme="minorHAnsi" w:hAnsi="Verdana" w:cstheme="minorBidi"/>
          <w:i/>
          <w:spacing w:val="-12"/>
          <w:sz w:val="16"/>
          <w:szCs w:val="16"/>
          <w:lang w:val="es-VE"/>
        </w:rPr>
        <w:t>supra.</w:t>
      </w:r>
    </w:p>
  </w:footnote>
  <w:footnote w:id="209">
    <w:p w14:paraId="736942C3" w14:textId="2D34EEA6" w:rsidR="00837BB9" w:rsidRPr="0069409D" w:rsidRDefault="00837BB9" w:rsidP="008349B1">
      <w:pPr>
        <w:pStyle w:val="FootnoteText"/>
        <w:spacing w:before="120" w:after="120"/>
        <w:jc w:val="both"/>
        <w:rPr>
          <w:rFonts w:ascii="Verdana" w:hAnsi="Verdana"/>
          <w:spacing w:val="-12"/>
          <w:sz w:val="16"/>
          <w:szCs w:val="16"/>
          <w:lang w:val="es-VE"/>
        </w:rPr>
      </w:pPr>
      <w:r w:rsidRPr="00CF3AED">
        <w:rPr>
          <w:rStyle w:val="FootnoteReference"/>
          <w:rFonts w:ascii="Verdana" w:hAnsi="Verdana"/>
          <w:spacing w:val="-12"/>
          <w:sz w:val="16"/>
          <w:szCs w:val="16"/>
        </w:rPr>
        <w:footnoteRef/>
      </w:r>
      <w:r w:rsidRPr="00CF3AED">
        <w:rPr>
          <w:rFonts w:ascii="Verdana" w:hAnsi="Verdana"/>
          <w:spacing w:val="-12"/>
          <w:sz w:val="16"/>
          <w:szCs w:val="16"/>
          <w:lang w:val="es-VE"/>
        </w:rPr>
        <w:t xml:space="preserve"> </w:t>
      </w:r>
      <w:r w:rsidRPr="00CF3AED">
        <w:rPr>
          <w:rFonts w:ascii="Verdana" w:eastAsiaTheme="minorHAnsi" w:hAnsi="Verdana" w:cs="Cambria"/>
          <w:spacing w:val="-12"/>
          <w:sz w:val="16"/>
          <w:szCs w:val="16"/>
          <w:lang w:val="es-CR"/>
        </w:rPr>
        <w:tab/>
      </w:r>
      <w:r w:rsidRPr="006203B0">
        <w:rPr>
          <w:rFonts w:ascii="Verdana" w:eastAsiaTheme="minorHAnsi" w:hAnsi="Verdana" w:cs="Cambria"/>
          <w:i/>
          <w:spacing w:val="-12"/>
          <w:sz w:val="16"/>
          <w:szCs w:val="16"/>
          <w:lang w:val="es-CR"/>
        </w:rPr>
        <w:t>Cfr. Caso Herrera Ulloa Vs. Costa Rica. Excepciones Preliminares, Fondo, Reparaciones y Costas.</w:t>
      </w:r>
      <w:r w:rsidRPr="00FC1D38">
        <w:rPr>
          <w:rFonts w:ascii="Verdana" w:eastAsiaTheme="minorHAnsi" w:hAnsi="Verdana" w:cs="Cambria"/>
          <w:spacing w:val="-12"/>
          <w:sz w:val="16"/>
          <w:szCs w:val="16"/>
          <w:lang w:val="es-CR"/>
        </w:rPr>
        <w:t xml:space="preserve"> Sentencia de 2 de julio de 2004. Serie C No. 107, párr.</w:t>
      </w:r>
      <w:r w:rsidRPr="000536CF">
        <w:rPr>
          <w:rFonts w:ascii="Verdana" w:eastAsiaTheme="minorHAnsi" w:hAnsi="Verdana" w:cs="Cambria"/>
          <w:spacing w:val="-12"/>
          <w:sz w:val="16"/>
          <w:szCs w:val="16"/>
          <w:lang w:val="es-CR"/>
        </w:rPr>
        <w:t xml:space="preserve"> 116;</w:t>
      </w:r>
      <w:r>
        <w:rPr>
          <w:rFonts w:ascii="Verdana" w:eastAsiaTheme="minorHAnsi" w:hAnsi="Verdana" w:cs="Cambria"/>
          <w:spacing w:val="-12"/>
          <w:sz w:val="16"/>
          <w:szCs w:val="16"/>
          <w:lang w:val="es-CR"/>
        </w:rPr>
        <w:t xml:space="preserve"> y </w:t>
      </w:r>
      <w:r w:rsidRPr="00C94CA1">
        <w:rPr>
          <w:rFonts w:ascii="Verdana" w:eastAsiaTheme="minorHAnsi" w:hAnsi="Verdana" w:cs="Cambria"/>
          <w:i/>
          <w:spacing w:val="-12"/>
          <w:sz w:val="16"/>
          <w:szCs w:val="16"/>
          <w:lang w:val="es-CR"/>
        </w:rPr>
        <w:t xml:space="preserve">Caso </w:t>
      </w:r>
      <w:proofErr w:type="spellStart"/>
      <w:r w:rsidRPr="00C94CA1">
        <w:rPr>
          <w:rFonts w:ascii="Verdana" w:eastAsiaTheme="minorHAnsi" w:hAnsi="Verdana" w:cs="Cambria"/>
          <w:i/>
          <w:spacing w:val="-12"/>
          <w:sz w:val="16"/>
          <w:szCs w:val="16"/>
          <w:lang w:val="es-CR"/>
        </w:rPr>
        <w:t>Granier</w:t>
      </w:r>
      <w:proofErr w:type="spellEnd"/>
      <w:r w:rsidRPr="00C94CA1">
        <w:rPr>
          <w:rFonts w:ascii="Verdana" w:eastAsiaTheme="minorHAnsi" w:hAnsi="Verdana" w:cs="Cambria"/>
          <w:i/>
          <w:spacing w:val="-12"/>
          <w:sz w:val="16"/>
          <w:szCs w:val="16"/>
          <w:lang w:val="es-CR"/>
        </w:rPr>
        <w:t xml:space="preserve"> y otros (Radio Caracas Televisión) Vs. Venezuela</w:t>
      </w:r>
      <w:r w:rsidRPr="008B6122">
        <w:rPr>
          <w:rFonts w:ascii="Verdana" w:eastAsiaTheme="minorHAnsi" w:hAnsi="Verdana" w:cs="Cambria"/>
          <w:spacing w:val="-12"/>
          <w:sz w:val="16"/>
          <w:szCs w:val="16"/>
          <w:lang w:val="es-CR"/>
        </w:rPr>
        <w:t xml:space="preserve">, </w:t>
      </w:r>
      <w:r w:rsidRPr="0012407E">
        <w:rPr>
          <w:rFonts w:ascii="Verdana" w:eastAsiaTheme="minorHAnsi" w:hAnsi="Verdana" w:cs="Cambria"/>
          <w:i/>
          <w:spacing w:val="-12"/>
          <w:sz w:val="16"/>
          <w:szCs w:val="16"/>
          <w:lang w:val="es-CR"/>
        </w:rPr>
        <w:t xml:space="preserve">supra, </w:t>
      </w:r>
      <w:r w:rsidRPr="00872581">
        <w:rPr>
          <w:rFonts w:ascii="Verdana" w:eastAsiaTheme="minorHAnsi" w:hAnsi="Verdana" w:cs="Cambria"/>
          <w:spacing w:val="-12"/>
          <w:sz w:val="16"/>
          <w:szCs w:val="16"/>
          <w:lang w:val="es-CR"/>
        </w:rPr>
        <w:t>párr.</w:t>
      </w:r>
      <w:r w:rsidRPr="00C7142E">
        <w:rPr>
          <w:rFonts w:ascii="Verdana" w:eastAsiaTheme="minorHAnsi" w:hAnsi="Verdana" w:cs="Cambria"/>
          <w:spacing w:val="-12"/>
          <w:sz w:val="16"/>
          <w:szCs w:val="16"/>
          <w:lang w:val="es-CR"/>
        </w:rPr>
        <w:t xml:space="preserve"> 140. </w:t>
      </w:r>
    </w:p>
  </w:footnote>
  <w:footnote w:id="210">
    <w:p w14:paraId="28331FCA" w14:textId="48A40A6D" w:rsidR="00837BB9" w:rsidRPr="00D758B5" w:rsidRDefault="00837BB9" w:rsidP="008349B1">
      <w:pPr>
        <w:pStyle w:val="FootnoteText"/>
        <w:spacing w:before="120" w:after="120"/>
        <w:jc w:val="both"/>
        <w:rPr>
          <w:rFonts w:ascii="Verdana" w:hAnsi="Verdana"/>
          <w:b/>
          <w:color w:val="FF0000"/>
          <w:sz w:val="16"/>
          <w:szCs w:val="16"/>
          <w:lang w:val="es-CL"/>
        </w:rPr>
      </w:pPr>
      <w:r w:rsidRPr="00C7142E">
        <w:rPr>
          <w:rStyle w:val="FootnoteReference"/>
          <w:rFonts w:ascii="Verdana" w:hAnsi="Verdana"/>
          <w:sz w:val="16"/>
          <w:szCs w:val="16"/>
        </w:rPr>
        <w:footnoteRef/>
      </w:r>
      <w:r w:rsidRPr="00C7142E">
        <w:rPr>
          <w:rFonts w:ascii="Verdana" w:hAnsi="Verdana"/>
          <w:sz w:val="16"/>
          <w:szCs w:val="16"/>
        </w:rPr>
        <w:t xml:space="preserve"> </w:t>
      </w:r>
      <w:r w:rsidRPr="00C7142E">
        <w:rPr>
          <w:rFonts w:ascii="Verdana" w:hAnsi="Verdana"/>
          <w:sz w:val="16"/>
          <w:szCs w:val="16"/>
        </w:rPr>
        <w:tab/>
      </w:r>
      <w:r w:rsidRPr="00C7142E">
        <w:rPr>
          <w:rFonts w:ascii="Verdana" w:eastAsiaTheme="minorHAnsi" w:hAnsi="Verdana" w:cs="Cambria"/>
          <w:i/>
          <w:spacing w:val="-12"/>
          <w:sz w:val="16"/>
          <w:szCs w:val="16"/>
          <w:lang w:val="es-CR"/>
        </w:rPr>
        <w:t xml:space="preserve">Cfr. </w:t>
      </w:r>
      <w:r w:rsidRPr="00C7142E">
        <w:rPr>
          <w:rFonts w:ascii="Verdana" w:eastAsiaTheme="minorHAnsi" w:hAnsi="Verdana" w:cstheme="minorBidi"/>
          <w:i/>
          <w:spacing w:val="-12"/>
          <w:sz w:val="16"/>
          <w:szCs w:val="16"/>
          <w:lang w:val="es-VE"/>
        </w:rPr>
        <w:t>Caso Ríos y otros Vs. Venezuela</w:t>
      </w:r>
      <w:r w:rsidRPr="0069409D">
        <w:rPr>
          <w:rFonts w:ascii="Verdana" w:eastAsiaTheme="minorHAnsi" w:hAnsi="Verdana" w:cstheme="minorBidi"/>
          <w:spacing w:val="-12"/>
          <w:sz w:val="16"/>
          <w:szCs w:val="16"/>
          <w:lang w:val="es-VE"/>
        </w:rPr>
        <w:t xml:space="preserve">, </w:t>
      </w:r>
      <w:r w:rsidRPr="006C24C0">
        <w:rPr>
          <w:rFonts w:ascii="Verdana" w:eastAsiaTheme="minorHAnsi" w:hAnsi="Verdana" w:cstheme="minorBidi"/>
          <w:i/>
          <w:spacing w:val="-12"/>
          <w:sz w:val="16"/>
          <w:szCs w:val="16"/>
          <w:lang w:val="es-VE"/>
        </w:rPr>
        <w:t>supra,</w:t>
      </w:r>
      <w:r w:rsidRPr="003100FE">
        <w:rPr>
          <w:rFonts w:ascii="Verdana" w:eastAsiaTheme="minorHAnsi" w:hAnsi="Verdana" w:cstheme="minorBidi"/>
          <w:spacing w:val="-12"/>
          <w:sz w:val="16"/>
          <w:szCs w:val="16"/>
          <w:lang w:val="es-VE"/>
        </w:rPr>
        <w:t xml:space="preserve"> párr. </w:t>
      </w:r>
      <w:r>
        <w:rPr>
          <w:rFonts w:ascii="Verdana" w:eastAsiaTheme="minorHAnsi" w:hAnsi="Verdana" w:cstheme="minorBidi"/>
          <w:spacing w:val="-12"/>
          <w:sz w:val="16"/>
          <w:szCs w:val="16"/>
          <w:lang w:val="es-VE"/>
        </w:rPr>
        <w:t xml:space="preserve">381; y </w:t>
      </w:r>
      <w:r w:rsidRPr="00C7142E">
        <w:rPr>
          <w:rFonts w:ascii="Verdana" w:eastAsiaTheme="minorHAnsi" w:hAnsi="Verdana" w:cs="Cambria"/>
          <w:i/>
          <w:spacing w:val="-12"/>
          <w:sz w:val="16"/>
          <w:szCs w:val="16"/>
          <w:lang w:val="es-CR"/>
        </w:rPr>
        <w:t>Caso Perozo y otros Vs. Venezuela</w:t>
      </w:r>
      <w:r w:rsidRPr="00CE7020">
        <w:rPr>
          <w:rFonts w:ascii="Verdana" w:eastAsiaTheme="minorHAnsi" w:hAnsi="Verdana" w:cs="Cambria"/>
          <w:i/>
          <w:spacing w:val="-12"/>
          <w:sz w:val="16"/>
          <w:szCs w:val="16"/>
          <w:lang w:val="es-CR"/>
        </w:rPr>
        <w:t>,</w:t>
      </w:r>
      <w:r>
        <w:rPr>
          <w:rFonts w:ascii="Verdana" w:eastAsiaTheme="minorHAnsi" w:hAnsi="Verdana" w:cs="Cambria"/>
          <w:i/>
          <w:spacing w:val="-12"/>
          <w:sz w:val="16"/>
          <w:szCs w:val="16"/>
          <w:lang w:val="es-CR"/>
        </w:rPr>
        <w:t xml:space="preserve"> supra,</w:t>
      </w:r>
      <w:r w:rsidRPr="00CE7020">
        <w:rPr>
          <w:rFonts w:ascii="Verdana" w:eastAsiaTheme="minorHAnsi" w:hAnsi="Verdana" w:cs="Cambria"/>
          <w:spacing w:val="-12"/>
          <w:sz w:val="16"/>
          <w:szCs w:val="16"/>
          <w:lang w:val="es-CR"/>
        </w:rPr>
        <w:t xml:space="preserve"> párr. </w:t>
      </w:r>
      <w:r w:rsidRPr="00290E0C">
        <w:rPr>
          <w:rFonts w:ascii="Verdana" w:eastAsiaTheme="minorHAnsi" w:hAnsi="Verdana" w:cs="Cambria"/>
          <w:spacing w:val="-12"/>
          <w:sz w:val="16"/>
          <w:szCs w:val="16"/>
          <w:lang w:val="es-CR"/>
        </w:rPr>
        <w:t>1</w:t>
      </w:r>
      <w:r w:rsidRPr="00B252EB">
        <w:rPr>
          <w:rFonts w:ascii="Verdana" w:eastAsiaTheme="minorHAnsi" w:hAnsi="Verdana" w:cs="Cambria"/>
          <w:spacing w:val="-12"/>
          <w:sz w:val="16"/>
          <w:szCs w:val="16"/>
          <w:lang w:val="es-CR"/>
        </w:rPr>
        <w:t>34</w:t>
      </w:r>
      <w:r w:rsidRPr="0054215F">
        <w:rPr>
          <w:rFonts w:ascii="Verdana" w:eastAsiaTheme="minorHAnsi" w:hAnsi="Verdana" w:cs="Cambria"/>
          <w:spacing w:val="-12"/>
          <w:sz w:val="16"/>
          <w:szCs w:val="16"/>
          <w:lang w:val="es-CR"/>
        </w:rPr>
        <w:t>.</w:t>
      </w:r>
    </w:p>
  </w:footnote>
  <w:footnote w:id="211">
    <w:p w14:paraId="4C57400E" w14:textId="77777777" w:rsidR="00837BB9" w:rsidRPr="007C51D0" w:rsidRDefault="00837BB9" w:rsidP="008349B1">
      <w:pPr>
        <w:pStyle w:val="FootnoteText"/>
        <w:spacing w:before="120" w:after="120"/>
        <w:jc w:val="both"/>
        <w:rPr>
          <w:rFonts w:ascii="Verdana" w:hAnsi="Verdana"/>
          <w:sz w:val="16"/>
          <w:szCs w:val="16"/>
          <w:lang w:val="es-CL"/>
        </w:rPr>
      </w:pPr>
      <w:r w:rsidRPr="00872581">
        <w:rPr>
          <w:rStyle w:val="FootnoteReference"/>
          <w:rFonts w:ascii="Verdana" w:hAnsi="Verdana"/>
          <w:sz w:val="16"/>
          <w:szCs w:val="16"/>
        </w:rPr>
        <w:footnoteRef/>
      </w:r>
      <w:r w:rsidRPr="00872581">
        <w:rPr>
          <w:rFonts w:ascii="Verdana" w:hAnsi="Verdana"/>
          <w:sz w:val="16"/>
          <w:szCs w:val="16"/>
        </w:rPr>
        <w:t xml:space="preserve"> </w:t>
      </w:r>
      <w:r w:rsidRPr="00872581">
        <w:rPr>
          <w:rFonts w:ascii="Verdana" w:hAnsi="Verdana"/>
          <w:sz w:val="16"/>
          <w:szCs w:val="16"/>
        </w:rPr>
        <w:tab/>
      </w:r>
      <w:r w:rsidRPr="00C7142E">
        <w:rPr>
          <w:rFonts w:ascii="Verdana" w:eastAsiaTheme="minorHAnsi" w:hAnsi="Verdana" w:cs="Cambria"/>
          <w:i/>
          <w:spacing w:val="-12"/>
          <w:sz w:val="16"/>
          <w:szCs w:val="16"/>
          <w:lang w:val="es-CR"/>
        </w:rPr>
        <w:t xml:space="preserve">Cfr. Caso </w:t>
      </w:r>
      <w:proofErr w:type="spellStart"/>
      <w:r w:rsidRPr="00C7142E">
        <w:rPr>
          <w:rFonts w:ascii="Verdana" w:eastAsiaTheme="minorHAnsi" w:hAnsi="Verdana" w:cs="Cambria"/>
          <w:i/>
          <w:spacing w:val="-12"/>
          <w:sz w:val="16"/>
          <w:szCs w:val="16"/>
          <w:lang w:val="es-CR"/>
        </w:rPr>
        <w:t>Ivcher</w:t>
      </w:r>
      <w:proofErr w:type="spellEnd"/>
      <w:r w:rsidRPr="00C7142E">
        <w:rPr>
          <w:rFonts w:ascii="Verdana" w:eastAsiaTheme="minorHAnsi" w:hAnsi="Verdana" w:cs="Cambria"/>
          <w:i/>
          <w:spacing w:val="-12"/>
          <w:sz w:val="16"/>
          <w:szCs w:val="16"/>
          <w:lang w:val="es-CR"/>
        </w:rPr>
        <w:t xml:space="preserve"> </w:t>
      </w:r>
      <w:proofErr w:type="spellStart"/>
      <w:r w:rsidRPr="00C7142E">
        <w:rPr>
          <w:rFonts w:ascii="Verdana" w:eastAsiaTheme="minorHAnsi" w:hAnsi="Verdana" w:cs="Cambria"/>
          <w:i/>
          <w:spacing w:val="-12"/>
          <w:sz w:val="16"/>
          <w:szCs w:val="16"/>
          <w:lang w:val="es-CR"/>
        </w:rPr>
        <w:t>Bronstein</w:t>
      </w:r>
      <w:proofErr w:type="spellEnd"/>
      <w:r w:rsidRPr="00C7142E">
        <w:rPr>
          <w:rFonts w:ascii="Verdana" w:eastAsiaTheme="minorHAnsi" w:hAnsi="Verdana" w:cs="Cambria"/>
          <w:i/>
          <w:spacing w:val="-12"/>
          <w:sz w:val="16"/>
          <w:szCs w:val="16"/>
          <w:lang w:val="es-CR"/>
        </w:rPr>
        <w:t xml:space="preserve"> </w:t>
      </w:r>
      <w:r w:rsidRPr="0069409D">
        <w:rPr>
          <w:rFonts w:ascii="Verdana" w:eastAsiaTheme="minorHAnsi" w:hAnsi="Verdana" w:cs="Cambria"/>
          <w:i/>
          <w:spacing w:val="-12"/>
          <w:sz w:val="16"/>
          <w:szCs w:val="16"/>
          <w:lang w:val="es-CR"/>
        </w:rPr>
        <w:t>Vs. Perú</w:t>
      </w:r>
      <w:r w:rsidRPr="006C24C0">
        <w:rPr>
          <w:rFonts w:ascii="Verdana" w:eastAsiaTheme="minorHAnsi" w:hAnsi="Verdana" w:cs="Cambria"/>
          <w:i/>
          <w:spacing w:val="-12"/>
          <w:sz w:val="16"/>
          <w:szCs w:val="16"/>
          <w:lang w:val="es-CR"/>
        </w:rPr>
        <w:t xml:space="preserve">. </w:t>
      </w:r>
      <w:r w:rsidRPr="007C51D0">
        <w:rPr>
          <w:rFonts w:ascii="Verdana" w:eastAsiaTheme="minorHAnsi" w:hAnsi="Verdana" w:cs="Cambria"/>
          <w:bCs/>
          <w:i/>
          <w:spacing w:val="-12"/>
          <w:sz w:val="16"/>
          <w:szCs w:val="16"/>
          <w:lang w:val="es-CR"/>
        </w:rPr>
        <w:t>Fondo, Reparaciones y Costas.</w:t>
      </w:r>
      <w:r w:rsidRPr="007C51D0">
        <w:rPr>
          <w:rFonts w:ascii="Verdana" w:eastAsiaTheme="minorHAnsi" w:hAnsi="Verdana" w:cs="Cambria"/>
          <w:bCs/>
          <w:spacing w:val="-12"/>
          <w:sz w:val="16"/>
          <w:szCs w:val="16"/>
          <w:lang w:val="es-CR"/>
        </w:rPr>
        <w:t xml:space="preserve"> Sentencia de 6 de febrero de 2001. Serie C No. 74</w:t>
      </w:r>
      <w:r w:rsidRPr="00CF3AED">
        <w:rPr>
          <w:rFonts w:ascii="Verdana" w:eastAsiaTheme="minorHAnsi" w:hAnsi="Verdana" w:cs="Cambria"/>
          <w:spacing w:val="-12"/>
          <w:sz w:val="16"/>
          <w:szCs w:val="16"/>
          <w:lang w:val="es-CR"/>
        </w:rPr>
        <w:t xml:space="preserve">, párr. </w:t>
      </w:r>
      <w:r w:rsidRPr="006203B0">
        <w:rPr>
          <w:rFonts w:ascii="Verdana" w:eastAsiaTheme="minorHAnsi" w:hAnsi="Verdana" w:cs="Cambria"/>
          <w:spacing w:val="-12"/>
          <w:sz w:val="16"/>
          <w:szCs w:val="16"/>
          <w:lang w:val="es-CR"/>
        </w:rPr>
        <w:t>154</w:t>
      </w:r>
      <w:r w:rsidRPr="00FC1D38">
        <w:rPr>
          <w:rFonts w:ascii="Verdana" w:eastAsiaTheme="minorHAnsi" w:hAnsi="Verdana" w:cs="Cambria"/>
          <w:spacing w:val="-12"/>
          <w:sz w:val="16"/>
          <w:szCs w:val="16"/>
          <w:lang w:val="es-CR"/>
        </w:rPr>
        <w:t>.</w:t>
      </w:r>
    </w:p>
  </w:footnote>
  <w:footnote w:id="212">
    <w:p w14:paraId="1965CC41" w14:textId="4B87E178" w:rsidR="00837BB9" w:rsidRPr="006F5B09" w:rsidRDefault="00837BB9" w:rsidP="008349B1">
      <w:pPr>
        <w:pStyle w:val="FootnoteText"/>
        <w:spacing w:before="120" w:after="120"/>
        <w:jc w:val="both"/>
        <w:rPr>
          <w:lang w:val="es-CR"/>
        </w:rPr>
      </w:pPr>
      <w:r w:rsidRPr="0078280D">
        <w:rPr>
          <w:rStyle w:val="FootnoteReference"/>
          <w:rFonts w:ascii="Verdana" w:hAnsi="Verdana"/>
          <w:sz w:val="16"/>
          <w:szCs w:val="16"/>
        </w:rPr>
        <w:footnoteRef/>
      </w:r>
      <w:r>
        <w:t xml:space="preserve"> </w:t>
      </w:r>
      <w:r>
        <w:rPr>
          <w:lang w:val="es-CR"/>
        </w:rPr>
        <w:tab/>
      </w:r>
      <w:r w:rsidRPr="00C7142E">
        <w:rPr>
          <w:rFonts w:ascii="Verdana" w:eastAsiaTheme="minorHAnsi" w:hAnsi="Verdana" w:cs="Cambria"/>
          <w:i/>
          <w:spacing w:val="-12"/>
          <w:sz w:val="16"/>
          <w:szCs w:val="16"/>
          <w:lang w:val="es-CR"/>
        </w:rPr>
        <w:t xml:space="preserve">Cfr. </w:t>
      </w:r>
      <w:r>
        <w:rPr>
          <w:rFonts w:ascii="Verdana" w:eastAsiaTheme="minorHAnsi" w:hAnsi="Verdana" w:cs="Cambria"/>
          <w:bCs/>
          <w:i/>
          <w:spacing w:val="-12"/>
          <w:sz w:val="16"/>
          <w:szCs w:val="16"/>
          <w:lang w:val="es-CR"/>
        </w:rPr>
        <w:t>Caso Lagos del Campo Vs. Perú, supra</w:t>
      </w:r>
      <w:r>
        <w:rPr>
          <w:rFonts w:ascii="Verdana" w:eastAsiaTheme="minorHAnsi" w:hAnsi="Verdana" w:cs="Cambria"/>
          <w:bCs/>
          <w:spacing w:val="-12"/>
          <w:sz w:val="16"/>
          <w:szCs w:val="16"/>
          <w:lang w:val="es-CR"/>
        </w:rPr>
        <w:t xml:space="preserve">, </w:t>
      </w:r>
      <w:proofErr w:type="spellStart"/>
      <w:r>
        <w:rPr>
          <w:rFonts w:ascii="Verdana" w:eastAsiaTheme="minorHAnsi" w:hAnsi="Verdana" w:cs="Cambria"/>
          <w:bCs/>
          <w:spacing w:val="-12"/>
          <w:sz w:val="16"/>
          <w:szCs w:val="16"/>
          <w:lang w:val="es-CR"/>
        </w:rPr>
        <w:t>párrs</w:t>
      </w:r>
      <w:proofErr w:type="spellEnd"/>
      <w:r>
        <w:rPr>
          <w:rFonts w:ascii="Verdana" w:eastAsiaTheme="minorHAnsi" w:hAnsi="Verdana" w:cs="Cambria"/>
          <w:bCs/>
          <w:spacing w:val="-12"/>
          <w:sz w:val="16"/>
          <w:szCs w:val="16"/>
          <w:lang w:val="es-CR"/>
        </w:rPr>
        <w:t>. 95 y 96.</w:t>
      </w:r>
    </w:p>
  </w:footnote>
  <w:footnote w:id="213">
    <w:p w14:paraId="1F9C9E25" w14:textId="7ACE5B1C" w:rsidR="00837BB9" w:rsidRPr="004C3F47" w:rsidRDefault="00837BB9" w:rsidP="0078280D">
      <w:pPr>
        <w:spacing w:before="120" w:after="120" w:line="240" w:lineRule="auto"/>
        <w:jc w:val="both"/>
        <w:rPr>
          <w:rFonts w:ascii="Verdana" w:hAnsi="Verdana"/>
          <w:i/>
          <w:sz w:val="16"/>
          <w:szCs w:val="16"/>
        </w:rPr>
      </w:pPr>
      <w:r w:rsidRPr="0078280D">
        <w:rPr>
          <w:rStyle w:val="FootnoteReference"/>
          <w:rFonts w:ascii="Verdana" w:eastAsia="Times New Roman" w:hAnsi="Verdana" w:cs="Times New Roman"/>
          <w:sz w:val="16"/>
          <w:szCs w:val="16"/>
          <w:lang w:val="es-CO"/>
        </w:rPr>
        <w:footnoteRef/>
      </w:r>
      <w:r w:rsidRPr="004C3F47">
        <w:rPr>
          <w:rFonts w:ascii="Verdana" w:hAnsi="Verdana" w:cs="Arial"/>
          <w:sz w:val="16"/>
          <w:szCs w:val="16"/>
        </w:rPr>
        <w:t xml:space="preserve"> </w:t>
      </w:r>
      <w:r w:rsidRPr="00950511">
        <w:rPr>
          <w:rFonts w:ascii="Verdana" w:hAnsi="Verdana" w:cs="Cambria"/>
          <w:bCs/>
          <w:spacing w:val="-12"/>
          <w:sz w:val="16"/>
          <w:szCs w:val="16"/>
        </w:rPr>
        <w:tab/>
      </w:r>
      <w:r w:rsidRPr="0078280D">
        <w:rPr>
          <w:rFonts w:ascii="Verdana" w:hAnsi="Verdana" w:cs="Cambria"/>
          <w:bCs/>
          <w:i/>
          <w:spacing w:val="-12"/>
          <w:sz w:val="16"/>
          <w:szCs w:val="16"/>
        </w:rPr>
        <w:t>Cfr</w:t>
      </w:r>
      <w:r w:rsidRPr="00950511">
        <w:rPr>
          <w:rFonts w:ascii="Verdana" w:hAnsi="Verdana" w:cs="Cambria"/>
          <w:bCs/>
          <w:spacing w:val="-12"/>
          <w:sz w:val="16"/>
          <w:szCs w:val="16"/>
        </w:rPr>
        <w:t xml:space="preserve">. </w:t>
      </w:r>
      <w:r w:rsidRPr="00950511">
        <w:rPr>
          <w:rFonts w:ascii="Verdana" w:hAnsi="Verdana" w:cs="Cambria"/>
          <w:bCs/>
          <w:i/>
          <w:spacing w:val="-12"/>
          <w:sz w:val="16"/>
          <w:szCs w:val="16"/>
        </w:rPr>
        <w:t xml:space="preserve">Caso </w:t>
      </w:r>
      <w:r w:rsidRPr="007C51D0">
        <w:rPr>
          <w:rFonts w:ascii="Verdana" w:hAnsi="Verdana" w:cs="Cambria"/>
          <w:i/>
          <w:spacing w:val="-12"/>
          <w:sz w:val="16"/>
          <w:szCs w:val="16"/>
        </w:rPr>
        <w:t>“La Última Tentación de Cristo” (Olmedo Bustos y otros)</w:t>
      </w:r>
      <w:r w:rsidRPr="00950511">
        <w:rPr>
          <w:rFonts w:ascii="Verdana" w:hAnsi="Verdana" w:cs="Cambria"/>
          <w:bCs/>
          <w:i/>
          <w:spacing w:val="-12"/>
          <w:sz w:val="16"/>
          <w:szCs w:val="16"/>
        </w:rPr>
        <w:t>, supra</w:t>
      </w:r>
      <w:r w:rsidRPr="00950511">
        <w:rPr>
          <w:rFonts w:ascii="Verdana" w:hAnsi="Verdana" w:cs="Cambria"/>
          <w:bCs/>
          <w:spacing w:val="-12"/>
          <w:sz w:val="16"/>
          <w:szCs w:val="16"/>
        </w:rPr>
        <w:t>, párr. 69</w:t>
      </w:r>
      <w:r>
        <w:rPr>
          <w:rFonts w:ascii="Verdana" w:hAnsi="Verdana" w:cs="Cambria"/>
          <w:bCs/>
          <w:spacing w:val="-12"/>
          <w:sz w:val="16"/>
          <w:szCs w:val="16"/>
        </w:rPr>
        <w:t>;</w:t>
      </w:r>
      <w:r w:rsidRPr="00950511">
        <w:rPr>
          <w:rFonts w:ascii="Verdana" w:hAnsi="Verdana" w:cs="Cambria"/>
          <w:bCs/>
          <w:spacing w:val="-12"/>
          <w:sz w:val="16"/>
          <w:szCs w:val="16"/>
        </w:rPr>
        <w:t xml:space="preserve"> </w:t>
      </w:r>
      <w:r>
        <w:rPr>
          <w:rFonts w:ascii="Verdana" w:hAnsi="Verdana" w:cs="Cambria"/>
          <w:bCs/>
          <w:spacing w:val="-12"/>
          <w:sz w:val="16"/>
          <w:szCs w:val="16"/>
        </w:rPr>
        <w:t xml:space="preserve">y </w:t>
      </w:r>
      <w:r w:rsidRPr="006F5B09">
        <w:rPr>
          <w:rFonts w:ascii="Verdana" w:hAnsi="Verdana" w:cs="Cambria"/>
          <w:bCs/>
          <w:i/>
          <w:spacing w:val="-12"/>
          <w:sz w:val="16"/>
          <w:szCs w:val="16"/>
        </w:rPr>
        <w:t xml:space="preserve">Caso </w:t>
      </w:r>
      <w:r>
        <w:rPr>
          <w:rFonts w:ascii="Verdana" w:hAnsi="Verdana" w:cs="Cambria"/>
          <w:bCs/>
          <w:i/>
          <w:spacing w:val="-12"/>
          <w:sz w:val="16"/>
          <w:szCs w:val="16"/>
        </w:rPr>
        <w:t xml:space="preserve">Lagos del Campo Vs. Perú, supra, </w:t>
      </w:r>
      <w:r>
        <w:rPr>
          <w:rFonts w:ascii="Verdana" w:hAnsi="Verdana" w:cs="Cambria"/>
          <w:bCs/>
          <w:spacing w:val="-12"/>
          <w:sz w:val="16"/>
          <w:szCs w:val="16"/>
        </w:rPr>
        <w:t>párr. 117.</w:t>
      </w:r>
      <w:r w:rsidRPr="004C3F47">
        <w:rPr>
          <w:rFonts w:ascii="Verdana" w:hAnsi="Verdana"/>
          <w:sz w:val="16"/>
          <w:szCs w:val="16"/>
        </w:rPr>
        <w:t xml:space="preserve"> </w:t>
      </w:r>
    </w:p>
  </w:footnote>
  <w:footnote w:id="214">
    <w:p w14:paraId="59AAD240" w14:textId="4229C6E6" w:rsidR="00837BB9" w:rsidRPr="000536CF" w:rsidRDefault="00837BB9" w:rsidP="008349B1">
      <w:pPr>
        <w:tabs>
          <w:tab w:val="left" w:pos="567"/>
        </w:tabs>
        <w:spacing w:before="120" w:after="120" w:line="240" w:lineRule="auto"/>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lang w:val="es-VE"/>
        </w:rPr>
        <w:t xml:space="preserve">Cfr. mutatis </w:t>
      </w:r>
      <w:proofErr w:type="spellStart"/>
      <w:r w:rsidRPr="00CF3AED">
        <w:rPr>
          <w:rFonts w:ascii="Verdana" w:hAnsi="Verdana"/>
          <w:i/>
          <w:spacing w:val="-12"/>
          <w:sz w:val="16"/>
          <w:szCs w:val="16"/>
          <w:lang w:val="es-VE"/>
        </w:rPr>
        <w:t>mutandi</w:t>
      </w:r>
      <w:proofErr w:type="spellEnd"/>
      <w:r w:rsidRPr="00CF3AED">
        <w:rPr>
          <w:rFonts w:ascii="Verdana" w:hAnsi="Verdana"/>
          <w:i/>
          <w:spacing w:val="-12"/>
          <w:sz w:val="16"/>
          <w:szCs w:val="16"/>
          <w:lang w:val="es-VE"/>
        </w:rPr>
        <w:t>, Caso Herrera Ulloa Vs. Costa Rica</w:t>
      </w:r>
      <w:r w:rsidRPr="00CF3AED">
        <w:rPr>
          <w:rFonts w:ascii="Verdana" w:hAnsi="Verdana"/>
          <w:spacing w:val="-12"/>
          <w:sz w:val="16"/>
          <w:szCs w:val="16"/>
          <w:lang w:val="es-VE"/>
        </w:rPr>
        <w:t xml:space="preserve">, </w:t>
      </w:r>
      <w:r w:rsidRPr="007C51D0">
        <w:rPr>
          <w:rFonts w:ascii="Verdana" w:hAnsi="Verdana"/>
          <w:i/>
          <w:spacing w:val="-12"/>
          <w:sz w:val="16"/>
          <w:szCs w:val="16"/>
          <w:lang w:val="es-VE"/>
        </w:rPr>
        <w:t>supra</w:t>
      </w:r>
      <w:r w:rsidRPr="00CF3AED">
        <w:rPr>
          <w:rFonts w:ascii="Verdana" w:hAnsi="Verdana"/>
          <w:spacing w:val="-12"/>
          <w:sz w:val="16"/>
          <w:szCs w:val="16"/>
          <w:lang w:val="es-VE"/>
        </w:rPr>
        <w:t xml:space="preserve">, párr. 133; </w:t>
      </w:r>
      <w:proofErr w:type="spellStart"/>
      <w:r w:rsidRPr="00CF3AED">
        <w:rPr>
          <w:rFonts w:ascii="Verdana" w:hAnsi="Verdana"/>
          <w:i/>
          <w:spacing w:val="-12"/>
          <w:sz w:val="16"/>
          <w:szCs w:val="16"/>
          <w:lang w:val="es-VE"/>
        </w:rPr>
        <w:t>Norín</w:t>
      </w:r>
      <w:proofErr w:type="spellEnd"/>
      <w:r w:rsidRPr="00CF3AED">
        <w:rPr>
          <w:rFonts w:ascii="Verdana" w:hAnsi="Verdana"/>
          <w:i/>
          <w:spacing w:val="-12"/>
          <w:sz w:val="16"/>
          <w:szCs w:val="16"/>
          <w:lang w:val="es-VE"/>
        </w:rPr>
        <w:t xml:space="preserve"> </w:t>
      </w:r>
      <w:proofErr w:type="spellStart"/>
      <w:r w:rsidRPr="00CF3AED">
        <w:rPr>
          <w:rFonts w:ascii="Verdana" w:hAnsi="Verdana"/>
          <w:i/>
          <w:spacing w:val="-12"/>
          <w:sz w:val="16"/>
          <w:szCs w:val="16"/>
          <w:lang w:val="es-VE"/>
        </w:rPr>
        <w:t>Catrimán</w:t>
      </w:r>
      <w:proofErr w:type="spellEnd"/>
      <w:r w:rsidRPr="00CF3AED">
        <w:rPr>
          <w:rFonts w:ascii="Verdana" w:hAnsi="Verdana"/>
          <w:i/>
          <w:spacing w:val="-12"/>
          <w:sz w:val="16"/>
          <w:szCs w:val="16"/>
          <w:lang w:val="es-VE"/>
        </w:rPr>
        <w:t xml:space="preserve"> y otros Vs. Chile</w:t>
      </w:r>
      <w:r>
        <w:rPr>
          <w:rFonts w:ascii="Verdana" w:hAnsi="Verdana"/>
          <w:i/>
          <w:spacing w:val="-12"/>
          <w:sz w:val="16"/>
          <w:szCs w:val="16"/>
          <w:lang w:val="es-VE"/>
        </w:rPr>
        <w:t>, supra</w:t>
      </w:r>
      <w:r w:rsidRPr="006203B0">
        <w:rPr>
          <w:rFonts w:ascii="Verdana" w:hAnsi="Verdana"/>
          <w:spacing w:val="-12"/>
          <w:sz w:val="16"/>
          <w:szCs w:val="16"/>
          <w:lang w:val="es-VE"/>
        </w:rPr>
        <w:t>, párr. 376;</w:t>
      </w:r>
      <w:r w:rsidRPr="00FC1D38">
        <w:rPr>
          <w:rFonts w:ascii="Verdana" w:hAnsi="Verdana"/>
          <w:spacing w:val="-12"/>
          <w:sz w:val="16"/>
          <w:szCs w:val="16"/>
          <w:lang w:val="es-VE"/>
        </w:rPr>
        <w:t xml:space="preserve"> y </w:t>
      </w:r>
      <w:r w:rsidRPr="000536CF">
        <w:rPr>
          <w:rFonts w:ascii="Verdana" w:hAnsi="Verdana"/>
          <w:i/>
          <w:spacing w:val="-12"/>
          <w:sz w:val="16"/>
          <w:szCs w:val="16"/>
          <w:lang w:val="es-VE"/>
        </w:rPr>
        <w:t xml:space="preserve">Caso </w:t>
      </w:r>
      <w:proofErr w:type="spellStart"/>
      <w:r w:rsidRPr="000536CF">
        <w:rPr>
          <w:rFonts w:ascii="Verdana" w:hAnsi="Verdana"/>
          <w:i/>
          <w:spacing w:val="-12"/>
          <w:sz w:val="16"/>
          <w:szCs w:val="16"/>
          <w:lang w:val="es-VE"/>
        </w:rPr>
        <w:t>Granier</w:t>
      </w:r>
      <w:proofErr w:type="spellEnd"/>
      <w:r w:rsidRPr="000536CF">
        <w:rPr>
          <w:rFonts w:ascii="Verdana" w:hAnsi="Verdana"/>
          <w:i/>
          <w:spacing w:val="-12"/>
          <w:sz w:val="16"/>
          <w:szCs w:val="16"/>
          <w:lang w:val="es-VE"/>
        </w:rPr>
        <w:t xml:space="preserve"> y otros (Radio Caracas Televisión) Vs. Venezuela, supra</w:t>
      </w:r>
      <w:r w:rsidRPr="000536CF">
        <w:rPr>
          <w:rFonts w:ascii="Verdana" w:hAnsi="Verdana"/>
          <w:spacing w:val="-12"/>
          <w:sz w:val="16"/>
          <w:szCs w:val="16"/>
          <w:lang w:val="es-VE"/>
        </w:rPr>
        <w:t xml:space="preserve">, </w:t>
      </w:r>
      <w:proofErr w:type="spellStart"/>
      <w:r w:rsidRPr="000536CF">
        <w:rPr>
          <w:rFonts w:ascii="Verdana" w:hAnsi="Verdana"/>
          <w:spacing w:val="-12"/>
          <w:sz w:val="16"/>
          <w:szCs w:val="16"/>
          <w:lang w:val="es-VE"/>
        </w:rPr>
        <w:t>párrs</w:t>
      </w:r>
      <w:proofErr w:type="spellEnd"/>
      <w:r w:rsidRPr="000536CF">
        <w:rPr>
          <w:rFonts w:ascii="Verdana" w:hAnsi="Verdana"/>
          <w:spacing w:val="-12"/>
          <w:sz w:val="16"/>
          <w:szCs w:val="16"/>
          <w:lang w:val="es-VE"/>
        </w:rPr>
        <w:t>. 164 y 234.</w:t>
      </w:r>
    </w:p>
  </w:footnote>
  <w:footnote w:id="215">
    <w:p w14:paraId="263BCD07" w14:textId="096E60E7" w:rsidR="00837BB9" w:rsidRPr="0069409D" w:rsidRDefault="00837BB9" w:rsidP="008349B1">
      <w:pPr>
        <w:pStyle w:val="FootnoteText"/>
        <w:tabs>
          <w:tab w:val="left" w:pos="567"/>
        </w:tabs>
        <w:spacing w:before="120" w:after="120"/>
        <w:ind w:right="-174"/>
        <w:jc w:val="both"/>
        <w:rPr>
          <w:rFonts w:ascii="Verdana" w:hAnsi="Verdana" w:cs="Arial"/>
          <w:spacing w:val="-12"/>
          <w:sz w:val="16"/>
          <w:szCs w:val="16"/>
        </w:rPr>
      </w:pPr>
      <w:r w:rsidRPr="000536CF">
        <w:rPr>
          <w:rStyle w:val="FootnoteReference"/>
          <w:rFonts w:ascii="Verdana" w:hAnsi="Verdana"/>
          <w:spacing w:val="-12"/>
          <w:sz w:val="16"/>
          <w:szCs w:val="16"/>
        </w:rPr>
        <w:footnoteRef/>
      </w:r>
      <w:r w:rsidRPr="001C16AC">
        <w:rPr>
          <w:rFonts w:ascii="Verdana" w:hAnsi="Verdana"/>
          <w:spacing w:val="-12"/>
          <w:sz w:val="16"/>
          <w:szCs w:val="16"/>
        </w:rPr>
        <w:t xml:space="preserve"> </w:t>
      </w:r>
      <w:r w:rsidRPr="001C16AC">
        <w:rPr>
          <w:rFonts w:ascii="Verdana" w:hAnsi="Verdana"/>
          <w:spacing w:val="-12"/>
          <w:sz w:val="16"/>
          <w:szCs w:val="16"/>
        </w:rPr>
        <w:tab/>
      </w:r>
      <w:r w:rsidRPr="00B07413">
        <w:rPr>
          <w:rFonts w:ascii="Verdana" w:hAnsi="Verdana"/>
          <w:i/>
          <w:spacing w:val="-12"/>
          <w:sz w:val="16"/>
          <w:szCs w:val="16"/>
        </w:rPr>
        <w:t xml:space="preserve">Caso </w:t>
      </w:r>
      <w:proofErr w:type="spellStart"/>
      <w:r w:rsidRPr="00B07413">
        <w:rPr>
          <w:rFonts w:ascii="Verdana" w:hAnsi="Verdana"/>
          <w:i/>
          <w:spacing w:val="-12"/>
          <w:sz w:val="16"/>
          <w:szCs w:val="16"/>
        </w:rPr>
        <w:t>Apitz</w:t>
      </w:r>
      <w:proofErr w:type="spellEnd"/>
      <w:r w:rsidRPr="00B07413">
        <w:rPr>
          <w:rFonts w:ascii="Verdana" w:hAnsi="Verdana"/>
          <w:i/>
          <w:spacing w:val="-12"/>
          <w:sz w:val="16"/>
          <w:szCs w:val="16"/>
        </w:rPr>
        <w:t xml:space="preserve"> Barbera y otros Vs. Venezuela.</w:t>
      </w:r>
      <w:r w:rsidRPr="00B07413">
        <w:rPr>
          <w:rFonts w:ascii="Verdana" w:hAnsi="Verdana"/>
          <w:spacing w:val="-12"/>
          <w:sz w:val="16"/>
          <w:szCs w:val="16"/>
        </w:rPr>
        <w:t xml:space="preserve"> </w:t>
      </w:r>
      <w:r w:rsidRPr="00B07413">
        <w:rPr>
          <w:rFonts w:ascii="Verdana" w:hAnsi="Verdana"/>
          <w:i/>
          <w:spacing w:val="-12"/>
          <w:sz w:val="16"/>
          <w:szCs w:val="16"/>
        </w:rPr>
        <w:t>Excepción Preliminar, Fondo, Reparaciones y Costas</w:t>
      </w:r>
      <w:r w:rsidRPr="00B07413">
        <w:rPr>
          <w:rFonts w:ascii="Verdana" w:hAnsi="Verdana"/>
          <w:spacing w:val="-12"/>
          <w:sz w:val="16"/>
          <w:szCs w:val="16"/>
        </w:rPr>
        <w:t xml:space="preserve">. Sentencia de 5 de agosto de 2008. Serie C No. 182, párr. 209, y </w:t>
      </w:r>
      <w:r w:rsidRPr="00B07413">
        <w:rPr>
          <w:rFonts w:ascii="Verdana" w:hAnsi="Verdana"/>
          <w:i/>
          <w:spacing w:val="-12"/>
          <w:sz w:val="16"/>
          <w:szCs w:val="16"/>
        </w:rPr>
        <w:t>Caso Gutiérrez Hernández y otros Vs. Guatemala. Excepciones Preliminares, Fondo, Reparaciones y Costas.</w:t>
      </w:r>
      <w:r w:rsidRPr="00B07413">
        <w:rPr>
          <w:rFonts w:ascii="Verdana" w:hAnsi="Verdana"/>
          <w:spacing w:val="-12"/>
          <w:sz w:val="16"/>
          <w:szCs w:val="16"/>
        </w:rPr>
        <w:t xml:space="preserve"> Sentencia de 24 de agosto de 2017. Serie C No. 339, párr. 150</w:t>
      </w:r>
      <w:r w:rsidRPr="00B07413">
        <w:rPr>
          <w:rFonts w:ascii="Verdana" w:hAnsi="Verdana"/>
          <w:bCs/>
          <w:sz w:val="16"/>
          <w:szCs w:val="16"/>
        </w:rPr>
        <w:t>.</w:t>
      </w:r>
    </w:p>
  </w:footnote>
  <w:footnote w:id="216">
    <w:p w14:paraId="60907C71" w14:textId="523C5DDC" w:rsidR="00837BB9" w:rsidRPr="00CF3AED"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lang w:val="es-MX"/>
        </w:rPr>
        <w:tab/>
        <w:t>El artículo 2 de la Convención no define cuáles son las medidas pertinentes para la adecuación del derecho interno a la misma, obviamente por depender ello del carácter de la norma que la requiera y las circunstancias de la situación concreta. Por ello, la Corte ha interpretado que tal adecuación implica la adopción de medidas en dos vertientes, a saber: i) la supresión de las normas y prácticas de cualquier naturaleza que entrañen violación a las gar</w:t>
      </w:r>
      <w:r w:rsidRPr="006C24C0">
        <w:rPr>
          <w:rFonts w:ascii="Verdana" w:hAnsi="Verdana"/>
          <w:spacing w:val="-12"/>
          <w:sz w:val="16"/>
          <w:szCs w:val="16"/>
          <w:lang w:val="es-MX"/>
        </w:rPr>
        <w:t xml:space="preserve">antías previstas en la Convención o que desconozcan los derechos allí reconocidos u obstaculicen su ejercicio, y ii) la expedición de normas y el desarrollo de prácticas conducentes a la efectiva observancia de dichas garantías. </w:t>
      </w:r>
      <w:proofErr w:type="spellStart"/>
      <w:r w:rsidRPr="003100FE">
        <w:rPr>
          <w:rFonts w:ascii="Verdana" w:hAnsi="Verdana"/>
          <w:i/>
          <w:spacing w:val="-12"/>
          <w:sz w:val="16"/>
          <w:szCs w:val="16"/>
          <w:lang w:val="es-MX"/>
        </w:rPr>
        <w:t>Cfr</w:t>
      </w:r>
      <w:proofErr w:type="spellEnd"/>
      <w:r w:rsidRPr="0003211A">
        <w:rPr>
          <w:rFonts w:ascii="Verdana" w:hAnsi="Verdana"/>
          <w:i/>
          <w:spacing w:val="-12"/>
          <w:sz w:val="16"/>
          <w:szCs w:val="16"/>
          <w:lang w:val="es-CR"/>
        </w:rPr>
        <w:t xml:space="preserve">. Caso Castillo </w:t>
      </w:r>
      <w:proofErr w:type="spellStart"/>
      <w:r w:rsidRPr="0003211A">
        <w:rPr>
          <w:rFonts w:ascii="Verdana" w:hAnsi="Verdana"/>
          <w:i/>
          <w:spacing w:val="-12"/>
          <w:sz w:val="16"/>
          <w:szCs w:val="16"/>
          <w:lang w:val="es-CR"/>
        </w:rPr>
        <w:t>Petruzzi</w:t>
      </w:r>
      <w:proofErr w:type="spellEnd"/>
      <w:r w:rsidRPr="00CE7020">
        <w:rPr>
          <w:rFonts w:ascii="Verdana" w:hAnsi="Verdana"/>
          <w:i/>
          <w:spacing w:val="-12"/>
          <w:sz w:val="16"/>
          <w:szCs w:val="16"/>
          <w:lang w:val="es-CR"/>
        </w:rPr>
        <w:t xml:space="preserve"> y otros Vs. Perú. Fondo, Reparaciones y Costas. </w:t>
      </w:r>
      <w:r w:rsidRPr="00CE7020">
        <w:rPr>
          <w:rFonts w:ascii="Verdana" w:hAnsi="Verdana"/>
          <w:spacing w:val="-12"/>
          <w:sz w:val="16"/>
          <w:szCs w:val="16"/>
          <w:lang w:val="es-CR"/>
        </w:rPr>
        <w:t>Sentencia de 30 de mayo de 1999. Serie C No. 52, párr. 207;</w:t>
      </w:r>
      <w:r w:rsidRPr="00773F82" w:rsidDel="00460F91">
        <w:rPr>
          <w:rFonts w:ascii="Verdana" w:hAnsi="Verdana"/>
          <w:spacing w:val="-12"/>
          <w:sz w:val="16"/>
          <w:szCs w:val="16"/>
          <w:lang w:val="es-CR"/>
        </w:rPr>
        <w:t xml:space="preserve"> </w:t>
      </w:r>
      <w:r w:rsidRPr="00290E0C">
        <w:rPr>
          <w:rFonts w:ascii="Verdana" w:hAnsi="Verdana"/>
          <w:i/>
          <w:spacing w:val="-12"/>
          <w:sz w:val="16"/>
          <w:szCs w:val="16"/>
          <w:lang w:val="es-CR"/>
        </w:rPr>
        <w:t xml:space="preserve">Caso La Cantuta </w:t>
      </w:r>
      <w:r w:rsidRPr="0054215F">
        <w:rPr>
          <w:rFonts w:ascii="Verdana" w:hAnsi="Verdana"/>
          <w:i/>
          <w:spacing w:val="-12"/>
          <w:sz w:val="16"/>
          <w:szCs w:val="16"/>
          <w:lang w:val="es-CR"/>
        </w:rPr>
        <w:t>Vs.</w:t>
      </w:r>
      <w:r w:rsidRPr="00D758B5">
        <w:rPr>
          <w:rFonts w:ascii="Verdana" w:hAnsi="Verdana"/>
          <w:i/>
          <w:spacing w:val="-12"/>
          <w:sz w:val="16"/>
          <w:szCs w:val="16"/>
          <w:lang w:val="es-CR"/>
        </w:rPr>
        <w:t xml:space="preserve"> Perú, Fondo, Reparaciones y Costas. </w:t>
      </w:r>
      <w:r w:rsidRPr="00CF3AED">
        <w:rPr>
          <w:rFonts w:ascii="Verdana" w:hAnsi="Verdana"/>
          <w:spacing w:val="-12"/>
          <w:sz w:val="16"/>
          <w:szCs w:val="16"/>
          <w:lang w:val="es-CR"/>
        </w:rPr>
        <w:t xml:space="preserve">Sentencia de 29 de noviembre de 2006. Serie C No. 162, párr. 172,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186</w:t>
      </w:r>
      <w:r w:rsidRPr="00CF3AED">
        <w:rPr>
          <w:rFonts w:ascii="Verdana" w:hAnsi="Verdana"/>
          <w:spacing w:val="-12"/>
          <w:sz w:val="16"/>
          <w:szCs w:val="16"/>
          <w:lang w:val="es-CR"/>
        </w:rPr>
        <w:t>.</w:t>
      </w:r>
    </w:p>
  </w:footnote>
  <w:footnote w:id="217">
    <w:p w14:paraId="6D188C02" w14:textId="51B2845F" w:rsidR="00837BB9" w:rsidRPr="007C51D0"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lang w:val="es-MX"/>
        </w:rPr>
        <w:footnoteRef/>
      </w:r>
      <w:r w:rsidRPr="007C51D0">
        <w:rPr>
          <w:rFonts w:ascii="Verdana" w:hAnsi="Verdana"/>
          <w:spacing w:val="-12"/>
          <w:sz w:val="16"/>
          <w:szCs w:val="16"/>
        </w:rPr>
        <w:t xml:space="preserve"> </w:t>
      </w:r>
      <w:r w:rsidRPr="007C51D0">
        <w:rPr>
          <w:rFonts w:ascii="Verdana" w:hAnsi="Verdana"/>
          <w:spacing w:val="-12"/>
          <w:sz w:val="16"/>
          <w:szCs w:val="16"/>
          <w:lang w:val="es-CR"/>
        </w:rPr>
        <w:tab/>
      </w:r>
      <w:r w:rsidRPr="00CF3AED">
        <w:rPr>
          <w:rFonts w:ascii="Verdana" w:hAnsi="Verdana"/>
          <w:i/>
          <w:spacing w:val="-12"/>
          <w:sz w:val="16"/>
          <w:szCs w:val="16"/>
          <w:lang w:val="es-CR"/>
        </w:rPr>
        <w:t>Cfr.</w:t>
      </w:r>
      <w:r>
        <w:rPr>
          <w:rFonts w:ascii="Verdana" w:hAnsi="Verdana"/>
          <w:i/>
          <w:spacing w:val="-12"/>
          <w:sz w:val="16"/>
          <w:szCs w:val="16"/>
          <w:lang w:val="es-CR"/>
        </w:rPr>
        <w:t xml:space="preserve">, mutatis </w:t>
      </w:r>
      <w:proofErr w:type="spellStart"/>
      <w:r>
        <w:rPr>
          <w:rFonts w:ascii="Verdana" w:hAnsi="Verdana"/>
          <w:i/>
          <w:spacing w:val="-12"/>
          <w:sz w:val="16"/>
          <w:szCs w:val="16"/>
          <w:lang w:val="es-CR"/>
        </w:rPr>
        <w:t>mutandi</w:t>
      </w:r>
      <w:proofErr w:type="spellEnd"/>
      <w:r>
        <w:rPr>
          <w:rFonts w:ascii="Verdana" w:hAnsi="Verdana"/>
          <w:i/>
          <w:spacing w:val="-12"/>
          <w:sz w:val="16"/>
          <w:szCs w:val="16"/>
          <w:lang w:val="es-CR"/>
        </w:rPr>
        <w:t>,</w:t>
      </w:r>
      <w:r w:rsidRPr="00CF3AED">
        <w:rPr>
          <w:rFonts w:ascii="Verdana" w:hAnsi="Verdana"/>
          <w:i/>
          <w:spacing w:val="-12"/>
          <w:sz w:val="16"/>
          <w:szCs w:val="16"/>
          <w:lang w:val="es-CR"/>
        </w:rPr>
        <w:t xml:space="preserve"> Caso Chinchilla Sandoval Vs.</w:t>
      </w:r>
      <w:r w:rsidRPr="006203B0">
        <w:rPr>
          <w:rFonts w:ascii="Verdana" w:hAnsi="Verdana"/>
          <w:i/>
          <w:spacing w:val="-12"/>
          <w:sz w:val="16"/>
          <w:szCs w:val="16"/>
          <w:lang w:val="es-CR"/>
        </w:rPr>
        <w:t xml:space="preserve"> Guatemala</w:t>
      </w:r>
      <w:r w:rsidRPr="00FC1D38">
        <w:rPr>
          <w:rFonts w:ascii="Verdana" w:hAnsi="Verdana"/>
          <w:i/>
          <w:spacing w:val="-12"/>
          <w:sz w:val="16"/>
          <w:szCs w:val="16"/>
          <w:lang w:val="es-CR"/>
        </w:rPr>
        <w:t>. Excepción Preliminar, Fondo, Reparaciones y Costas.</w:t>
      </w:r>
      <w:r w:rsidRPr="000536CF">
        <w:rPr>
          <w:rFonts w:ascii="Verdana" w:hAnsi="Verdana"/>
          <w:spacing w:val="-12"/>
          <w:sz w:val="16"/>
          <w:szCs w:val="16"/>
          <w:lang w:val="es-CR"/>
        </w:rPr>
        <w:t xml:space="preserve"> Sentencia de 29 de febrero de 2016. Serie C No. 312</w:t>
      </w:r>
      <w:r w:rsidRPr="00A556E1">
        <w:rPr>
          <w:rFonts w:ascii="Verdana" w:hAnsi="Verdana"/>
          <w:i/>
          <w:spacing w:val="-12"/>
          <w:sz w:val="16"/>
          <w:szCs w:val="16"/>
          <w:lang w:val="es-CR"/>
        </w:rPr>
        <w:t xml:space="preserve">, </w:t>
      </w:r>
      <w:r w:rsidRPr="006001C8">
        <w:rPr>
          <w:rFonts w:ascii="Verdana" w:hAnsi="Verdana"/>
          <w:spacing w:val="-12"/>
          <w:sz w:val="16"/>
          <w:szCs w:val="16"/>
          <w:lang w:val="es-CR"/>
        </w:rPr>
        <w:t>párr. 254</w:t>
      </w:r>
      <w:r>
        <w:rPr>
          <w:rFonts w:ascii="Verdana" w:hAnsi="Verdana"/>
          <w:spacing w:val="-12"/>
          <w:sz w:val="16"/>
          <w:szCs w:val="16"/>
          <w:lang w:val="es-CR"/>
        </w:rPr>
        <w:t xml:space="preserve">; y </w:t>
      </w:r>
      <w:r>
        <w:rPr>
          <w:rFonts w:ascii="Verdana" w:eastAsiaTheme="minorHAnsi" w:hAnsi="Verdana" w:cs="Cambria"/>
          <w:bCs/>
          <w:i/>
          <w:spacing w:val="-12"/>
          <w:sz w:val="16"/>
          <w:szCs w:val="16"/>
          <w:lang w:val="es-CR"/>
        </w:rPr>
        <w:t>Caso Lagos del Campo Vs. Perú, supra</w:t>
      </w:r>
      <w:r>
        <w:rPr>
          <w:rFonts w:ascii="Verdana" w:eastAsiaTheme="minorHAnsi" w:hAnsi="Verdana" w:cs="Cambria"/>
          <w:bCs/>
          <w:spacing w:val="-12"/>
          <w:sz w:val="16"/>
          <w:szCs w:val="16"/>
          <w:lang w:val="es-CR"/>
        </w:rPr>
        <w:t>, párr. 165</w:t>
      </w:r>
      <w:r w:rsidRPr="006001C8">
        <w:rPr>
          <w:rFonts w:ascii="Verdana" w:hAnsi="Verdana"/>
          <w:spacing w:val="-12"/>
          <w:sz w:val="16"/>
          <w:szCs w:val="16"/>
          <w:lang w:val="es-CR"/>
        </w:rPr>
        <w:t>.</w:t>
      </w:r>
    </w:p>
  </w:footnote>
  <w:footnote w:id="218">
    <w:p w14:paraId="646EB1ED" w14:textId="2A33FD2D" w:rsidR="00837BB9" w:rsidRPr="00D55480" w:rsidRDefault="00837BB9" w:rsidP="008349B1">
      <w:pPr>
        <w:tabs>
          <w:tab w:val="left" w:pos="0"/>
        </w:tabs>
        <w:spacing w:before="120" w:after="120" w:line="240" w:lineRule="auto"/>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hAnsi="Verdana"/>
          <w:i/>
          <w:spacing w:val="-12"/>
          <w:sz w:val="16"/>
          <w:szCs w:val="16"/>
          <w:lang w:val="es-MX"/>
        </w:rPr>
        <w:t xml:space="preserve">Cfr. Caso </w:t>
      </w:r>
      <w:proofErr w:type="spellStart"/>
      <w:r w:rsidRPr="00CF3AED">
        <w:rPr>
          <w:rFonts w:ascii="Verdana" w:hAnsi="Verdana"/>
          <w:i/>
          <w:spacing w:val="-12"/>
          <w:sz w:val="16"/>
          <w:szCs w:val="16"/>
          <w:lang w:val="es-MX"/>
        </w:rPr>
        <w:t>Yvon</w:t>
      </w:r>
      <w:proofErr w:type="spellEnd"/>
      <w:r w:rsidRPr="00CF3AED">
        <w:rPr>
          <w:rFonts w:ascii="Verdana" w:hAnsi="Verdana"/>
          <w:i/>
          <w:spacing w:val="-12"/>
          <w:sz w:val="16"/>
          <w:szCs w:val="16"/>
          <w:lang w:val="es-MX"/>
        </w:rPr>
        <w:t xml:space="preserve"> </w:t>
      </w:r>
      <w:proofErr w:type="spellStart"/>
      <w:r w:rsidRPr="00CF3AED">
        <w:rPr>
          <w:rFonts w:ascii="Verdana" w:hAnsi="Verdana"/>
          <w:i/>
          <w:spacing w:val="-12"/>
          <w:sz w:val="16"/>
          <w:szCs w:val="16"/>
          <w:lang w:val="es-MX"/>
        </w:rPr>
        <w:t>Neptune</w:t>
      </w:r>
      <w:proofErr w:type="spellEnd"/>
      <w:r w:rsidRPr="00CF3AED">
        <w:rPr>
          <w:rFonts w:ascii="Verdana" w:hAnsi="Verdana"/>
          <w:i/>
          <w:spacing w:val="-12"/>
          <w:sz w:val="16"/>
          <w:szCs w:val="16"/>
          <w:lang w:val="es-MX"/>
        </w:rPr>
        <w:t xml:space="preserve"> Vs. Haití. Fondo, Reparaciones y Costas</w:t>
      </w:r>
      <w:r w:rsidRPr="00CF3AED">
        <w:rPr>
          <w:rFonts w:ascii="Verdana" w:hAnsi="Verdana"/>
          <w:spacing w:val="-12"/>
          <w:sz w:val="16"/>
          <w:szCs w:val="16"/>
          <w:lang w:val="es-MX"/>
        </w:rPr>
        <w:t xml:space="preserve">. Sentencia de 6 de mayo de 2008. Serie C No. 180, párr. 129; y </w:t>
      </w:r>
      <w:r w:rsidRPr="006203B0">
        <w:rPr>
          <w:rFonts w:ascii="Verdana" w:hAnsi="Verdana"/>
          <w:i/>
          <w:spacing w:val="-12"/>
          <w:sz w:val="16"/>
          <w:szCs w:val="16"/>
        </w:rPr>
        <w:t>Caso Pollo Rivera y otros Vs. Perú.</w:t>
      </w:r>
      <w:r w:rsidRPr="000536CF">
        <w:rPr>
          <w:rFonts w:ascii="Verdana" w:hAnsi="Verdana"/>
          <w:spacing w:val="-12"/>
          <w:sz w:val="16"/>
          <w:szCs w:val="16"/>
        </w:rPr>
        <w:t>,</w:t>
      </w:r>
      <w:r w:rsidRPr="00A556E1">
        <w:rPr>
          <w:rFonts w:ascii="Verdana" w:hAnsi="Verdana"/>
          <w:spacing w:val="-12"/>
          <w:sz w:val="16"/>
          <w:szCs w:val="16"/>
        </w:rPr>
        <w:t xml:space="preserve"> </w:t>
      </w:r>
      <w:r w:rsidRPr="001C16AC">
        <w:rPr>
          <w:rFonts w:ascii="Verdana" w:hAnsi="Verdana"/>
          <w:i/>
          <w:spacing w:val="-12"/>
          <w:sz w:val="16"/>
          <w:szCs w:val="16"/>
        </w:rPr>
        <w:t>supra,</w:t>
      </w:r>
      <w:r w:rsidRPr="006001C8">
        <w:rPr>
          <w:rFonts w:ascii="Verdana" w:hAnsi="Verdana"/>
          <w:spacing w:val="-12"/>
          <w:sz w:val="16"/>
          <w:szCs w:val="16"/>
        </w:rPr>
        <w:t xml:space="preserve"> párr. 136.</w:t>
      </w:r>
    </w:p>
  </w:footnote>
  <w:footnote w:id="219">
    <w:p w14:paraId="05ACAD0A" w14:textId="7FAFFD4F" w:rsidR="00837BB9" w:rsidRPr="006C24C0" w:rsidRDefault="00837BB9" w:rsidP="008349B1">
      <w:pPr>
        <w:pStyle w:val="FootnoteText"/>
        <w:spacing w:before="120" w:after="120"/>
        <w:jc w:val="both"/>
        <w:rPr>
          <w:rFonts w:ascii="Verdana" w:hAnsi="Verdana"/>
          <w:spacing w:val="-12"/>
          <w:sz w:val="16"/>
          <w:szCs w:val="16"/>
          <w:lang w:val="es-MX"/>
        </w:rPr>
      </w:pPr>
      <w:r w:rsidRPr="00D55480">
        <w:rPr>
          <w:rStyle w:val="FootnoteReference"/>
          <w:rFonts w:ascii="Verdana" w:hAnsi="Verdana"/>
          <w:spacing w:val="-12"/>
          <w:sz w:val="16"/>
          <w:szCs w:val="16"/>
          <w:lang w:val="es-MX"/>
        </w:rPr>
        <w:footnoteRef/>
      </w:r>
      <w:r w:rsidRPr="009E304D">
        <w:rPr>
          <w:rFonts w:ascii="Verdana" w:hAnsi="Verdana"/>
          <w:spacing w:val="-12"/>
          <w:sz w:val="16"/>
          <w:szCs w:val="16"/>
          <w:lang w:val="es-MX"/>
        </w:rPr>
        <w:t xml:space="preserve"> </w:t>
      </w:r>
      <w:r w:rsidRPr="009E304D">
        <w:rPr>
          <w:rFonts w:ascii="Verdana" w:hAnsi="Verdana"/>
          <w:spacing w:val="-12"/>
          <w:sz w:val="16"/>
          <w:szCs w:val="16"/>
          <w:lang w:val="es-MX"/>
        </w:rPr>
        <w:tab/>
      </w:r>
      <w:r w:rsidRPr="009E7E48">
        <w:rPr>
          <w:rFonts w:ascii="Verdana" w:eastAsia="Calibri" w:hAnsi="Verdana"/>
          <w:i/>
          <w:spacing w:val="-12"/>
          <w:sz w:val="16"/>
          <w:szCs w:val="16"/>
          <w:lang w:val="es-MX"/>
        </w:rPr>
        <w:t>Cfr. Caso Loayza Tamayo Vs. Perú</w:t>
      </w:r>
      <w:r>
        <w:rPr>
          <w:rFonts w:ascii="Verdana" w:eastAsia="Calibri" w:hAnsi="Verdana"/>
          <w:i/>
          <w:spacing w:val="-12"/>
          <w:sz w:val="16"/>
          <w:szCs w:val="16"/>
          <w:lang w:val="es-MX"/>
        </w:rPr>
        <w:t>. Fondo,</w:t>
      </w:r>
      <w:r w:rsidRPr="009E7E48">
        <w:rPr>
          <w:rFonts w:ascii="Verdana" w:eastAsia="Calibri" w:hAnsi="Verdana"/>
          <w:i/>
          <w:spacing w:val="-12"/>
          <w:sz w:val="16"/>
          <w:szCs w:val="16"/>
          <w:lang w:val="es-MX"/>
        </w:rPr>
        <w:t xml:space="preserve"> supra</w:t>
      </w:r>
      <w:r w:rsidRPr="008B6122">
        <w:rPr>
          <w:rFonts w:ascii="Verdana" w:eastAsia="Calibri" w:hAnsi="Verdana"/>
          <w:spacing w:val="-12"/>
          <w:sz w:val="16"/>
          <w:szCs w:val="16"/>
          <w:lang w:val="es-MX"/>
        </w:rPr>
        <w:t>,</w:t>
      </w:r>
      <w:r w:rsidRPr="008B6122">
        <w:rPr>
          <w:rFonts w:ascii="Verdana" w:hAnsi="Verdana" w:cs="Verdana"/>
          <w:i/>
          <w:spacing w:val="-12"/>
          <w:sz w:val="16"/>
          <w:szCs w:val="16"/>
          <w:lang w:val="es-MX"/>
        </w:rPr>
        <w:t xml:space="preserve"> </w:t>
      </w:r>
      <w:proofErr w:type="spellStart"/>
      <w:r w:rsidRPr="0012407E">
        <w:rPr>
          <w:rFonts w:ascii="Verdana" w:eastAsia="Calibri" w:hAnsi="Verdana"/>
          <w:spacing w:val="-12"/>
          <w:sz w:val="16"/>
          <w:szCs w:val="16"/>
          <w:lang w:val="es-MX"/>
        </w:rPr>
        <w:t>párrs</w:t>
      </w:r>
      <w:proofErr w:type="spellEnd"/>
      <w:r w:rsidRPr="0012407E">
        <w:rPr>
          <w:rFonts w:ascii="Verdana" w:eastAsia="Calibri" w:hAnsi="Verdana"/>
          <w:spacing w:val="-12"/>
          <w:sz w:val="16"/>
          <w:szCs w:val="16"/>
          <w:lang w:val="es-MX"/>
        </w:rPr>
        <w:t>. 57</w:t>
      </w:r>
      <w:r w:rsidRPr="00C7142E">
        <w:rPr>
          <w:rFonts w:ascii="Verdana" w:eastAsia="Calibri" w:hAnsi="Verdana"/>
          <w:spacing w:val="-12"/>
          <w:sz w:val="16"/>
          <w:szCs w:val="16"/>
          <w:lang w:val="es-MX"/>
        </w:rPr>
        <w:t xml:space="preserve">, y </w:t>
      </w:r>
      <w:r w:rsidRPr="00EC5CEA">
        <w:rPr>
          <w:rFonts w:ascii="Verdana" w:eastAsia="Calibri" w:hAnsi="Verdana"/>
          <w:i/>
          <w:spacing w:val="-12"/>
          <w:sz w:val="16"/>
          <w:szCs w:val="16"/>
          <w:lang w:val="es-MX"/>
        </w:rPr>
        <w:t>Caso Ortiz Hernández y otros Vs. Venezuela. Fondo, Reparaciones y Costas</w:t>
      </w:r>
      <w:r w:rsidRPr="00EC5CEA">
        <w:rPr>
          <w:rFonts w:ascii="Verdana" w:eastAsia="Calibri" w:hAnsi="Verdana"/>
          <w:spacing w:val="-12"/>
          <w:sz w:val="16"/>
          <w:szCs w:val="16"/>
          <w:lang w:val="es-MX"/>
        </w:rPr>
        <w:t>. Sentencia de 22 de agosto de 2017. Serie C No. 338, párr. 102.</w:t>
      </w:r>
    </w:p>
  </w:footnote>
  <w:footnote w:id="220">
    <w:p w14:paraId="4C77073D" w14:textId="7E1128A1" w:rsidR="00837BB9" w:rsidRPr="00CF3AED" w:rsidRDefault="00837BB9" w:rsidP="008349B1">
      <w:pPr>
        <w:pStyle w:val="FootnoteText"/>
        <w:spacing w:before="120" w:after="120"/>
        <w:jc w:val="both"/>
        <w:rPr>
          <w:rFonts w:ascii="Verdana" w:hAnsi="Verdana"/>
          <w:spacing w:val="-12"/>
          <w:sz w:val="16"/>
          <w:szCs w:val="16"/>
          <w:lang w:val="es-ES_tradnl"/>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iCs/>
          <w:spacing w:val="-12"/>
          <w:sz w:val="16"/>
          <w:szCs w:val="16"/>
          <w:lang w:val="es-ES_tradnl"/>
        </w:rPr>
        <w:t xml:space="preserve">Cfr. </w:t>
      </w:r>
      <w:r w:rsidRPr="00A137E6">
        <w:rPr>
          <w:rFonts w:ascii="Verdana" w:hAnsi="Verdana"/>
          <w:i/>
          <w:iCs/>
          <w:spacing w:val="-12"/>
          <w:sz w:val="16"/>
          <w:szCs w:val="16"/>
          <w:lang w:val="es-ES"/>
        </w:rPr>
        <w:t xml:space="preserve">Caso Myrna </w:t>
      </w:r>
      <w:proofErr w:type="spellStart"/>
      <w:r w:rsidRPr="00A137E6">
        <w:rPr>
          <w:rFonts w:ascii="Verdana" w:hAnsi="Verdana"/>
          <w:i/>
          <w:iCs/>
          <w:spacing w:val="-12"/>
          <w:sz w:val="16"/>
          <w:szCs w:val="16"/>
          <w:lang w:val="es-ES"/>
        </w:rPr>
        <w:t>Mack</w:t>
      </w:r>
      <w:proofErr w:type="spellEnd"/>
      <w:r w:rsidRPr="00A137E6">
        <w:rPr>
          <w:rFonts w:ascii="Verdana" w:hAnsi="Verdana"/>
          <w:i/>
          <w:iCs/>
          <w:spacing w:val="-12"/>
          <w:sz w:val="16"/>
          <w:szCs w:val="16"/>
          <w:lang w:val="es-ES"/>
        </w:rPr>
        <w:t xml:space="preserve"> Chang</w:t>
      </w:r>
      <w:r w:rsidRPr="0069409D">
        <w:rPr>
          <w:rFonts w:ascii="Verdana" w:hAnsi="Verdana"/>
          <w:i/>
          <w:iCs/>
          <w:spacing w:val="-12"/>
          <w:sz w:val="16"/>
          <w:szCs w:val="16"/>
          <w:lang w:val="es-ES"/>
        </w:rPr>
        <w:t xml:space="preserve"> Vs. Guatemala</w:t>
      </w:r>
      <w:r w:rsidRPr="007C51D0">
        <w:rPr>
          <w:rFonts w:ascii="Verdana" w:eastAsiaTheme="minorHAnsi" w:hAnsi="Verdana" w:cstheme="minorBidi"/>
          <w:bCs/>
          <w:color w:val="000000"/>
          <w:sz w:val="16"/>
          <w:szCs w:val="16"/>
          <w:shd w:val="clear" w:color="auto" w:fill="FFFFFF"/>
          <w:lang w:val="es-CR"/>
        </w:rPr>
        <w:t xml:space="preserve">. </w:t>
      </w:r>
      <w:r w:rsidRPr="007C51D0">
        <w:rPr>
          <w:rFonts w:ascii="Verdana" w:hAnsi="Verdana"/>
          <w:bCs/>
          <w:i/>
          <w:iCs/>
          <w:spacing w:val="-12"/>
          <w:sz w:val="16"/>
          <w:szCs w:val="16"/>
          <w:lang w:val="es-CR"/>
        </w:rPr>
        <w:t xml:space="preserve">Fondo, Reparaciones y Costas. </w:t>
      </w:r>
      <w:r w:rsidRPr="007C51D0">
        <w:rPr>
          <w:rFonts w:ascii="Verdana" w:hAnsi="Verdana"/>
          <w:bCs/>
          <w:iCs/>
          <w:spacing w:val="-12"/>
          <w:sz w:val="16"/>
          <w:szCs w:val="16"/>
          <w:lang w:val="es-CR"/>
        </w:rPr>
        <w:t>Sentencia de 25 de noviembre de 2003. Serie C No. 101</w:t>
      </w:r>
      <w:r w:rsidRPr="00CF3AED">
        <w:rPr>
          <w:rFonts w:ascii="Verdana" w:hAnsi="Verdana"/>
          <w:i/>
          <w:iCs/>
          <w:spacing w:val="-12"/>
          <w:sz w:val="16"/>
          <w:szCs w:val="16"/>
          <w:lang w:val="es-ES_tradnl"/>
        </w:rPr>
        <w:t xml:space="preserve">, </w:t>
      </w:r>
      <w:r w:rsidRPr="006203B0">
        <w:rPr>
          <w:rFonts w:ascii="Verdana" w:hAnsi="Verdana"/>
          <w:spacing w:val="-12"/>
          <w:sz w:val="16"/>
          <w:szCs w:val="16"/>
          <w:lang w:val="es-ES"/>
        </w:rPr>
        <w:t xml:space="preserve">párr. 232, y </w:t>
      </w:r>
      <w:r w:rsidRPr="00EC5CEA">
        <w:rPr>
          <w:rFonts w:ascii="Verdana" w:hAnsi="Verdana"/>
          <w:i/>
          <w:spacing w:val="-12"/>
          <w:sz w:val="16"/>
          <w:szCs w:val="16"/>
          <w:lang w:val="es-ES"/>
        </w:rPr>
        <w:t>Caso Valencia Hinojosa y otra Vs. Ecuador. Excepciones Preliminares, Fondo, Reparaciones y Costas</w:t>
      </w:r>
      <w:r w:rsidRPr="00EC5CEA">
        <w:rPr>
          <w:rFonts w:ascii="Verdana" w:hAnsi="Verdana"/>
          <w:spacing w:val="-12"/>
          <w:sz w:val="16"/>
          <w:szCs w:val="16"/>
          <w:lang w:val="es-ES"/>
        </w:rPr>
        <w:t>. Sentencia de 29 de noviembre de 2016. Serie C No. 327, párr. 143.</w:t>
      </w:r>
    </w:p>
  </w:footnote>
  <w:footnote w:id="221">
    <w:p w14:paraId="0D5D8841" w14:textId="6194163B" w:rsidR="00837BB9" w:rsidRPr="006203B0" w:rsidRDefault="00837BB9" w:rsidP="008349B1">
      <w:pPr>
        <w:pStyle w:val="FootnoteText"/>
        <w:spacing w:before="120" w:after="120"/>
        <w:jc w:val="both"/>
        <w:rPr>
          <w:rFonts w:ascii="Verdana" w:hAnsi="Verdana"/>
          <w:spacing w:val="-12"/>
          <w:sz w:val="16"/>
          <w:szCs w:val="16"/>
          <w:lang w:val="es-CR"/>
        </w:rPr>
      </w:pPr>
      <w:r w:rsidRPr="006203B0">
        <w:rPr>
          <w:rStyle w:val="FootnoteReference"/>
          <w:rFonts w:ascii="Verdana" w:hAnsi="Verdana"/>
          <w:spacing w:val="-12"/>
          <w:sz w:val="16"/>
          <w:szCs w:val="16"/>
        </w:rPr>
        <w:footnoteRef/>
      </w:r>
      <w:r w:rsidRPr="00FC1D38">
        <w:rPr>
          <w:rFonts w:ascii="Verdana" w:hAnsi="Verdana"/>
          <w:b/>
          <w:bCs/>
          <w:spacing w:val="-12"/>
          <w:sz w:val="16"/>
          <w:szCs w:val="16"/>
          <w:lang w:val="es-CR"/>
        </w:rPr>
        <w:t xml:space="preserve"> </w:t>
      </w:r>
      <w:r w:rsidRPr="00FC1D38">
        <w:rPr>
          <w:rFonts w:ascii="Verdana" w:hAnsi="Verdana"/>
          <w:b/>
          <w:bCs/>
          <w:spacing w:val="-12"/>
          <w:sz w:val="16"/>
          <w:szCs w:val="16"/>
          <w:lang w:val="es-CR"/>
        </w:rPr>
        <w:tab/>
      </w:r>
      <w:r w:rsidRPr="000536CF">
        <w:rPr>
          <w:rFonts w:ascii="Verdana" w:hAnsi="Verdana"/>
          <w:bCs/>
          <w:i/>
          <w:spacing w:val="-12"/>
          <w:sz w:val="16"/>
          <w:szCs w:val="16"/>
          <w:lang w:val="es-CR"/>
        </w:rPr>
        <w:t xml:space="preserve">Cfr. </w:t>
      </w:r>
      <w:r w:rsidRPr="000536CF">
        <w:rPr>
          <w:rStyle w:val="Strong"/>
          <w:rFonts w:ascii="Verdana" w:hAnsi="Verdana"/>
          <w:b w:val="0"/>
          <w:i/>
          <w:color w:val="000000"/>
          <w:spacing w:val="-12"/>
          <w:sz w:val="16"/>
          <w:szCs w:val="16"/>
          <w:shd w:val="clear" w:color="auto" w:fill="FFFFFF"/>
        </w:rPr>
        <w:t>Caso García Ibarra y otros Vs. Ecuador</w:t>
      </w:r>
      <w:r w:rsidRPr="007C51D0">
        <w:rPr>
          <w:rFonts w:ascii="Verdana" w:hAnsi="Verdana"/>
          <w:bCs/>
          <w:i/>
          <w:color w:val="000000"/>
          <w:spacing w:val="-12"/>
          <w:sz w:val="16"/>
          <w:szCs w:val="16"/>
          <w:shd w:val="clear" w:color="auto" w:fill="FFFFFF"/>
          <w:lang w:val="es-CR"/>
        </w:rPr>
        <w:t xml:space="preserve">. Excepciones Preliminares, Fondo, Reparaciones y Costas. </w:t>
      </w:r>
      <w:r w:rsidRPr="007C51D0">
        <w:rPr>
          <w:rFonts w:ascii="Verdana" w:hAnsi="Verdana"/>
          <w:bCs/>
          <w:color w:val="000000"/>
          <w:spacing w:val="-12"/>
          <w:sz w:val="16"/>
          <w:szCs w:val="16"/>
          <w:shd w:val="clear" w:color="auto" w:fill="FFFFFF"/>
          <w:lang w:val="es-CR"/>
        </w:rPr>
        <w:t>Sentencia de 17 de noviembre de 2015. Serie C No. 306</w:t>
      </w:r>
      <w:r w:rsidRPr="00CF3AED">
        <w:rPr>
          <w:rStyle w:val="Strong"/>
          <w:rFonts w:ascii="Verdana" w:hAnsi="Verdana"/>
          <w:b w:val="0"/>
          <w:color w:val="000000"/>
          <w:spacing w:val="-12"/>
          <w:sz w:val="16"/>
          <w:szCs w:val="16"/>
          <w:shd w:val="clear" w:color="auto" w:fill="FFFFFF"/>
        </w:rPr>
        <w:t xml:space="preserve">, </w:t>
      </w:r>
      <w:r w:rsidRPr="00CF3AED">
        <w:rPr>
          <w:rFonts w:ascii="Verdana" w:hAnsi="Verdana"/>
          <w:bCs/>
          <w:spacing w:val="-12"/>
          <w:sz w:val="16"/>
          <w:szCs w:val="16"/>
          <w:lang w:val="es-CR"/>
        </w:rPr>
        <w:t xml:space="preserve">párr. </w:t>
      </w:r>
      <w:r w:rsidRPr="006203B0">
        <w:rPr>
          <w:rFonts w:ascii="Verdana" w:hAnsi="Verdana"/>
          <w:spacing w:val="-12"/>
          <w:sz w:val="16"/>
          <w:szCs w:val="16"/>
          <w:lang w:val="es-CR"/>
        </w:rPr>
        <w:t>169</w:t>
      </w:r>
      <w:r>
        <w:rPr>
          <w:rFonts w:ascii="Verdana" w:hAnsi="Verdana"/>
          <w:spacing w:val="-12"/>
          <w:sz w:val="16"/>
          <w:szCs w:val="16"/>
          <w:lang w:val="es-CR"/>
        </w:rPr>
        <w:t xml:space="preserve">; </w:t>
      </w:r>
      <w:r w:rsidRPr="00EC5CEA">
        <w:rPr>
          <w:rFonts w:ascii="Verdana" w:hAnsi="Verdana"/>
          <w:i/>
          <w:spacing w:val="-12"/>
          <w:sz w:val="16"/>
          <w:szCs w:val="16"/>
          <w:lang w:val="es-ES"/>
        </w:rPr>
        <w:t>Caso Valen</w:t>
      </w:r>
      <w:r>
        <w:rPr>
          <w:rFonts w:ascii="Verdana" w:hAnsi="Verdana"/>
          <w:i/>
          <w:spacing w:val="-12"/>
          <w:sz w:val="16"/>
          <w:szCs w:val="16"/>
          <w:lang w:val="es-ES"/>
        </w:rPr>
        <w:t>cia Hinojosa y otra Vs. Ecuador, supra</w:t>
      </w:r>
      <w:r w:rsidRPr="00EC5CEA">
        <w:rPr>
          <w:rFonts w:ascii="Verdana" w:hAnsi="Verdana"/>
          <w:spacing w:val="-12"/>
          <w:sz w:val="16"/>
          <w:szCs w:val="16"/>
          <w:lang w:val="es-ES"/>
        </w:rPr>
        <w:t>, párr. 143</w:t>
      </w:r>
      <w:r w:rsidRPr="006203B0">
        <w:rPr>
          <w:rFonts w:ascii="Verdana" w:hAnsi="Verdana"/>
          <w:spacing w:val="-12"/>
          <w:sz w:val="16"/>
          <w:szCs w:val="16"/>
          <w:lang w:val="es-CR"/>
        </w:rPr>
        <w:t>.</w:t>
      </w:r>
    </w:p>
  </w:footnote>
  <w:footnote w:id="222">
    <w:p w14:paraId="27A3F9B3" w14:textId="7436E177" w:rsidR="00837BB9" w:rsidRPr="00C7142E" w:rsidRDefault="00837BB9" w:rsidP="008349B1">
      <w:pPr>
        <w:pStyle w:val="FootnoteText"/>
        <w:spacing w:before="120" w:after="120"/>
        <w:jc w:val="both"/>
        <w:rPr>
          <w:rFonts w:ascii="Verdana" w:hAnsi="Verdana"/>
          <w:spacing w:val="-12"/>
          <w:sz w:val="16"/>
          <w:szCs w:val="16"/>
          <w:lang w:val="es-CR"/>
        </w:rPr>
      </w:pPr>
      <w:r w:rsidRPr="00FC1D38">
        <w:rPr>
          <w:rStyle w:val="FootnoteReference"/>
          <w:rFonts w:ascii="Verdana" w:hAnsi="Verdana"/>
          <w:spacing w:val="-12"/>
          <w:sz w:val="16"/>
          <w:szCs w:val="16"/>
        </w:rPr>
        <w:footnoteRef/>
      </w:r>
      <w:r w:rsidRPr="000536CF">
        <w:rPr>
          <w:rFonts w:ascii="Verdana" w:hAnsi="Verdana"/>
          <w:spacing w:val="-12"/>
          <w:sz w:val="16"/>
          <w:szCs w:val="16"/>
        </w:rPr>
        <w:t xml:space="preserve"> </w:t>
      </w:r>
      <w:r w:rsidRPr="000536CF">
        <w:rPr>
          <w:rFonts w:ascii="Verdana" w:hAnsi="Verdana"/>
          <w:spacing w:val="-12"/>
          <w:sz w:val="16"/>
          <w:szCs w:val="16"/>
        </w:rPr>
        <w:tab/>
      </w:r>
      <w:r w:rsidRPr="000536CF">
        <w:rPr>
          <w:rFonts w:ascii="Verdana" w:hAnsi="Verdana"/>
          <w:i/>
          <w:iCs/>
          <w:spacing w:val="-12"/>
          <w:sz w:val="16"/>
          <w:szCs w:val="16"/>
        </w:rPr>
        <w:t xml:space="preserve">Cfr., mutandis </w:t>
      </w:r>
      <w:proofErr w:type="spellStart"/>
      <w:r w:rsidRPr="000536CF">
        <w:rPr>
          <w:rFonts w:ascii="Verdana" w:hAnsi="Verdana"/>
          <w:i/>
          <w:iCs/>
          <w:spacing w:val="-12"/>
          <w:sz w:val="16"/>
          <w:szCs w:val="16"/>
        </w:rPr>
        <w:t>mutandi</w:t>
      </w:r>
      <w:proofErr w:type="spellEnd"/>
      <w:r w:rsidRPr="000536CF">
        <w:rPr>
          <w:rFonts w:ascii="Verdana" w:hAnsi="Verdana"/>
          <w:spacing w:val="-12"/>
          <w:sz w:val="16"/>
          <w:szCs w:val="16"/>
        </w:rPr>
        <w:t xml:space="preserve">, </w:t>
      </w:r>
      <w:r w:rsidRPr="009E304D">
        <w:rPr>
          <w:rFonts w:ascii="Verdana" w:hAnsi="Verdana"/>
          <w:i/>
          <w:iCs/>
          <w:spacing w:val="-12"/>
          <w:sz w:val="16"/>
          <w:szCs w:val="16"/>
        </w:rPr>
        <w:t>Caso García I</w:t>
      </w:r>
      <w:r w:rsidRPr="009E7E48">
        <w:rPr>
          <w:rFonts w:ascii="Verdana" w:hAnsi="Verdana"/>
          <w:i/>
          <w:iCs/>
          <w:spacing w:val="-12"/>
          <w:sz w:val="16"/>
          <w:szCs w:val="16"/>
        </w:rPr>
        <w:t xml:space="preserve">barra y otros </w:t>
      </w:r>
      <w:r w:rsidRPr="008B6122">
        <w:rPr>
          <w:rFonts w:ascii="Verdana" w:hAnsi="Verdana"/>
          <w:i/>
          <w:iCs/>
          <w:spacing w:val="-12"/>
          <w:sz w:val="16"/>
          <w:szCs w:val="16"/>
        </w:rPr>
        <w:t>Vs.</w:t>
      </w:r>
      <w:r w:rsidRPr="0012407E">
        <w:rPr>
          <w:rFonts w:ascii="Verdana" w:hAnsi="Verdana"/>
          <w:i/>
          <w:iCs/>
          <w:spacing w:val="-12"/>
          <w:sz w:val="16"/>
          <w:szCs w:val="16"/>
        </w:rPr>
        <w:t xml:space="preserve"> Ecuador, supra, </w:t>
      </w:r>
      <w:r w:rsidRPr="00C7142E">
        <w:rPr>
          <w:rFonts w:ascii="Verdana" w:hAnsi="Verdana"/>
          <w:spacing w:val="-12"/>
          <w:sz w:val="16"/>
          <w:szCs w:val="16"/>
        </w:rPr>
        <w:t>párr. 170</w:t>
      </w:r>
      <w:r>
        <w:rPr>
          <w:rFonts w:ascii="Verdana" w:hAnsi="Verdana"/>
          <w:spacing w:val="-12"/>
          <w:sz w:val="16"/>
          <w:szCs w:val="16"/>
        </w:rPr>
        <w:t xml:space="preserve">; y </w:t>
      </w:r>
      <w:r w:rsidRPr="00A556E1">
        <w:rPr>
          <w:rFonts w:ascii="Verdana" w:hAnsi="Verdana"/>
          <w:i/>
          <w:iCs/>
          <w:spacing w:val="-12"/>
          <w:sz w:val="16"/>
          <w:szCs w:val="16"/>
        </w:rPr>
        <w:t xml:space="preserve">Caso Acosta y otros </w:t>
      </w:r>
      <w:r w:rsidRPr="006001C8">
        <w:rPr>
          <w:rFonts w:ascii="Verdana" w:hAnsi="Verdana"/>
          <w:i/>
          <w:iCs/>
          <w:spacing w:val="-12"/>
          <w:sz w:val="16"/>
          <w:szCs w:val="16"/>
        </w:rPr>
        <w:t>Vs.</w:t>
      </w:r>
      <w:r w:rsidRPr="00D55480">
        <w:rPr>
          <w:rFonts w:ascii="Verdana" w:hAnsi="Verdana"/>
          <w:i/>
          <w:iCs/>
          <w:spacing w:val="-12"/>
          <w:sz w:val="16"/>
          <w:szCs w:val="16"/>
        </w:rPr>
        <w:t xml:space="preserve"> Nicaragua, </w:t>
      </w:r>
      <w:r>
        <w:rPr>
          <w:rFonts w:ascii="Verdana" w:hAnsi="Verdana"/>
          <w:spacing w:val="-12"/>
          <w:sz w:val="16"/>
          <w:szCs w:val="16"/>
        </w:rPr>
        <w:t>párr. 201</w:t>
      </w:r>
      <w:r w:rsidRPr="00C7142E">
        <w:rPr>
          <w:rFonts w:ascii="Verdana" w:hAnsi="Verdana"/>
          <w:spacing w:val="-12"/>
          <w:sz w:val="16"/>
          <w:szCs w:val="16"/>
        </w:rPr>
        <w:t>.</w:t>
      </w:r>
    </w:p>
  </w:footnote>
  <w:footnote w:id="223">
    <w:p w14:paraId="4986F096" w14:textId="09B5CF6A" w:rsidR="00837BB9" w:rsidRPr="0003211A" w:rsidRDefault="00837BB9" w:rsidP="008349B1">
      <w:pPr>
        <w:pStyle w:val="NormalWeb"/>
        <w:spacing w:before="120" w:beforeAutospacing="0" w:after="120" w:afterAutospacing="0"/>
        <w:ind w:right="74"/>
        <w:jc w:val="both"/>
        <w:rPr>
          <w:rFonts w:ascii="Verdana" w:hAnsi="Verdana"/>
          <w:spacing w:val="-12"/>
          <w:sz w:val="16"/>
          <w:szCs w:val="16"/>
          <w:lang w:val="es-MX"/>
        </w:rPr>
      </w:pPr>
      <w:r w:rsidRPr="006C24C0">
        <w:rPr>
          <w:rStyle w:val="FootnoteReference"/>
          <w:rFonts w:ascii="Verdana" w:hAnsi="Verdana"/>
          <w:spacing w:val="-12"/>
          <w:sz w:val="16"/>
          <w:szCs w:val="16"/>
          <w:lang w:val="es-MX"/>
        </w:rPr>
        <w:footnoteRef/>
      </w:r>
      <w:r w:rsidRPr="003100FE">
        <w:rPr>
          <w:rFonts w:ascii="Verdana" w:hAnsi="Verdana"/>
          <w:spacing w:val="-12"/>
          <w:sz w:val="16"/>
          <w:szCs w:val="16"/>
          <w:lang w:val="es-MX"/>
        </w:rPr>
        <w:t xml:space="preserve"> </w:t>
      </w:r>
      <w:r w:rsidRPr="003100FE">
        <w:rPr>
          <w:rFonts w:ascii="Verdana" w:hAnsi="Verdana"/>
          <w:spacing w:val="-12"/>
          <w:sz w:val="16"/>
          <w:szCs w:val="16"/>
          <w:lang w:val="es-MX"/>
        </w:rPr>
        <w:tab/>
        <w:t>El artículo 8 de la Convención señala: “1. Toda persona tiene derecho a ser oída, con las debidas garantías y dentro de un plazo razonable, por un juez o tribunal competente, independiente e imparcial, est</w:t>
      </w:r>
      <w:r w:rsidRPr="0003211A">
        <w:rPr>
          <w:rFonts w:ascii="Verdana" w:hAnsi="Verdana"/>
          <w:spacing w:val="-12"/>
          <w:sz w:val="16"/>
          <w:szCs w:val="16"/>
          <w:lang w:val="es-MX"/>
        </w:rPr>
        <w:t>ablecido con anterioridad por la ley, en la sustanciación de cualquier acusación penal formulada contra ella, o para la determinación de sus derechos y obligaciones de orden civil, laboral, fiscal o de cualquier otro carácter”.</w:t>
      </w:r>
    </w:p>
  </w:footnote>
  <w:footnote w:id="224">
    <w:p w14:paraId="58C88980" w14:textId="77777777" w:rsidR="00837BB9" w:rsidRPr="0054215F" w:rsidRDefault="00837BB9" w:rsidP="008349B1">
      <w:pPr>
        <w:pStyle w:val="NormalWeb"/>
        <w:spacing w:before="120" w:beforeAutospacing="0" w:after="120" w:afterAutospacing="0"/>
        <w:ind w:right="74"/>
        <w:jc w:val="both"/>
        <w:rPr>
          <w:rFonts w:ascii="Verdana" w:hAnsi="Verdana"/>
          <w:spacing w:val="-12"/>
          <w:sz w:val="16"/>
          <w:szCs w:val="16"/>
          <w:lang w:val="es-MX"/>
        </w:rPr>
      </w:pPr>
      <w:r w:rsidRPr="00CE7020">
        <w:rPr>
          <w:rStyle w:val="FootnoteReference"/>
          <w:rFonts w:ascii="Verdana" w:hAnsi="Verdana"/>
          <w:spacing w:val="-12"/>
          <w:sz w:val="16"/>
          <w:szCs w:val="16"/>
          <w:lang w:val="es-MX"/>
        </w:rPr>
        <w:footnoteRef/>
      </w:r>
      <w:r w:rsidRPr="00CE7020">
        <w:rPr>
          <w:rFonts w:ascii="Verdana" w:hAnsi="Verdana"/>
          <w:spacing w:val="-12"/>
          <w:sz w:val="16"/>
          <w:szCs w:val="16"/>
          <w:lang w:val="es-MX"/>
        </w:rPr>
        <w:t xml:space="preserve"> </w:t>
      </w:r>
      <w:r w:rsidRPr="00CE7020">
        <w:rPr>
          <w:rFonts w:ascii="Verdana" w:hAnsi="Verdana"/>
          <w:spacing w:val="-12"/>
          <w:sz w:val="16"/>
          <w:szCs w:val="16"/>
          <w:lang w:val="es-MX"/>
        </w:rPr>
        <w:tab/>
        <w:t>El artículo 25 de la Conv</w:t>
      </w:r>
      <w:r w:rsidRPr="00773F82">
        <w:rPr>
          <w:rFonts w:ascii="Verdana" w:hAnsi="Verdana"/>
          <w:spacing w:val="-12"/>
          <w:sz w:val="16"/>
          <w:szCs w:val="16"/>
          <w:lang w:val="es-MX"/>
        </w:rPr>
        <w:t>ención expresa: “1. Toda persona tiene derecho a un recurso sencillo y rápido o a cualquier otro recurso efectivo ante los jueces o tribunales competentes, que la ampare contra actos que violen sus derechos fundamentales reconocidos por la Constitución, la</w:t>
      </w:r>
      <w:r w:rsidRPr="00290E0C">
        <w:rPr>
          <w:rFonts w:ascii="Verdana" w:hAnsi="Verdana"/>
          <w:spacing w:val="-12"/>
          <w:sz w:val="16"/>
          <w:szCs w:val="16"/>
          <w:lang w:val="es-MX"/>
        </w:rPr>
        <w:t xml:space="preserve"> ley o la presente Convención, aun cuando tal violación sea cometida por personas que actúen en ejercicio de sus funciones oficiales. 2. Los Estados Partes se comprometen: a) a garantizar que la autoridad competente prevista por el sistema legal del Estado</w:t>
      </w:r>
      <w:r w:rsidRPr="00B252EB">
        <w:rPr>
          <w:rFonts w:ascii="Verdana" w:hAnsi="Verdana"/>
          <w:spacing w:val="-12"/>
          <w:sz w:val="16"/>
          <w:szCs w:val="16"/>
          <w:lang w:val="es-MX"/>
        </w:rPr>
        <w:t xml:space="preserve"> decidirá sobre los derechos de toda persona que interponga tal recurso; b) a desarrollar</w:t>
      </w:r>
      <w:r w:rsidRPr="0054215F">
        <w:rPr>
          <w:rFonts w:ascii="Verdana" w:hAnsi="Verdana"/>
          <w:spacing w:val="-12"/>
          <w:sz w:val="16"/>
          <w:szCs w:val="16"/>
          <w:lang w:val="es-MX"/>
        </w:rPr>
        <w:t xml:space="preserve"> las posibilidades de recurso judicial, y c) a garantizar el cumplimiento, por las autoridades competentes, de toda decisión en que se haya estimado procedente el recurso”.</w:t>
      </w:r>
    </w:p>
  </w:footnote>
  <w:footnote w:id="225">
    <w:p w14:paraId="74C42588" w14:textId="6DF42EAB"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lang w:val="es-MX"/>
        </w:rPr>
        <w:tab/>
        <w:t xml:space="preserve">Así, la Comisión alegó que “cuando una autoridad judicial se encuentra con un alegato de discriminación encubierta, la obligación de debida diligencia le impone investigar más allá de la motivación formalmente declarada y tomar en consideración todos los elementos indiciarios, circunstanciales y de otra índole”. En este caso, </w:t>
      </w:r>
      <w:r w:rsidRPr="006203B0">
        <w:rPr>
          <w:rFonts w:ascii="Verdana" w:hAnsi="Verdana"/>
          <w:spacing w:val="-12"/>
          <w:sz w:val="16"/>
          <w:szCs w:val="16"/>
          <w:lang w:val="es-MX"/>
        </w:rPr>
        <w:t xml:space="preserve">si </w:t>
      </w:r>
      <w:r w:rsidRPr="000536CF">
        <w:rPr>
          <w:rFonts w:ascii="Verdana" w:hAnsi="Verdana"/>
          <w:spacing w:val="-12"/>
          <w:sz w:val="16"/>
          <w:szCs w:val="16"/>
          <w:lang w:val="es-MX"/>
        </w:rPr>
        <w:t>bien en el recurso de amparo la autoridad judicial hizo referencia al alegato de discriminación, solamente lo examinó de manera formal y sin la debida diligencia, e impuso un estándar demasiado alto al exigir a la presunta víctima demostrar “fehacientemente” el nexo causal entre el trato discriminatorio y la decisión tomada, lo cual implica además hacer recaer “de manera absoluta” la carga de la prueba sobre las presuntas víctimas, sin haber utilizado todos los medios legales a su disposición para obtener la verdad de lo ocurrido y no analizaron la complejidad de los hechos y el contexto</w:t>
      </w:r>
      <w:r w:rsidRPr="001C16AC">
        <w:rPr>
          <w:rFonts w:ascii="Verdana" w:hAnsi="Verdana"/>
          <w:spacing w:val="-12"/>
          <w:sz w:val="16"/>
          <w:szCs w:val="16"/>
          <w:lang w:val="es-MX"/>
        </w:rPr>
        <w:t>.</w:t>
      </w:r>
    </w:p>
  </w:footnote>
  <w:footnote w:id="226">
    <w:p w14:paraId="6F3E27D4" w14:textId="15588A5A" w:rsidR="00837BB9" w:rsidRPr="008B6122" w:rsidRDefault="00837BB9" w:rsidP="008349B1">
      <w:pPr>
        <w:spacing w:before="120" w:after="120" w:line="240" w:lineRule="auto"/>
        <w:ind w:right="6"/>
        <w:contextualSpacing/>
        <w:jc w:val="both"/>
        <w:rPr>
          <w:rFonts w:ascii="Verdana" w:hAnsi="Verdana"/>
          <w:i/>
          <w:spacing w:val="-12"/>
          <w:sz w:val="16"/>
          <w:szCs w:val="16"/>
          <w:lang w:val="es-GT"/>
        </w:rPr>
      </w:pPr>
      <w:r w:rsidRPr="00CF3AED">
        <w:rPr>
          <w:rStyle w:val="FootnoteReference"/>
          <w:rFonts w:ascii="Verdana" w:hAnsi="Verdana"/>
          <w:spacing w:val="-12"/>
          <w:sz w:val="16"/>
          <w:szCs w:val="16"/>
        </w:rPr>
        <w:footnoteRef/>
      </w:r>
      <w:r w:rsidRPr="00CF3AED">
        <w:rPr>
          <w:rFonts w:ascii="Verdana" w:hAnsi="Verdana"/>
          <w:spacing w:val="-12"/>
          <w:sz w:val="16"/>
          <w:szCs w:val="16"/>
          <w:lang w:val="es-ES"/>
        </w:rPr>
        <w:t xml:space="preserve"> </w:t>
      </w:r>
      <w:r w:rsidRPr="00CF3AED">
        <w:rPr>
          <w:rFonts w:ascii="Verdana" w:hAnsi="Verdana"/>
          <w:spacing w:val="-12"/>
          <w:sz w:val="16"/>
          <w:szCs w:val="16"/>
          <w:lang w:val="es-ES"/>
        </w:rPr>
        <w:tab/>
      </w:r>
      <w:r w:rsidRPr="00CF3AED">
        <w:rPr>
          <w:rFonts w:ascii="Verdana" w:hAnsi="Verdana"/>
          <w:i/>
          <w:spacing w:val="-12"/>
          <w:sz w:val="16"/>
          <w:szCs w:val="16"/>
          <w:lang w:val="es-GT"/>
        </w:rPr>
        <w:t>Cfr.</w:t>
      </w:r>
      <w:r w:rsidRPr="00CF3AED">
        <w:rPr>
          <w:rFonts w:ascii="Verdana" w:hAnsi="Verdana"/>
          <w:spacing w:val="-12"/>
          <w:sz w:val="16"/>
          <w:szCs w:val="16"/>
          <w:lang w:val="es-GT"/>
        </w:rPr>
        <w:t xml:space="preserve"> </w:t>
      </w:r>
      <w:r w:rsidRPr="006203B0">
        <w:rPr>
          <w:rFonts w:ascii="Verdana" w:hAnsi="Verdana"/>
          <w:i/>
          <w:spacing w:val="-12"/>
          <w:sz w:val="16"/>
          <w:szCs w:val="16"/>
        </w:rPr>
        <w:t xml:space="preserve">Caso </w:t>
      </w:r>
      <w:proofErr w:type="spellStart"/>
      <w:r w:rsidRPr="006203B0">
        <w:rPr>
          <w:rFonts w:ascii="Verdana" w:hAnsi="Verdana"/>
          <w:i/>
          <w:spacing w:val="-12"/>
          <w:sz w:val="16"/>
          <w:szCs w:val="16"/>
        </w:rPr>
        <w:t>Fairén</w:t>
      </w:r>
      <w:proofErr w:type="spellEnd"/>
      <w:r w:rsidRPr="006203B0">
        <w:rPr>
          <w:rFonts w:ascii="Verdana" w:hAnsi="Verdana"/>
          <w:i/>
          <w:spacing w:val="-12"/>
          <w:sz w:val="16"/>
          <w:szCs w:val="16"/>
        </w:rPr>
        <w:t xml:space="preserve"> </w:t>
      </w:r>
      <w:proofErr w:type="spellStart"/>
      <w:r w:rsidRPr="006203B0">
        <w:rPr>
          <w:rFonts w:ascii="Verdana" w:hAnsi="Verdana"/>
          <w:i/>
          <w:spacing w:val="-12"/>
          <w:sz w:val="16"/>
          <w:szCs w:val="16"/>
        </w:rPr>
        <w:t>Garbi</w:t>
      </w:r>
      <w:proofErr w:type="spellEnd"/>
      <w:r w:rsidRPr="006203B0">
        <w:rPr>
          <w:rFonts w:ascii="Verdana" w:hAnsi="Verdana"/>
          <w:i/>
          <w:spacing w:val="-12"/>
          <w:sz w:val="16"/>
          <w:szCs w:val="16"/>
        </w:rPr>
        <w:t xml:space="preserve"> y Solís Corrales Vs. Honduras. Excepciones Prelimi</w:t>
      </w:r>
      <w:r w:rsidRPr="00FC1D38">
        <w:rPr>
          <w:rFonts w:ascii="Verdana" w:hAnsi="Verdana"/>
          <w:i/>
          <w:spacing w:val="-12"/>
          <w:sz w:val="16"/>
          <w:szCs w:val="16"/>
        </w:rPr>
        <w:t xml:space="preserve">nares. </w:t>
      </w:r>
      <w:r w:rsidRPr="0039667B">
        <w:rPr>
          <w:rFonts w:ascii="Verdana" w:hAnsi="Verdana"/>
          <w:spacing w:val="-12"/>
          <w:sz w:val="16"/>
          <w:szCs w:val="16"/>
        </w:rPr>
        <w:t>Sentencia de 26 de junio de 1987. Serie C No. 2, párr. 90</w:t>
      </w:r>
      <w:r>
        <w:rPr>
          <w:rFonts w:ascii="Verdana" w:hAnsi="Verdana"/>
          <w:spacing w:val="-12"/>
          <w:sz w:val="16"/>
          <w:szCs w:val="16"/>
        </w:rPr>
        <w:t>;</w:t>
      </w:r>
      <w:r w:rsidRPr="0039667B">
        <w:rPr>
          <w:rFonts w:ascii="Verdana" w:hAnsi="Verdana"/>
          <w:spacing w:val="-12"/>
          <w:sz w:val="16"/>
          <w:szCs w:val="16"/>
        </w:rPr>
        <w:t xml:space="preserve"> y</w:t>
      </w:r>
      <w:r w:rsidRPr="000536CF">
        <w:rPr>
          <w:rFonts w:ascii="Verdana" w:hAnsi="Verdana"/>
          <w:i/>
          <w:spacing w:val="-12"/>
          <w:sz w:val="16"/>
          <w:szCs w:val="16"/>
        </w:rPr>
        <w:t xml:space="preserve"> </w:t>
      </w:r>
      <w:r w:rsidRPr="00CF3AED">
        <w:rPr>
          <w:rFonts w:ascii="Verdana" w:hAnsi="Verdana"/>
          <w:i/>
          <w:spacing w:val="-12"/>
          <w:sz w:val="16"/>
          <w:szCs w:val="16"/>
          <w:lang w:val="es-MX"/>
        </w:rPr>
        <w:t>Caso Ortiz Hernández y otros Vs. Venezuela</w:t>
      </w:r>
      <w:r w:rsidRPr="006203B0">
        <w:rPr>
          <w:rFonts w:ascii="Verdana" w:hAnsi="Verdana"/>
          <w:spacing w:val="-12"/>
          <w:sz w:val="16"/>
          <w:szCs w:val="16"/>
          <w:lang w:val="es-MX"/>
        </w:rPr>
        <w:t>,</w:t>
      </w:r>
      <w:r w:rsidRPr="00FC1D38">
        <w:rPr>
          <w:rFonts w:ascii="Verdana" w:hAnsi="Verdana"/>
          <w:spacing w:val="-12"/>
          <w:sz w:val="16"/>
          <w:szCs w:val="16"/>
          <w:lang w:val="es-MX"/>
        </w:rPr>
        <w:t xml:space="preserve"> </w:t>
      </w:r>
      <w:r w:rsidRPr="000536CF">
        <w:rPr>
          <w:rFonts w:ascii="Verdana" w:hAnsi="Verdana"/>
          <w:i/>
          <w:spacing w:val="-12"/>
          <w:sz w:val="16"/>
          <w:szCs w:val="16"/>
          <w:lang w:val="es-MX"/>
        </w:rPr>
        <w:t>supra,</w:t>
      </w:r>
      <w:r w:rsidRPr="000536CF">
        <w:rPr>
          <w:rFonts w:ascii="Verdana" w:hAnsi="Verdana"/>
          <w:spacing w:val="-12"/>
          <w:sz w:val="16"/>
          <w:szCs w:val="16"/>
          <w:lang w:val="es-MX"/>
        </w:rPr>
        <w:t xml:space="preserve"> párr.</w:t>
      </w:r>
      <w:r>
        <w:rPr>
          <w:rFonts w:ascii="Verdana" w:hAnsi="Verdana"/>
          <w:spacing w:val="-12"/>
          <w:sz w:val="16"/>
          <w:szCs w:val="16"/>
          <w:lang w:val="es-MX"/>
        </w:rPr>
        <w:t xml:space="preserve"> 143</w:t>
      </w:r>
      <w:r w:rsidRPr="009E7E48">
        <w:rPr>
          <w:rFonts w:ascii="Verdana" w:hAnsi="Verdana"/>
          <w:i/>
          <w:spacing w:val="-12"/>
          <w:sz w:val="16"/>
          <w:szCs w:val="16"/>
        </w:rPr>
        <w:t>.</w:t>
      </w:r>
    </w:p>
  </w:footnote>
  <w:footnote w:id="227">
    <w:p w14:paraId="51507797" w14:textId="00EAC020" w:rsidR="00837BB9" w:rsidRPr="00CF3AED" w:rsidRDefault="00837BB9" w:rsidP="008349B1">
      <w:pPr>
        <w:pStyle w:val="FootnoteText"/>
        <w:spacing w:before="120" w:after="120"/>
        <w:jc w:val="both"/>
        <w:rPr>
          <w:rFonts w:ascii="Verdana" w:hAnsi="Verdana"/>
          <w:spacing w:val="-12"/>
          <w:sz w:val="16"/>
          <w:szCs w:val="16"/>
        </w:rPr>
      </w:pPr>
      <w:r w:rsidRPr="008B6122">
        <w:rPr>
          <w:rStyle w:val="FootnoteReference"/>
          <w:rFonts w:ascii="Verdana" w:eastAsia="Calibri" w:hAnsi="Verdana"/>
          <w:spacing w:val="-12"/>
          <w:sz w:val="16"/>
          <w:szCs w:val="16"/>
        </w:rPr>
        <w:footnoteRef/>
      </w:r>
      <w:r w:rsidRPr="008B6122">
        <w:rPr>
          <w:rFonts w:ascii="Verdana" w:hAnsi="Verdana"/>
          <w:i/>
          <w:spacing w:val="-12"/>
          <w:sz w:val="16"/>
          <w:szCs w:val="16"/>
        </w:rPr>
        <w:t xml:space="preserve"> </w:t>
      </w:r>
      <w:r w:rsidRPr="008B6122">
        <w:rPr>
          <w:rFonts w:ascii="Verdana" w:hAnsi="Verdana"/>
          <w:i/>
          <w:spacing w:val="-12"/>
          <w:sz w:val="16"/>
          <w:szCs w:val="16"/>
        </w:rPr>
        <w:tab/>
        <w:t xml:space="preserve">Cfr. Caso Velásquez Rodríguez Vs. </w:t>
      </w:r>
      <w:r w:rsidRPr="0012407E">
        <w:rPr>
          <w:rFonts w:ascii="Verdana" w:hAnsi="Verdana"/>
          <w:i/>
          <w:spacing w:val="-12"/>
          <w:sz w:val="16"/>
          <w:szCs w:val="16"/>
        </w:rPr>
        <w:t>Honduras. Excepciones Preliminares</w:t>
      </w:r>
      <w:r w:rsidRPr="00F54556">
        <w:rPr>
          <w:rFonts w:ascii="Verdana" w:hAnsi="Verdana"/>
          <w:i/>
          <w:spacing w:val="-12"/>
          <w:sz w:val="16"/>
          <w:szCs w:val="16"/>
        </w:rPr>
        <w:t xml:space="preserve">. </w:t>
      </w:r>
      <w:r w:rsidRPr="007C51D0">
        <w:rPr>
          <w:rFonts w:ascii="Verdana" w:hAnsi="Verdana"/>
          <w:bCs/>
          <w:spacing w:val="-12"/>
          <w:sz w:val="16"/>
          <w:szCs w:val="16"/>
          <w:lang w:val="es-CR"/>
        </w:rPr>
        <w:t>Sentencia de 26 de junio de 1987. Serie C No. 1</w:t>
      </w:r>
      <w:r w:rsidRPr="00CF3AED">
        <w:rPr>
          <w:rFonts w:ascii="Verdana" w:hAnsi="Verdana"/>
          <w:spacing w:val="-12"/>
          <w:sz w:val="16"/>
          <w:szCs w:val="16"/>
        </w:rPr>
        <w:t xml:space="preserve">, párr. 91, y </w:t>
      </w:r>
      <w:r>
        <w:rPr>
          <w:rFonts w:ascii="Verdana" w:eastAsiaTheme="minorHAnsi" w:hAnsi="Verdana" w:cs="Cambria"/>
          <w:bCs/>
          <w:i/>
          <w:spacing w:val="-12"/>
          <w:sz w:val="16"/>
          <w:szCs w:val="16"/>
          <w:lang w:val="es-CR"/>
        </w:rPr>
        <w:t>Caso Lagos del Campo Vs. Perú, supra</w:t>
      </w:r>
      <w:r>
        <w:rPr>
          <w:rFonts w:ascii="Verdana" w:eastAsiaTheme="minorHAnsi" w:hAnsi="Verdana" w:cs="Cambria"/>
          <w:bCs/>
          <w:spacing w:val="-12"/>
          <w:sz w:val="16"/>
          <w:szCs w:val="16"/>
          <w:lang w:val="es-CR"/>
        </w:rPr>
        <w:t>, párr. 174</w:t>
      </w:r>
      <w:r w:rsidRPr="00CF3AED">
        <w:rPr>
          <w:rFonts w:ascii="Verdana" w:hAnsi="Verdana"/>
          <w:spacing w:val="-12"/>
          <w:sz w:val="16"/>
          <w:szCs w:val="16"/>
        </w:rPr>
        <w:t xml:space="preserve">.  </w:t>
      </w:r>
    </w:p>
  </w:footnote>
  <w:footnote w:id="228">
    <w:p w14:paraId="1708C97A" w14:textId="465E7058" w:rsidR="00837BB9" w:rsidRPr="000536CF" w:rsidRDefault="00837BB9" w:rsidP="008349B1">
      <w:pPr>
        <w:pStyle w:val="FootnoteText"/>
        <w:spacing w:before="120" w:after="120"/>
        <w:jc w:val="both"/>
        <w:rPr>
          <w:rStyle w:val="Strong"/>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i/>
          <w:spacing w:val="-12"/>
          <w:sz w:val="16"/>
          <w:szCs w:val="16"/>
        </w:rPr>
        <w:tab/>
      </w:r>
      <w:r w:rsidRPr="006203B0">
        <w:rPr>
          <w:rStyle w:val="Strong"/>
          <w:rFonts w:ascii="Verdana" w:hAnsi="Verdana"/>
          <w:b w:val="0"/>
          <w:i/>
          <w:spacing w:val="-12"/>
          <w:sz w:val="16"/>
          <w:szCs w:val="16"/>
        </w:rPr>
        <w:t>C</w:t>
      </w:r>
      <w:r>
        <w:rPr>
          <w:rStyle w:val="Strong"/>
          <w:rFonts w:ascii="Verdana" w:hAnsi="Verdana"/>
          <w:b w:val="0"/>
          <w:i/>
          <w:spacing w:val="-12"/>
          <w:sz w:val="16"/>
          <w:szCs w:val="16"/>
        </w:rPr>
        <w:t>fr. C</w:t>
      </w:r>
      <w:r w:rsidRPr="006203B0">
        <w:rPr>
          <w:rStyle w:val="Strong"/>
          <w:rFonts w:ascii="Verdana" w:hAnsi="Verdana"/>
          <w:b w:val="0"/>
          <w:i/>
          <w:spacing w:val="-12"/>
          <w:sz w:val="16"/>
          <w:szCs w:val="16"/>
        </w:rPr>
        <w:t>aso de los “Niños de la Calle” (Villagrán Morales y otros) Vs. Guatemala. Fondo</w:t>
      </w:r>
      <w:r w:rsidRPr="006203B0">
        <w:rPr>
          <w:rStyle w:val="Strong"/>
          <w:rFonts w:ascii="Verdana" w:hAnsi="Verdana"/>
          <w:b w:val="0"/>
          <w:spacing w:val="-12"/>
          <w:sz w:val="16"/>
          <w:szCs w:val="16"/>
        </w:rPr>
        <w:t xml:space="preserve">. Sentencia de 19 de noviembre de 1999. Serie C No. 63, </w:t>
      </w:r>
      <w:r w:rsidRPr="00FC1D38">
        <w:rPr>
          <w:rFonts w:ascii="Verdana" w:hAnsi="Verdana"/>
          <w:spacing w:val="-12"/>
          <w:sz w:val="16"/>
          <w:szCs w:val="16"/>
        </w:rPr>
        <w:t xml:space="preserve">párr. 237, y </w:t>
      </w:r>
      <w:r>
        <w:rPr>
          <w:rFonts w:ascii="Verdana" w:eastAsiaTheme="minorHAnsi" w:hAnsi="Verdana" w:cs="Cambria"/>
          <w:bCs/>
          <w:i/>
          <w:spacing w:val="-12"/>
          <w:sz w:val="16"/>
          <w:szCs w:val="16"/>
          <w:lang w:val="es-CR"/>
        </w:rPr>
        <w:t>Caso Lagos del Campo Vs. Perú, supra</w:t>
      </w:r>
      <w:r>
        <w:rPr>
          <w:rFonts w:ascii="Verdana" w:eastAsiaTheme="minorHAnsi" w:hAnsi="Verdana" w:cs="Cambria"/>
          <w:bCs/>
          <w:spacing w:val="-12"/>
          <w:sz w:val="16"/>
          <w:szCs w:val="16"/>
          <w:lang w:val="es-CR"/>
        </w:rPr>
        <w:t>, párr. 176</w:t>
      </w:r>
      <w:r w:rsidRPr="000536CF">
        <w:rPr>
          <w:rStyle w:val="Strong"/>
          <w:rFonts w:ascii="Verdana" w:hAnsi="Verdana"/>
          <w:b w:val="0"/>
          <w:spacing w:val="-12"/>
          <w:sz w:val="16"/>
          <w:szCs w:val="16"/>
        </w:rPr>
        <w:t>.</w:t>
      </w:r>
    </w:p>
  </w:footnote>
  <w:footnote w:id="229">
    <w:p w14:paraId="4110BBB2" w14:textId="6C8E7BDB" w:rsidR="00837BB9" w:rsidRPr="00D55480" w:rsidRDefault="00837BB9" w:rsidP="008349B1">
      <w:pPr>
        <w:pStyle w:val="FootnoteText"/>
        <w:spacing w:before="120" w:after="120"/>
        <w:jc w:val="both"/>
        <w:rPr>
          <w:rFonts w:ascii="Verdana" w:hAnsi="Verdana"/>
          <w:spacing w:val="-12"/>
          <w:sz w:val="16"/>
          <w:szCs w:val="16"/>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rPr>
        <w:tab/>
        <w:t>Si bien el contenido o alcances del derecho tutelado por el artículo 25 de la Convención no están plenamente definidos, pues ello puede también depender del sistema o regulación de los recursos específico</w:t>
      </w:r>
      <w:r w:rsidRPr="006203B0">
        <w:rPr>
          <w:rFonts w:ascii="Verdana" w:hAnsi="Verdana"/>
          <w:spacing w:val="-12"/>
          <w:sz w:val="16"/>
          <w:szCs w:val="16"/>
        </w:rPr>
        <w:t>s del Estado obligado o incluso de la ausencia de recursos para tutelar determinadas situaciones jurídicas, la Corte ha considerado que</w:t>
      </w:r>
      <w:r>
        <w:rPr>
          <w:rFonts w:ascii="Verdana" w:hAnsi="Verdana"/>
          <w:spacing w:val="-12"/>
          <w:sz w:val="16"/>
          <w:szCs w:val="16"/>
        </w:rPr>
        <w:t xml:space="preserve"> aquélla</w:t>
      </w:r>
      <w:r w:rsidRPr="006203B0">
        <w:rPr>
          <w:rFonts w:ascii="Verdana" w:hAnsi="Verdana"/>
          <w:spacing w:val="-12"/>
          <w:sz w:val="16"/>
          <w:szCs w:val="16"/>
        </w:rPr>
        <w:t xml:space="preserve"> “es una disposición de carácter general que recoge la institución procesal del amparo, entendido como el procedimiento judicial sencillo y breve que tiene por objeto la tutela de todos los derechos reconocidos por las constituciones y leyes de los Estados Partes y por la Convención”. </w:t>
      </w:r>
      <w:r w:rsidRPr="00FC1D38">
        <w:rPr>
          <w:rFonts w:ascii="Verdana" w:hAnsi="Verdana"/>
          <w:i/>
          <w:spacing w:val="-12"/>
          <w:sz w:val="16"/>
          <w:szCs w:val="16"/>
        </w:rPr>
        <w:t>Cfr. El Hábeas Corpus Bajo Suspensión de Garantías (arts. 27.2, 25.1 y 7.6 Convención Ameri</w:t>
      </w:r>
      <w:r w:rsidRPr="000536CF">
        <w:rPr>
          <w:rFonts w:ascii="Verdana" w:hAnsi="Verdana"/>
          <w:i/>
          <w:spacing w:val="-12"/>
          <w:sz w:val="16"/>
          <w:szCs w:val="16"/>
        </w:rPr>
        <w:t>cana sobre Derechos Humanos).</w:t>
      </w:r>
      <w:r w:rsidRPr="000536CF">
        <w:rPr>
          <w:rFonts w:ascii="Verdana" w:hAnsi="Verdana"/>
          <w:spacing w:val="-12"/>
          <w:sz w:val="16"/>
          <w:szCs w:val="16"/>
        </w:rPr>
        <w:t xml:space="preserve"> Opinión Consultiva OC-8/87 de 30 de enero de 1987, párr. 32; y </w:t>
      </w:r>
      <w:r w:rsidRPr="000536CF">
        <w:rPr>
          <w:rFonts w:ascii="Verdana" w:hAnsi="Verdana"/>
          <w:i/>
          <w:spacing w:val="-12"/>
          <w:sz w:val="16"/>
          <w:szCs w:val="16"/>
        </w:rPr>
        <w:t>Garantías Judiciales en Estados de Emergencia (arts. 27.2, 25 y 8 Convención Americana sobre Derechos Humanos).</w:t>
      </w:r>
      <w:r w:rsidRPr="001C16AC">
        <w:rPr>
          <w:rFonts w:ascii="Verdana" w:hAnsi="Verdana"/>
          <w:spacing w:val="-12"/>
          <w:sz w:val="16"/>
          <w:szCs w:val="16"/>
        </w:rPr>
        <w:t xml:space="preserve"> Opinión Consultiva OC-9/87 de 6 de octubre de 1987,</w:t>
      </w:r>
      <w:r w:rsidRPr="006001C8">
        <w:rPr>
          <w:rFonts w:ascii="Verdana" w:hAnsi="Verdana"/>
          <w:spacing w:val="-12"/>
          <w:sz w:val="16"/>
          <w:szCs w:val="16"/>
        </w:rPr>
        <w:t xml:space="preserve"> párr. 23.</w:t>
      </w:r>
    </w:p>
  </w:footnote>
  <w:footnote w:id="230">
    <w:p w14:paraId="74630B3E" w14:textId="6D30F7DB" w:rsidR="00837BB9" w:rsidRPr="00773F82" w:rsidRDefault="00837BB9" w:rsidP="008349B1">
      <w:pPr>
        <w:pStyle w:val="FootnoteText"/>
        <w:spacing w:before="120" w:after="120"/>
        <w:jc w:val="both"/>
        <w:rPr>
          <w:rFonts w:ascii="Verdana" w:hAnsi="Verdana"/>
          <w:spacing w:val="-12"/>
          <w:sz w:val="16"/>
          <w:szCs w:val="16"/>
          <w:lang w:val="es-CR"/>
        </w:rPr>
      </w:pPr>
      <w:r w:rsidRPr="00D55480">
        <w:rPr>
          <w:rStyle w:val="FootnoteReference"/>
          <w:rFonts w:ascii="Verdana" w:hAnsi="Verdana"/>
          <w:spacing w:val="-12"/>
          <w:sz w:val="16"/>
          <w:szCs w:val="16"/>
        </w:rPr>
        <w:footnoteRef/>
      </w:r>
      <w:r w:rsidRPr="009E7E48">
        <w:rPr>
          <w:rFonts w:ascii="Verdana" w:hAnsi="Verdana"/>
          <w:spacing w:val="-12"/>
          <w:sz w:val="16"/>
          <w:szCs w:val="16"/>
        </w:rPr>
        <w:t xml:space="preserve"> </w:t>
      </w:r>
      <w:r w:rsidRPr="008B6122">
        <w:rPr>
          <w:rFonts w:ascii="Verdana" w:hAnsi="Verdana"/>
          <w:spacing w:val="-12"/>
          <w:sz w:val="16"/>
          <w:szCs w:val="16"/>
          <w:lang w:val="es-CR"/>
        </w:rPr>
        <w:tab/>
      </w:r>
      <w:r w:rsidRPr="008B6122">
        <w:rPr>
          <w:rFonts w:ascii="Verdana" w:hAnsi="Verdana"/>
          <w:i/>
          <w:spacing w:val="-12"/>
          <w:sz w:val="16"/>
          <w:szCs w:val="16"/>
        </w:rPr>
        <w:t xml:space="preserve">Cfr. </w:t>
      </w:r>
      <w:r w:rsidRPr="0012407E">
        <w:rPr>
          <w:rFonts w:ascii="Verdana" w:hAnsi="Verdana"/>
          <w:i/>
          <w:iCs/>
          <w:spacing w:val="-12"/>
          <w:sz w:val="16"/>
          <w:szCs w:val="16"/>
          <w:lang w:val="es-EC"/>
        </w:rPr>
        <w:t xml:space="preserve">Caso Velásquez Rodríguez </w:t>
      </w:r>
      <w:r w:rsidRPr="00F54556">
        <w:rPr>
          <w:rFonts w:ascii="Verdana" w:hAnsi="Verdana"/>
          <w:i/>
          <w:iCs/>
          <w:spacing w:val="-12"/>
          <w:sz w:val="16"/>
          <w:szCs w:val="16"/>
          <w:lang w:val="es-EC"/>
        </w:rPr>
        <w:t>Vs.</w:t>
      </w:r>
      <w:r w:rsidRPr="00C7142E">
        <w:rPr>
          <w:rFonts w:ascii="Verdana" w:hAnsi="Verdana"/>
          <w:i/>
          <w:iCs/>
          <w:spacing w:val="-12"/>
          <w:sz w:val="16"/>
          <w:szCs w:val="16"/>
          <w:lang w:val="es-EC"/>
        </w:rPr>
        <w:t xml:space="preserve"> Honduras. Fondo</w:t>
      </w:r>
      <w:r w:rsidRPr="0069409D">
        <w:rPr>
          <w:rFonts w:ascii="Verdana" w:hAnsi="Verdana"/>
          <w:i/>
          <w:spacing w:val="-12"/>
          <w:sz w:val="16"/>
          <w:szCs w:val="16"/>
          <w:lang w:val="es-EC"/>
        </w:rPr>
        <w:t>, supra,</w:t>
      </w:r>
      <w:r w:rsidRPr="0069409D">
        <w:rPr>
          <w:rFonts w:ascii="Verdana" w:hAnsi="Verdana"/>
          <w:i/>
          <w:iCs/>
          <w:spacing w:val="-12"/>
          <w:sz w:val="16"/>
          <w:szCs w:val="16"/>
          <w:lang w:val="es-EC"/>
        </w:rPr>
        <w:t xml:space="preserve"> </w:t>
      </w:r>
      <w:r w:rsidRPr="006C24C0">
        <w:rPr>
          <w:rFonts w:ascii="Verdana" w:hAnsi="Verdana"/>
          <w:spacing w:val="-12"/>
          <w:sz w:val="16"/>
          <w:szCs w:val="16"/>
          <w:lang w:val="es-EC"/>
        </w:rPr>
        <w:t xml:space="preserve">párr. 64, y </w:t>
      </w:r>
      <w:r w:rsidRPr="003100FE">
        <w:rPr>
          <w:rFonts w:ascii="Verdana" w:hAnsi="Verdana"/>
          <w:bCs/>
          <w:i/>
          <w:iCs/>
          <w:spacing w:val="-12"/>
          <w:sz w:val="16"/>
          <w:szCs w:val="16"/>
        </w:rPr>
        <w:t>Caso Maldonado Ordóñez Vs. Guatemala. Excepción Preliminar, Fondo, Reparaciones y Costas.</w:t>
      </w:r>
      <w:r w:rsidRPr="0003211A">
        <w:rPr>
          <w:rFonts w:ascii="Verdana" w:hAnsi="Verdana"/>
          <w:bCs/>
          <w:iCs/>
          <w:spacing w:val="-12"/>
          <w:sz w:val="16"/>
          <w:szCs w:val="16"/>
        </w:rPr>
        <w:t xml:space="preserve"> Sentencia de 3 de mayo de 2016. Serie C No. 311, párr. 109. </w:t>
      </w:r>
    </w:p>
  </w:footnote>
  <w:footnote w:id="231">
    <w:p w14:paraId="3021F929" w14:textId="1E73635B" w:rsidR="00837BB9" w:rsidRPr="00D1255A" w:rsidRDefault="00837BB9" w:rsidP="008349B1">
      <w:pPr>
        <w:pStyle w:val="FootnoteText"/>
        <w:spacing w:before="120" w:after="120"/>
        <w:jc w:val="both"/>
        <w:rPr>
          <w:rFonts w:ascii="Verdana" w:hAnsi="Verdana"/>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lang w:val="pt-BR"/>
        </w:rPr>
        <w:t xml:space="preserve"> </w:t>
      </w:r>
      <w:r w:rsidRPr="00C7142E">
        <w:rPr>
          <w:rFonts w:ascii="Verdana" w:hAnsi="Verdana"/>
          <w:spacing w:val="-12"/>
          <w:sz w:val="16"/>
          <w:szCs w:val="16"/>
          <w:lang w:val="pt-BR"/>
        </w:rPr>
        <w:tab/>
      </w:r>
      <w:r w:rsidRPr="00C7142E">
        <w:rPr>
          <w:rFonts w:ascii="Verdana" w:hAnsi="Verdana"/>
          <w:i/>
          <w:spacing w:val="-12"/>
          <w:sz w:val="16"/>
          <w:szCs w:val="16"/>
        </w:rPr>
        <w:t xml:space="preserve">Cfr. </w:t>
      </w:r>
      <w:r w:rsidRPr="0069409D">
        <w:rPr>
          <w:rFonts w:ascii="Verdana" w:hAnsi="Verdana"/>
          <w:i/>
          <w:spacing w:val="-12"/>
          <w:sz w:val="16"/>
          <w:szCs w:val="16"/>
          <w:lang w:val="pt-BR"/>
        </w:rPr>
        <w:t xml:space="preserve">Caso Maritza Urrutia </w:t>
      </w:r>
      <w:r w:rsidRPr="006C24C0">
        <w:rPr>
          <w:rFonts w:ascii="Verdana" w:hAnsi="Verdana"/>
          <w:i/>
          <w:spacing w:val="-12"/>
          <w:sz w:val="16"/>
          <w:szCs w:val="16"/>
        </w:rPr>
        <w:t>Vs.</w:t>
      </w:r>
      <w:r w:rsidRPr="003100FE">
        <w:rPr>
          <w:rFonts w:ascii="Verdana" w:hAnsi="Verdana"/>
          <w:i/>
          <w:spacing w:val="-12"/>
          <w:sz w:val="16"/>
          <w:szCs w:val="16"/>
          <w:lang w:val="pt-BR"/>
        </w:rPr>
        <w:t xml:space="preserve"> Guatemala. </w:t>
      </w:r>
      <w:r w:rsidRPr="0003211A">
        <w:rPr>
          <w:rFonts w:ascii="Verdana" w:hAnsi="Verdana"/>
          <w:i/>
          <w:spacing w:val="-12"/>
          <w:sz w:val="16"/>
          <w:szCs w:val="16"/>
        </w:rPr>
        <w:t xml:space="preserve">Fondo, Reparaciones y Costas. </w:t>
      </w:r>
      <w:r w:rsidRPr="00CE7020">
        <w:rPr>
          <w:rFonts w:ascii="Verdana" w:hAnsi="Verdana"/>
          <w:spacing w:val="-12"/>
          <w:sz w:val="16"/>
          <w:szCs w:val="16"/>
        </w:rPr>
        <w:t xml:space="preserve">Sentencia de 27 de noviembre de 2003. Serie C No. </w:t>
      </w:r>
      <w:r w:rsidRPr="00CE7020">
        <w:rPr>
          <w:rFonts w:ascii="Verdana" w:hAnsi="Verdana"/>
          <w:color w:val="000000"/>
          <w:spacing w:val="-12"/>
          <w:sz w:val="16"/>
          <w:szCs w:val="16"/>
        </w:rPr>
        <w:t>103</w:t>
      </w:r>
      <w:r w:rsidRPr="00773F82">
        <w:rPr>
          <w:rFonts w:ascii="Verdana" w:hAnsi="Verdana"/>
          <w:spacing w:val="-12"/>
          <w:sz w:val="16"/>
          <w:szCs w:val="16"/>
        </w:rPr>
        <w:t>, párr. 117</w:t>
      </w:r>
      <w:r w:rsidRPr="00C255F7">
        <w:rPr>
          <w:rFonts w:ascii="Verdana" w:hAnsi="Verdana"/>
          <w:spacing w:val="-12"/>
          <w:sz w:val="16"/>
          <w:szCs w:val="16"/>
        </w:rPr>
        <w:t>;</w:t>
      </w:r>
      <w:r w:rsidRPr="00C61250">
        <w:rPr>
          <w:rFonts w:ascii="Verdana" w:hAnsi="Verdana"/>
          <w:spacing w:val="-12"/>
          <w:sz w:val="16"/>
          <w:szCs w:val="16"/>
        </w:rPr>
        <w:t xml:space="preserve"> </w:t>
      </w:r>
      <w:r w:rsidRPr="00B252EB">
        <w:rPr>
          <w:rFonts w:ascii="Verdana" w:hAnsi="Verdana" w:cs="Arial"/>
          <w:i/>
          <w:spacing w:val="-12"/>
          <w:sz w:val="16"/>
          <w:szCs w:val="16"/>
        </w:rPr>
        <w:t>Caso Omar Humberto Maldonado Vargas y otros Vs. Chile</w:t>
      </w:r>
      <w:r w:rsidRPr="0054215F">
        <w:rPr>
          <w:rFonts w:ascii="Verdana" w:hAnsi="Verdana" w:cs="Arial"/>
          <w:spacing w:val="-12"/>
          <w:sz w:val="16"/>
          <w:szCs w:val="16"/>
        </w:rPr>
        <w:t>,</w:t>
      </w:r>
      <w:r w:rsidRPr="008478F4">
        <w:rPr>
          <w:rFonts w:ascii="Verdana" w:hAnsi="Verdana" w:cs="Arial"/>
          <w:spacing w:val="-12"/>
          <w:sz w:val="16"/>
          <w:szCs w:val="16"/>
        </w:rPr>
        <w:t xml:space="preserve"> </w:t>
      </w:r>
      <w:r w:rsidRPr="008478F4">
        <w:rPr>
          <w:rFonts w:ascii="Verdana" w:hAnsi="Verdana" w:cs="Arial"/>
          <w:i/>
          <w:spacing w:val="-12"/>
          <w:sz w:val="16"/>
          <w:szCs w:val="16"/>
        </w:rPr>
        <w:t>supra,</w:t>
      </w:r>
      <w:r w:rsidRPr="008478F4">
        <w:rPr>
          <w:rFonts w:ascii="Verdana" w:hAnsi="Verdana" w:cs="Arial"/>
          <w:spacing w:val="-12"/>
          <w:sz w:val="16"/>
          <w:szCs w:val="16"/>
        </w:rPr>
        <w:t xml:space="preserve"> párr. 123</w:t>
      </w:r>
      <w:r>
        <w:rPr>
          <w:rFonts w:ascii="Verdana" w:hAnsi="Verdana" w:cs="Arial"/>
          <w:spacing w:val="-12"/>
          <w:sz w:val="16"/>
          <w:szCs w:val="16"/>
        </w:rPr>
        <w:t>;</w:t>
      </w:r>
      <w:r w:rsidRPr="00CF3AED">
        <w:rPr>
          <w:rFonts w:ascii="Verdana" w:hAnsi="Verdana" w:cs="Arial"/>
          <w:spacing w:val="-12"/>
          <w:sz w:val="16"/>
          <w:szCs w:val="16"/>
        </w:rPr>
        <w:t xml:space="preserve"> y </w:t>
      </w:r>
      <w:r>
        <w:rPr>
          <w:rFonts w:ascii="Verdana" w:hAnsi="Verdana"/>
          <w:bCs/>
          <w:i/>
          <w:iCs/>
          <w:spacing w:val="-12"/>
          <w:sz w:val="16"/>
          <w:szCs w:val="16"/>
          <w:lang w:val="es-CR"/>
        </w:rPr>
        <w:t>Caso Lagos del Campo Vs. Perú, supra</w:t>
      </w:r>
      <w:r w:rsidRPr="00CF3AED">
        <w:rPr>
          <w:rFonts w:ascii="Verdana" w:hAnsi="Verdana"/>
          <w:bCs/>
          <w:iCs/>
          <w:spacing w:val="-12"/>
          <w:sz w:val="16"/>
          <w:szCs w:val="16"/>
          <w:lang w:val="es-CR"/>
        </w:rPr>
        <w:t xml:space="preserve">, </w:t>
      </w:r>
      <w:r w:rsidRPr="006203B0">
        <w:rPr>
          <w:rFonts w:ascii="Verdana" w:hAnsi="Verdana"/>
          <w:bCs/>
          <w:iCs/>
          <w:spacing w:val="-12"/>
          <w:sz w:val="16"/>
          <w:szCs w:val="16"/>
        </w:rPr>
        <w:t>párr. 18</w:t>
      </w:r>
      <w:r w:rsidRPr="00D1255A">
        <w:rPr>
          <w:rFonts w:ascii="Verdana" w:hAnsi="Verdana"/>
          <w:bCs/>
          <w:iCs/>
          <w:spacing w:val="-12"/>
          <w:sz w:val="16"/>
          <w:szCs w:val="16"/>
        </w:rPr>
        <w:t>4.</w:t>
      </w:r>
    </w:p>
  </w:footnote>
  <w:footnote w:id="232">
    <w:p w14:paraId="1684F8C0" w14:textId="79FCB91B" w:rsidR="00837BB9" w:rsidRPr="00CF3AED" w:rsidRDefault="00837BB9" w:rsidP="008349B1">
      <w:pPr>
        <w:pStyle w:val="FootnoteText"/>
        <w:spacing w:before="120" w:after="120"/>
        <w:jc w:val="both"/>
        <w:rPr>
          <w:rFonts w:ascii="Verdana" w:hAnsi="Verdana"/>
          <w:spacing w:val="-12"/>
          <w:sz w:val="16"/>
          <w:szCs w:val="16"/>
          <w:lang w:val="es-CR"/>
        </w:rPr>
      </w:pPr>
      <w:r w:rsidRPr="00FC1D38">
        <w:rPr>
          <w:rStyle w:val="FootnoteReference"/>
          <w:rFonts w:ascii="Verdana" w:hAnsi="Verdana"/>
          <w:spacing w:val="-12"/>
          <w:sz w:val="16"/>
          <w:szCs w:val="16"/>
        </w:rPr>
        <w:footnoteRef/>
      </w:r>
      <w:r w:rsidRPr="0039667B">
        <w:rPr>
          <w:rFonts w:ascii="Verdana" w:hAnsi="Verdana"/>
          <w:spacing w:val="-12"/>
          <w:sz w:val="16"/>
          <w:szCs w:val="16"/>
        </w:rPr>
        <w:t xml:space="preserve"> </w:t>
      </w:r>
      <w:r w:rsidRPr="0039667B">
        <w:rPr>
          <w:rFonts w:ascii="Verdana" w:hAnsi="Verdana"/>
          <w:spacing w:val="-12"/>
          <w:sz w:val="16"/>
          <w:szCs w:val="16"/>
          <w:lang w:val="es-CR"/>
        </w:rPr>
        <w:tab/>
      </w:r>
      <w:r w:rsidRPr="000536CF">
        <w:rPr>
          <w:rFonts w:ascii="Verdana" w:hAnsi="Verdana"/>
          <w:i/>
          <w:spacing w:val="-12"/>
          <w:sz w:val="16"/>
          <w:szCs w:val="16"/>
        </w:rPr>
        <w:t>Cfr.</w:t>
      </w:r>
      <w:r w:rsidRPr="000536CF">
        <w:rPr>
          <w:rFonts w:ascii="Verdana" w:hAnsi="Verdana"/>
          <w:spacing w:val="-12"/>
          <w:sz w:val="16"/>
          <w:szCs w:val="16"/>
        </w:rPr>
        <w:t xml:space="preserve"> Opinión Consultiva OC-9/87, </w:t>
      </w:r>
      <w:r w:rsidRPr="000536CF">
        <w:rPr>
          <w:rFonts w:ascii="Verdana" w:hAnsi="Verdana"/>
          <w:i/>
          <w:spacing w:val="-12"/>
          <w:sz w:val="16"/>
          <w:szCs w:val="16"/>
        </w:rPr>
        <w:t xml:space="preserve">supra, </w:t>
      </w:r>
      <w:r w:rsidRPr="001C16AC">
        <w:rPr>
          <w:rFonts w:ascii="Verdana" w:hAnsi="Verdana"/>
          <w:spacing w:val="-12"/>
          <w:sz w:val="16"/>
          <w:szCs w:val="16"/>
        </w:rPr>
        <w:t>párr. 24</w:t>
      </w:r>
      <w:r w:rsidRPr="006001C8">
        <w:rPr>
          <w:rFonts w:ascii="Verdana" w:hAnsi="Verdana" w:cs="Verdana"/>
          <w:i/>
          <w:spacing w:val="-12"/>
          <w:sz w:val="16"/>
          <w:szCs w:val="16"/>
          <w:lang w:bidi="en-US"/>
        </w:rPr>
        <w:t xml:space="preserve">, </w:t>
      </w:r>
      <w:r w:rsidRPr="009E7E48">
        <w:rPr>
          <w:rFonts w:ascii="Verdana" w:hAnsi="Verdana"/>
          <w:i/>
          <w:spacing w:val="-12"/>
          <w:sz w:val="16"/>
          <w:szCs w:val="16"/>
        </w:rPr>
        <w:t xml:space="preserve">Caso López </w:t>
      </w:r>
      <w:proofErr w:type="spellStart"/>
      <w:r w:rsidRPr="009E7E48">
        <w:rPr>
          <w:rFonts w:ascii="Verdana" w:hAnsi="Verdana"/>
          <w:i/>
          <w:spacing w:val="-12"/>
          <w:sz w:val="16"/>
          <w:szCs w:val="16"/>
        </w:rPr>
        <w:t>Lone</w:t>
      </w:r>
      <w:proofErr w:type="spellEnd"/>
      <w:r w:rsidRPr="009E7E48">
        <w:rPr>
          <w:rFonts w:ascii="Verdana" w:hAnsi="Verdana"/>
          <w:i/>
          <w:spacing w:val="-12"/>
          <w:sz w:val="16"/>
          <w:szCs w:val="16"/>
        </w:rPr>
        <w:t xml:space="preserve"> y otros Vs. Honduras</w:t>
      </w:r>
      <w:r w:rsidRPr="008B6122">
        <w:rPr>
          <w:rFonts w:ascii="Verdana" w:hAnsi="Verdana"/>
          <w:i/>
          <w:spacing w:val="-12"/>
          <w:sz w:val="16"/>
          <w:szCs w:val="16"/>
        </w:rPr>
        <w:t xml:space="preserve">. </w:t>
      </w:r>
      <w:r w:rsidRPr="0012407E">
        <w:rPr>
          <w:rFonts w:ascii="Verdana" w:hAnsi="Verdana"/>
          <w:i/>
          <w:spacing w:val="-12"/>
          <w:sz w:val="16"/>
          <w:szCs w:val="16"/>
        </w:rPr>
        <w:t>Excepción Preliminar, Fondo, Reparaciones y Costas</w:t>
      </w:r>
      <w:r w:rsidRPr="00F54556">
        <w:rPr>
          <w:rFonts w:ascii="Verdana" w:hAnsi="Verdana"/>
          <w:spacing w:val="-12"/>
          <w:sz w:val="16"/>
          <w:szCs w:val="16"/>
        </w:rPr>
        <w:t>. Sentencia de 5 de octubre de 2015. Serie C No. 302</w:t>
      </w:r>
      <w:r w:rsidRPr="00F54556">
        <w:rPr>
          <w:rFonts w:ascii="Verdana" w:hAnsi="Verdana"/>
          <w:i/>
          <w:spacing w:val="-12"/>
          <w:sz w:val="16"/>
          <w:szCs w:val="16"/>
        </w:rPr>
        <w:t xml:space="preserve">, </w:t>
      </w:r>
      <w:r w:rsidRPr="00C7142E">
        <w:rPr>
          <w:rFonts w:ascii="Verdana" w:hAnsi="Verdana"/>
          <w:spacing w:val="-12"/>
          <w:sz w:val="16"/>
          <w:szCs w:val="16"/>
        </w:rPr>
        <w:t>párr. 247</w:t>
      </w:r>
      <w:r w:rsidRPr="0069409D">
        <w:rPr>
          <w:rFonts w:ascii="Verdana" w:hAnsi="Verdana"/>
          <w:spacing w:val="-12"/>
          <w:sz w:val="16"/>
          <w:szCs w:val="16"/>
        </w:rPr>
        <w:t xml:space="preserve">,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161</w:t>
      </w:r>
      <w:r w:rsidRPr="00CF3AED">
        <w:rPr>
          <w:rFonts w:ascii="Verdana" w:hAnsi="Verdana"/>
          <w:spacing w:val="-12"/>
          <w:sz w:val="16"/>
          <w:szCs w:val="16"/>
        </w:rPr>
        <w:t>.</w:t>
      </w:r>
    </w:p>
  </w:footnote>
  <w:footnote w:id="233">
    <w:p w14:paraId="32E66633" w14:textId="62A4A3FB" w:rsidR="00837BB9" w:rsidRPr="000536CF" w:rsidRDefault="00837BB9" w:rsidP="008349B1">
      <w:pPr>
        <w:autoSpaceDE w:val="0"/>
        <w:autoSpaceDN w:val="0"/>
        <w:adjustRightInd w:val="0"/>
        <w:spacing w:before="120" w:after="120" w:line="240" w:lineRule="auto"/>
        <w:jc w:val="both"/>
        <w:rPr>
          <w:rFonts w:ascii="Verdana" w:eastAsia="Calibri" w:hAnsi="Verdana"/>
          <w:spacing w:val="-12"/>
          <w:sz w:val="16"/>
          <w:szCs w:val="16"/>
          <w:lang w:val="es-EC"/>
        </w:rPr>
      </w:pPr>
      <w:r w:rsidRPr="007C51D0">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EC"/>
        </w:rPr>
        <w:tab/>
      </w:r>
      <w:r w:rsidRPr="006F09DE">
        <w:rPr>
          <w:rFonts w:ascii="Verdana" w:hAnsi="Verdana"/>
          <w:i/>
          <w:spacing w:val="-12"/>
          <w:sz w:val="16"/>
          <w:szCs w:val="16"/>
        </w:rPr>
        <w:t>Cfr.</w:t>
      </w:r>
      <w:r>
        <w:rPr>
          <w:rFonts w:ascii="Verdana" w:hAnsi="Verdana" w:cs="Arial"/>
          <w:i/>
          <w:spacing w:val="-12"/>
          <w:sz w:val="16"/>
          <w:szCs w:val="16"/>
        </w:rPr>
        <w:t xml:space="preserve">, </w:t>
      </w:r>
      <w:r>
        <w:rPr>
          <w:rFonts w:ascii="Verdana" w:hAnsi="Verdana"/>
          <w:i/>
          <w:spacing w:val="-12"/>
          <w:sz w:val="16"/>
          <w:szCs w:val="16"/>
          <w:lang w:val="es-EC"/>
        </w:rPr>
        <w:t>m</w:t>
      </w:r>
      <w:r w:rsidRPr="00CF3AED">
        <w:rPr>
          <w:rFonts w:ascii="Verdana" w:hAnsi="Verdana"/>
          <w:i/>
          <w:spacing w:val="-12"/>
          <w:sz w:val="16"/>
          <w:szCs w:val="16"/>
          <w:lang w:val="es-EC"/>
        </w:rPr>
        <w:t xml:space="preserve">utatis </w:t>
      </w:r>
      <w:proofErr w:type="spellStart"/>
      <w:r w:rsidRPr="00CF3AED">
        <w:rPr>
          <w:rFonts w:ascii="Verdana" w:hAnsi="Verdana"/>
          <w:i/>
          <w:spacing w:val="-12"/>
          <w:sz w:val="16"/>
          <w:szCs w:val="16"/>
          <w:lang w:val="es-EC"/>
        </w:rPr>
        <w:t>mutandi</w:t>
      </w:r>
      <w:proofErr w:type="spellEnd"/>
      <w:r w:rsidRPr="00CF3AED">
        <w:rPr>
          <w:rFonts w:ascii="Verdana" w:hAnsi="Verdana"/>
          <w:i/>
          <w:spacing w:val="-12"/>
          <w:sz w:val="16"/>
          <w:szCs w:val="16"/>
          <w:lang w:val="es-EC"/>
        </w:rPr>
        <w:t>,</w:t>
      </w:r>
      <w:r w:rsidRPr="00CF3AED">
        <w:rPr>
          <w:rFonts w:ascii="Verdana" w:hAnsi="Verdana"/>
          <w:spacing w:val="-12"/>
          <w:sz w:val="16"/>
          <w:szCs w:val="16"/>
          <w:lang w:val="es-EC"/>
        </w:rPr>
        <w:t xml:space="preserve"> </w:t>
      </w:r>
      <w:r w:rsidRPr="00CF3AED">
        <w:rPr>
          <w:rFonts w:ascii="Verdana" w:hAnsi="Verdana"/>
          <w:i/>
          <w:iCs/>
          <w:spacing w:val="-12"/>
          <w:sz w:val="16"/>
          <w:szCs w:val="16"/>
          <w:lang w:val="es-EC"/>
        </w:rPr>
        <w:t xml:space="preserve">Caso Mejía </w:t>
      </w:r>
      <w:proofErr w:type="spellStart"/>
      <w:r w:rsidRPr="00CF3AED">
        <w:rPr>
          <w:rFonts w:ascii="Verdana" w:hAnsi="Verdana"/>
          <w:i/>
          <w:iCs/>
          <w:spacing w:val="-12"/>
          <w:sz w:val="16"/>
          <w:szCs w:val="16"/>
          <w:lang w:val="es-EC"/>
        </w:rPr>
        <w:t>Idrovo</w:t>
      </w:r>
      <w:proofErr w:type="spellEnd"/>
      <w:r w:rsidRPr="00CF3AED">
        <w:rPr>
          <w:rFonts w:ascii="Verdana" w:hAnsi="Verdana"/>
          <w:i/>
          <w:iCs/>
          <w:spacing w:val="-12"/>
          <w:sz w:val="16"/>
          <w:szCs w:val="16"/>
          <w:lang w:val="es-EC"/>
        </w:rPr>
        <w:t xml:space="preserve"> Vs. Ecuador</w:t>
      </w:r>
      <w:r w:rsidRPr="006203B0">
        <w:rPr>
          <w:rFonts w:ascii="Verdana" w:hAnsi="Verdana"/>
          <w:spacing w:val="-12"/>
          <w:sz w:val="16"/>
          <w:szCs w:val="16"/>
          <w:lang w:val="es-EC"/>
        </w:rPr>
        <w:t xml:space="preserve">. </w:t>
      </w:r>
      <w:r w:rsidRPr="00FC1D38">
        <w:rPr>
          <w:rFonts w:ascii="Verdana" w:hAnsi="Verdana"/>
          <w:i/>
          <w:spacing w:val="-12"/>
          <w:sz w:val="16"/>
          <w:szCs w:val="16"/>
          <w:lang w:val="es-EC"/>
        </w:rPr>
        <w:t>Excepciones preliminares, Fondo, Reparaciones y Costas</w:t>
      </w:r>
      <w:r w:rsidRPr="00FC1D38">
        <w:rPr>
          <w:rFonts w:ascii="Verdana" w:hAnsi="Verdana"/>
          <w:spacing w:val="-12"/>
          <w:sz w:val="16"/>
          <w:szCs w:val="16"/>
          <w:lang w:val="es-EC"/>
        </w:rPr>
        <w:t>. Sentencia de 5 de julio de 2011. Serie</w:t>
      </w:r>
      <w:r w:rsidRPr="00FC1D38">
        <w:rPr>
          <w:rFonts w:ascii="Verdana" w:hAnsi="Verdana"/>
          <w:iCs/>
          <w:spacing w:val="-12"/>
          <w:sz w:val="16"/>
          <w:szCs w:val="16"/>
          <w:lang w:val="es-EC"/>
        </w:rPr>
        <w:t xml:space="preserve"> C No.</w:t>
      </w:r>
      <w:r>
        <w:rPr>
          <w:rFonts w:ascii="Verdana" w:hAnsi="Verdana"/>
          <w:iCs/>
          <w:spacing w:val="-12"/>
          <w:sz w:val="16"/>
          <w:szCs w:val="16"/>
          <w:lang w:val="es-EC"/>
        </w:rPr>
        <w:t xml:space="preserve"> </w:t>
      </w:r>
      <w:r w:rsidRPr="00FC1D38">
        <w:rPr>
          <w:rFonts w:ascii="Verdana" w:hAnsi="Verdana"/>
          <w:iCs/>
          <w:spacing w:val="-12"/>
          <w:sz w:val="16"/>
          <w:szCs w:val="16"/>
          <w:lang w:val="es-EC"/>
        </w:rPr>
        <w:t>228</w:t>
      </w:r>
      <w:r w:rsidRPr="00FC1D38">
        <w:rPr>
          <w:rFonts w:ascii="Verdana" w:hAnsi="Verdana"/>
          <w:i/>
          <w:iCs/>
          <w:spacing w:val="-12"/>
          <w:sz w:val="16"/>
          <w:szCs w:val="16"/>
          <w:lang w:val="es-EC"/>
        </w:rPr>
        <w:t xml:space="preserve">, </w:t>
      </w:r>
      <w:r w:rsidRPr="00FC1D38">
        <w:rPr>
          <w:rFonts w:ascii="Verdana" w:hAnsi="Verdana"/>
          <w:spacing w:val="-12"/>
          <w:sz w:val="16"/>
          <w:szCs w:val="16"/>
          <w:lang w:val="es-EC"/>
        </w:rPr>
        <w:t xml:space="preserve">párr. 106, y </w:t>
      </w:r>
      <w:r w:rsidRPr="00FC1D38">
        <w:rPr>
          <w:rFonts w:ascii="Verdana" w:hAnsi="Verdana"/>
          <w:bCs/>
          <w:i/>
          <w:spacing w:val="-12"/>
          <w:sz w:val="16"/>
          <w:szCs w:val="16"/>
        </w:rPr>
        <w:t xml:space="preserve">Caso </w:t>
      </w:r>
      <w:proofErr w:type="spellStart"/>
      <w:r w:rsidRPr="00FC1D38">
        <w:rPr>
          <w:rFonts w:ascii="Verdana" w:hAnsi="Verdana"/>
          <w:bCs/>
          <w:i/>
          <w:spacing w:val="-12"/>
          <w:sz w:val="16"/>
          <w:szCs w:val="16"/>
        </w:rPr>
        <w:t>Furlan</w:t>
      </w:r>
      <w:proofErr w:type="spellEnd"/>
      <w:r w:rsidRPr="00FC1D38">
        <w:rPr>
          <w:rFonts w:ascii="Verdana" w:hAnsi="Verdana"/>
          <w:bCs/>
          <w:i/>
          <w:spacing w:val="-12"/>
          <w:sz w:val="16"/>
          <w:szCs w:val="16"/>
        </w:rPr>
        <w:t xml:space="preserve"> y familiares Vs. Argentina. Excepciones Preliminares, Fondo, Reparaciones y Costas.</w:t>
      </w:r>
      <w:r w:rsidRPr="00182452">
        <w:rPr>
          <w:rFonts w:ascii="Verdana" w:hAnsi="Verdana"/>
          <w:bCs/>
          <w:spacing w:val="-12"/>
          <w:sz w:val="16"/>
          <w:szCs w:val="16"/>
        </w:rPr>
        <w:t xml:space="preserve"> Sentencia de 31 de agosto de 2012. Serie C No. 246, párr. 211.</w:t>
      </w:r>
    </w:p>
  </w:footnote>
  <w:footnote w:id="234">
    <w:p w14:paraId="711849CA" w14:textId="6E03806E" w:rsidR="00837BB9" w:rsidRPr="000D6BCB" w:rsidRDefault="00837BB9" w:rsidP="008349B1">
      <w:pPr>
        <w:pStyle w:val="FootnoteText"/>
        <w:spacing w:before="120" w:after="120"/>
        <w:jc w:val="both"/>
        <w:rPr>
          <w:rFonts w:ascii="Verdana" w:hAnsi="Verdana"/>
          <w:spacing w:val="-12"/>
          <w:sz w:val="16"/>
          <w:szCs w:val="16"/>
        </w:rPr>
      </w:pPr>
      <w:r w:rsidRPr="000536CF">
        <w:rPr>
          <w:rStyle w:val="FootnoteReference"/>
          <w:rFonts w:ascii="Verdana" w:hAnsi="Verdana"/>
          <w:spacing w:val="-12"/>
          <w:sz w:val="16"/>
          <w:szCs w:val="16"/>
        </w:rPr>
        <w:footnoteRef/>
      </w:r>
      <w:r w:rsidRPr="000536CF">
        <w:rPr>
          <w:rFonts w:ascii="Verdana" w:hAnsi="Verdana"/>
          <w:spacing w:val="-12"/>
          <w:sz w:val="16"/>
          <w:szCs w:val="16"/>
        </w:rPr>
        <w:t xml:space="preserve"> </w:t>
      </w:r>
      <w:r w:rsidRPr="000536CF">
        <w:rPr>
          <w:rFonts w:ascii="Verdana" w:hAnsi="Verdana"/>
          <w:spacing w:val="-12"/>
          <w:sz w:val="16"/>
          <w:szCs w:val="16"/>
        </w:rPr>
        <w:tab/>
      </w:r>
      <w:r w:rsidRPr="006F09DE">
        <w:rPr>
          <w:rFonts w:ascii="Verdana" w:hAnsi="Verdana"/>
          <w:i/>
          <w:spacing w:val="-12"/>
          <w:sz w:val="16"/>
          <w:szCs w:val="16"/>
        </w:rPr>
        <w:t>Cfr.</w:t>
      </w:r>
      <w:r w:rsidRPr="006B62CC">
        <w:rPr>
          <w:rFonts w:ascii="Verdana" w:hAnsi="Verdana" w:cs="Arial"/>
          <w:i/>
          <w:spacing w:val="-12"/>
          <w:sz w:val="16"/>
          <w:szCs w:val="16"/>
        </w:rPr>
        <w:t xml:space="preserve"> </w:t>
      </w:r>
      <w:r w:rsidRPr="005C7D26">
        <w:rPr>
          <w:rStyle w:val="Strong"/>
          <w:rFonts w:ascii="Verdana" w:hAnsi="Verdana"/>
          <w:b w:val="0"/>
          <w:spacing w:val="-12"/>
          <w:sz w:val="16"/>
          <w:szCs w:val="16"/>
        </w:rPr>
        <w:t>Opinión Consultiva OC-9/87</w:t>
      </w:r>
      <w:r>
        <w:rPr>
          <w:rStyle w:val="Strong"/>
          <w:rFonts w:ascii="Verdana" w:hAnsi="Verdana"/>
          <w:b w:val="0"/>
          <w:spacing w:val="-12"/>
          <w:sz w:val="16"/>
          <w:szCs w:val="16"/>
        </w:rPr>
        <w:t>,</w:t>
      </w:r>
      <w:r>
        <w:rPr>
          <w:rStyle w:val="Strong"/>
          <w:rFonts w:ascii="Verdana" w:hAnsi="Verdana"/>
          <w:b w:val="0"/>
          <w:i/>
          <w:spacing w:val="-12"/>
          <w:sz w:val="16"/>
          <w:szCs w:val="16"/>
        </w:rPr>
        <w:t xml:space="preserve"> supra</w:t>
      </w:r>
      <w:r w:rsidRPr="000D6BCB">
        <w:rPr>
          <w:rFonts w:ascii="Verdana" w:hAnsi="Verdana"/>
          <w:spacing w:val="-12"/>
          <w:sz w:val="16"/>
          <w:szCs w:val="16"/>
        </w:rPr>
        <w:t xml:space="preserve">, párr. 24, y </w:t>
      </w:r>
      <w:r>
        <w:rPr>
          <w:rFonts w:ascii="Verdana" w:hAnsi="Verdana"/>
          <w:bCs/>
          <w:i/>
          <w:iCs/>
          <w:spacing w:val="-12"/>
          <w:sz w:val="16"/>
          <w:szCs w:val="16"/>
          <w:lang w:val="es-CR"/>
        </w:rPr>
        <w:t>Caso Lagos del Campo Vs. Perú, supra</w:t>
      </w:r>
      <w:r w:rsidRPr="00CF3AED">
        <w:rPr>
          <w:rFonts w:ascii="Verdana" w:hAnsi="Verdana"/>
          <w:bCs/>
          <w:iCs/>
          <w:spacing w:val="-12"/>
          <w:sz w:val="16"/>
          <w:szCs w:val="16"/>
          <w:lang w:val="es-CR"/>
        </w:rPr>
        <w:t xml:space="preserve">, </w:t>
      </w:r>
      <w:r w:rsidRPr="006203B0">
        <w:rPr>
          <w:rFonts w:ascii="Verdana" w:hAnsi="Verdana"/>
          <w:bCs/>
          <w:iCs/>
          <w:spacing w:val="-12"/>
          <w:sz w:val="16"/>
          <w:szCs w:val="16"/>
        </w:rPr>
        <w:t>párr.</w:t>
      </w:r>
      <w:r>
        <w:rPr>
          <w:rFonts w:ascii="Verdana" w:hAnsi="Verdana"/>
          <w:bCs/>
          <w:iCs/>
          <w:spacing w:val="-12"/>
          <w:sz w:val="16"/>
          <w:szCs w:val="16"/>
        </w:rPr>
        <w:t xml:space="preserve"> 188</w:t>
      </w:r>
      <w:r w:rsidRPr="000D6BCB">
        <w:rPr>
          <w:rFonts w:ascii="Verdana" w:hAnsi="Verdana" w:cs="Arial"/>
          <w:spacing w:val="-12"/>
          <w:sz w:val="16"/>
          <w:szCs w:val="16"/>
        </w:rPr>
        <w:t>.</w:t>
      </w:r>
    </w:p>
  </w:footnote>
  <w:footnote w:id="235">
    <w:p w14:paraId="4BD3CFD4" w14:textId="0D4F0521" w:rsidR="00837BB9" w:rsidRPr="000536CF" w:rsidRDefault="00837BB9" w:rsidP="008349B1">
      <w:pPr>
        <w:pStyle w:val="FootnoteText"/>
        <w:spacing w:before="120" w:after="120"/>
        <w:jc w:val="both"/>
        <w:rPr>
          <w:rFonts w:ascii="Verdana" w:hAnsi="Verdana"/>
          <w:spacing w:val="-12"/>
          <w:sz w:val="16"/>
          <w:szCs w:val="16"/>
          <w:lang w:val="pt-BR"/>
        </w:rPr>
      </w:pPr>
      <w:r w:rsidRPr="006B62CC">
        <w:rPr>
          <w:rStyle w:val="FootnoteReference"/>
          <w:rFonts w:ascii="Verdana" w:hAnsi="Verdana"/>
          <w:spacing w:val="-12"/>
          <w:sz w:val="16"/>
          <w:szCs w:val="16"/>
        </w:rPr>
        <w:footnoteRef/>
      </w:r>
      <w:r w:rsidRPr="006B62CC">
        <w:rPr>
          <w:rFonts w:ascii="Verdana" w:hAnsi="Verdana"/>
          <w:spacing w:val="-12"/>
          <w:sz w:val="16"/>
          <w:szCs w:val="16"/>
        </w:rPr>
        <w:t xml:space="preserve"> </w:t>
      </w:r>
      <w:r w:rsidRPr="006B62CC">
        <w:rPr>
          <w:rFonts w:ascii="Verdana" w:hAnsi="Verdana"/>
          <w:spacing w:val="-12"/>
          <w:sz w:val="16"/>
          <w:szCs w:val="16"/>
        </w:rPr>
        <w:tab/>
      </w:r>
      <w:r w:rsidRPr="006F09DE">
        <w:rPr>
          <w:rFonts w:ascii="Verdana" w:hAnsi="Verdana"/>
          <w:i/>
          <w:spacing w:val="-12"/>
          <w:sz w:val="16"/>
          <w:szCs w:val="16"/>
        </w:rPr>
        <w:t>Cfr.</w:t>
      </w:r>
      <w:r w:rsidRPr="006B62CC">
        <w:rPr>
          <w:rFonts w:ascii="Verdana" w:hAnsi="Verdana" w:cs="Arial"/>
          <w:i/>
          <w:spacing w:val="-12"/>
          <w:sz w:val="16"/>
          <w:szCs w:val="16"/>
        </w:rPr>
        <w:t xml:space="preserve"> </w:t>
      </w:r>
      <w:r w:rsidRPr="000D6BCB">
        <w:rPr>
          <w:rFonts w:ascii="Verdana" w:hAnsi="Verdana" w:cs="Arial"/>
          <w:i/>
          <w:spacing w:val="-12"/>
          <w:sz w:val="16"/>
          <w:szCs w:val="16"/>
        </w:rPr>
        <w:t>Caso Omar Humberto Maldonado Vargas y otros Vs. Chile</w:t>
      </w:r>
      <w:r w:rsidRPr="000D6BCB">
        <w:rPr>
          <w:rFonts w:ascii="Verdana" w:hAnsi="Verdana" w:cs="Arial"/>
          <w:spacing w:val="-12"/>
          <w:sz w:val="16"/>
          <w:szCs w:val="16"/>
        </w:rPr>
        <w:t>,</w:t>
      </w:r>
      <w:r>
        <w:rPr>
          <w:rFonts w:ascii="Verdana" w:hAnsi="Verdana" w:cs="Arial"/>
          <w:spacing w:val="-12"/>
          <w:sz w:val="16"/>
          <w:szCs w:val="16"/>
        </w:rPr>
        <w:t xml:space="preserve"> </w:t>
      </w:r>
      <w:r>
        <w:rPr>
          <w:rFonts w:ascii="Verdana" w:hAnsi="Verdana" w:cs="Arial"/>
          <w:i/>
          <w:spacing w:val="-12"/>
          <w:sz w:val="16"/>
          <w:szCs w:val="16"/>
        </w:rPr>
        <w:t>supra,</w:t>
      </w:r>
      <w:r w:rsidRPr="000D6BCB">
        <w:rPr>
          <w:rFonts w:ascii="Verdana" w:hAnsi="Verdana" w:cs="Arial"/>
          <w:spacing w:val="-12"/>
          <w:sz w:val="16"/>
          <w:szCs w:val="16"/>
        </w:rPr>
        <w:t xml:space="preserve"> párr. 123</w:t>
      </w:r>
      <w:r w:rsidRPr="006B62CC">
        <w:rPr>
          <w:rFonts w:ascii="Verdana" w:hAnsi="Verdana"/>
          <w:spacing w:val="-12"/>
          <w:sz w:val="16"/>
          <w:szCs w:val="16"/>
        </w:rPr>
        <w:t xml:space="preserve">,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155</w:t>
      </w:r>
      <w:r w:rsidRPr="000536CF">
        <w:rPr>
          <w:rFonts w:ascii="Verdana" w:hAnsi="Verdana" w:cs="Arial"/>
          <w:spacing w:val="-12"/>
          <w:sz w:val="16"/>
          <w:szCs w:val="16"/>
        </w:rPr>
        <w:t>.</w:t>
      </w:r>
    </w:p>
  </w:footnote>
  <w:footnote w:id="236">
    <w:p w14:paraId="17D8E530" w14:textId="6F7F8491" w:rsidR="00837BB9" w:rsidRPr="00B34F6C" w:rsidRDefault="00837BB9" w:rsidP="008349B1">
      <w:pPr>
        <w:pStyle w:val="FootnoteText"/>
        <w:spacing w:before="120" w:after="120"/>
        <w:jc w:val="both"/>
        <w:rPr>
          <w:rFonts w:ascii="Verdana" w:hAnsi="Verdana"/>
          <w:spacing w:val="-12"/>
          <w:sz w:val="16"/>
          <w:szCs w:val="16"/>
        </w:rPr>
      </w:pPr>
      <w:r w:rsidRPr="000536CF">
        <w:rPr>
          <w:rStyle w:val="FootnoteReference"/>
          <w:rFonts w:ascii="Verdana" w:hAnsi="Verdana"/>
          <w:spacing w:val="-12"/>
          <w:sz w:val="16"/>
          <w:szCs w:val="16"/>
        </w:rPr>
        <w:footnoteRef/>
      </w:r>
      <w:r w:rsidRPr="00D140CA">
        <w:rPr>
          <w:rFonts w:ascii="Verdana" w:hAnsi="Verdana"/>
          <w:spacing w:val="-12"/>
          <w:sz w:val="16"/>
          <w:szCs w:val="16"/>
        </w:rPr>
        <w:t xml:space="preserve"> </w:t>
      </w:r>
      <w:r w:rsidRPr="00D140CA">
        <w:rPr>
          <w:rFonts w:ascii="Verdana" w:hAnsi="Verdana"/>
          <w:spacing w:val="-12"/>
          <w:sz w:val="16"/>
          <w:szCs w:val="16"/>
        </w:rPr>
        <w:tab/>
      </w:r>
      <w:r w:rsidRPr="005C7D26">
        <w:rPr>
          <w:rFonts w:ascii="Verdana" w:hAnsi="Verdana"/>
          <w:i/>
          <w:spacing w:val="-12"/>
          <w:sz w:val="16"/>
          <w:szCs w:val="16"/>
        </w:rPr>
        <w:t>Cfr. Caso</w:t>
      </w:r>
      <w:r w:rsidRPr="005C7D26">
        <w:rPr>
          <w:rFonts w:ascii="Verdana" w:hAnsi="Verdana"/>
          <w:spacing w:val="-12"/>
          <w:sz w:val="16"/>
          <w:szCs w:val="16"/>
        </w:rPr>
        <w:t xml:space="preserve"> </w:t>
      </w:r>
      <w:r w:rsidRPr="005C7D26">
        <w:rPr>
          <w:rFonts w:ascii="Verdana" w:hAnsi="Verdana"/>
          <w:i/>
          <w:spacing w:val="-12"/>
          <w:sz w:val="16"/>
          <w:szCs w:val="16"/>
        </w:rPr>
        <w:t>López Álvarez Vs. Honduras. Fondo, Reparaciones y Costas</w:t>
      </w:r>
      <w:r w:rsidRPr="005C7D26">
        <w:rPr>
          <w:rFonts w:ascii="Verdana" w:hAnsi="Verdana"/>
          <w:spacing w:val="-12"/>
          <w:sz w:val="16"/>
          <w:szCs w:val="16"/>
        </w:rPr>
        <w:t>. Sentencia de 1 de febrero de 2006. Serie C No. 141, párr. 96,</w:t>
      </w:r>
      <w:r w:rsidRPr="005C7D26">
        <w:rPr>
          <w:rFonts w:ascii="Verdana" w:hAnsi="Verdana"/>
          <w:i/>
          <w:spacing w:val="-12"/>
          <w:sz w:val="16"/>
          <w:szCs w:val="16"/>
        </w:rPr>
        <w:t xml:space="preserve"> </w:t>
      </w:r>
      <w:r w:rsidRPr="005C7D26">
        <w:rPr>
          <w:rFonts w:ascii="Verdana" w:hAnsi="Verdana"/>
          <w:spacing w:val="-12"/>
          <w:sz w:val="16"/>
          <w:szCs w:val="16"/>
        </w:rPr>
        <w:t xml:space="preserve">y </w:t>
      </w:r>
      <w:r w:rsidRPr="001C16AC">
        <w:rPr>
          <w:rFonts w:ascii="Verdana" w:hAnsi="Verdana" w:cs="Arial"/>
          <w:i/>
          <w:spacing w:val="-12"/>
          <w:sz w:val="16"/>
          <w:szCs w:val="16"/>
        </w:rPr>
        <w:t>Caso Omar Humberto Maldonado Vargas y otros Vs. Chile</w:t>
      </w:r>
      <w:r w:rsidRPr="006001C8">
        <w:rPr>
          <w:rFonts w:ascii="Verdana" w:hAnsi="Verdana" w:cs="Arial"/>
          <w:spacing w:val="-12"/>
          <w:sz w:val="16"/>
          <w:szCs w:val="16"/>
        </w:rPr>
        <w:t>, párr. 123.</w:t>
      </w:r>
    </w:p>
  </w:footnote>
  <w:footnote w:id="237">
    <w:p w14:paraId="4D69A70F" w14:textId="7C508292" w:rsidR="00837BB9" w:rsidRPr="00B34F6C" w:rsidRDefault="00837BB9" w:rsidP="008349B1">
      <w:pPr>
        <w:pStyle w:val="FootnoteText"/>
        <w:tabs>
          <w:tab w:val="left" w:pos="708"/>
        </w:tabs>
        <w:spacing w:before="120" w:after="120"/>
        <w:jc w:val="both"/>
        <w:rPr>
          <w:rFonts w:ascii="Verdana" w:hAnsi="Verdana"/>
          <w:spacing w:val="-12"/>
          <w:sz w:val="16"/>
          <w:szCs w:val="16"/>
          <w:lang w:eastAsia="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E83473">
        <w:rPr>
          <w:rFonts w:ascii="Verdana" w:hAnsi="Verdana"/>
          <w:i/>
          <w:spacing w:val="-12"/>
          <w:sz w:val="16"/>
          <w:szCs w:val="16"/>
        </w:rPr>
        <w:t>Cfr.</w:t>
      </w:r>
      <w:r>
        <w:rPr>
          <w:rFonts w:ascii="Verdana" w:hAnsi="Verdana"/>
          <w:i/>
          <w:spacing w:val="-12"/>
          <w:sz w:val="16"/>
          <w:szCs w:val="16"/>
        </w:rPr>
        <w:t xml:space="preserve"> </w:t>
      </w:r>
      <w:r w:rsidRPr="00CF3AED">
        <w:rPr>
          <w:rFonts w:ascii="Verdana" w:hAnsi="Verdana"/>
          <w:i/>
          <w:spacing w:val="-12"/>
          <w:sz w:val="16"/>
          <w:szCs w:val="16"/>
        </w:rPr>
        <w:t>Caso Chaparro Álvarez y Lapo Íñiguez</w:t>
      </w:r>
      <w:r w:rsidRPr="007C51D0">
        <w:rPr>
          <w:rStyle w:val="Strong"/>
          <w:rFonts w:ascii="Verdana" w:hAnsi="Verdana"/>
          <w:b w:val="0"/>
          <w:i/>
          <w:color w:val="000000"/>
          <w:sz w:val="16"/>
          <w:shd w:val="clear" w:color="auto" w:fill="FFFFFF"/>
        </w:rPr>
        <w:t xml:space="preserve">. </w:t>
      </w:r>
      <w:r w:rsidRPr="00997D29">
        <w:rPr>
          <w:rFonts w:ascii="Verdana" w:hAnsi="Verdana"/>
          <w:i/>
          <w:spacing w:val="-12"/>
          <w:sz w:val="16"/>
          <w:szCs w:val="16"/>
        </w:rPr>
        <w:t>Excepciones Preliminares, Fondo, Reparaciones y Costas</w:t>
      </w:r>
      <w:r w:rsidRPr="00997D29">
        <w:rPr>
          <w:rFonts w:ascii="Verdana" w:hAnsi="Verdana"/>
          <w:spacing w:val="-12"/>
          <w:sz w:val="16"/>
          <w:szCs w:val="16"/>
        </w:rPr>
        <w:t>. Sentencia de 21 de noviembre de 2007. Serie C No. 170</w:t>
      </w:r>
      <w:r w:rsidRPr="00CF3AED">
        <w:rPr>
          <w:rFonts w:ascii="Verdana" w:hAnsi="Verdana"/>
          <w:spacing w:val="-12"/>
          <w:sz w:val="16"/>
          <w:szCs w:val="16"/>
        </w:rPr>
        <w:t xml:space="preserve">, </w:t>
      </w:r>
      <w:r w:rsidRPr="006203B0">
        <w:rPr>
          <w:rFonts w:ascii="Verdana" w:hAnsi="Verdana"/>
          <w:spacing w:val="-12"/>
          <w:sz w:val="16"/>
          <w:szCs w:val="16"/>
        </w:rPr>
        <w:t xml:space="preserve">párr. 107;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168.</w:t>
      </w:r>
    </w:p>
  </w:footnote>
  <w:footnote w:id="238">
    <w:p w14:paraId="693AC616" w14:textId="15D04454" w:rsidR="00837BB9" w:rsidRPr="000536CF" w:rsidRDefault="00837BB9" w:rsidP="008349B1">
      <w:pPr>
        <w:pStyle w:val="FootnoteText"/>
        <w:tabs>
          <w:tab w:val="left" w:pos="708"/>
        </w:tabs>
        <w:spacing w:before="120" w:after="120"/>
        <w:jc w:val="both"/>
        <w:rPr>
          <w:rFonts w:ascii="Verdana" w:hAnsi="Verdana"/>
          <w:spacing w:val="-12"/>
          <w:sz w:val="16"/>
          <w:szCs w:val="16"/>
          <w:lang w:val="es-ES"/>
        </w:rPr>
      </w:pPr>
      <w:r w:rsidRPr="000536CF">
        <w:rPr>
          <w:rStyle w:val="FootnoteReference"/>
          <w:rFonts w:ascii="Verdana" w:hAnsi="Verdana"/>
          <w:spacing w:val="-12"/>
          <w:sz w:val="16"/>
          <w:szCs w:val="16"/>
        </w:rPr>
        <w:footnoteRef/>
      </w:r>
      <w:r w:rsidRPr="000536CF">
        <w:rPr>
          <w:rFonts w:ascii="Verdana" w:hAnsi="Verdana"/>
          <w:spacing w:val="-12"/>
          <w:sz w:val="16"/>
          <w:szCs w:val="16"/>
          <w:lang w:val="es-ES"/>
        </w:rPr>
        <w:t xml:space="preserve"> </w:t>
      </w:r>
      <w:r w:rsidRPr="000536CF">
        <w:rPr>
          <w:rFonts w:ascii="Verdana" w:hAnsi="Verdana"/>
          <w:spacing w:val="-12"/>
          <w:sz w:val="16"/>
          <w:szCs w:val="16"/>
          <w:lang w:val="es-ES"/>
        </w:rPr>
        <w:tab/>
      </w:r>
      <w:r w:rsidRPr="000536CF">
        <w:rPr>
          <w:rFonts w:ascii="Verdana" w:hAnsi="Verdana"/>
          <w:i/>
          <w:spacing w:val="-12"/>
          <w:sz w:val="16"/>
          <w:szCs w:val="16"/>
          <w:lang w:val="es-ES"/>
        </w:rPr>
        <w:t xml:space="preserve">Cfr. Caso </w:t>
      </w:r>
      <w:proofErr w:type="spellStart"/>
      <w:r w:rsidRPr="000536CF">
        <w:rPr>
          <w:rFonts w:ascii="Verdana" w:hAnsi="Verdana"/>
          <w:i/>
          <w:spacing w:val="-12"/>
          <w:sz w:val="16"/>
          <w:szCs w:val="16"/>
          <w:lang w:val="es-ES"/>
        </w:rPr>
        <w:t>Apitz</w:t>
      </w:r>
      <w:proofErr w:type="spellEnd"/>
      <w:r w:rsidRPr="000536CF">
        <w:rPr>
          <w:rFonts w:ascii="Verdana" w:hAnsi="Verdana"/>
          <w:i/>
          <w:spacing w:val="-12"/>
          <w:sz w:val="16"/>
          <w:szCs w:val="16"/>
          <w:lang w:val="es-ES"/>
        </w:rPr>
        <w:t xml:space="preserve"> Barbera y otros (“Corte Primera de lo Contencioso Admin</w:t>
      </w:r>
      <w:r>
        <w:rPr>
          <w:rFonts w:ascii="Verdana" w:hAnsi="Verdana"/>
          <w:i/>
          <w:spacing w:val="-12"/>
          <w:sz w:val="16"/>
          <w:szCs w:val="16"/>
          <w:lang w:val="es-ES"/>
        </w:rPr>
        <w:t>istrativo”) Vs. Venezuela, supra</w:t>
      </w:r>
      <w:r w:rsidRPr="001C16AC">
        <w:rPr>
          <w:rFonts w:ascii="Verdana" w:hAnsi="Verdana"/>
          <w:spacing w:val="-12"/>
          <w:sz w:val="16"/>
          <w:szCs w:val="16"/>
          <w:lang w:val="es-ES"/>
        </w:rPr>
        <w:t xml:space="preserve">, párr. 77;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168</w:t>
      </w:r>
      <w:r w:rsidRPr="00201746">
        <w:rPr>
          <w:rFonts w:ascii="Verdana" w:hAnsi="Verdana"/>
          <w:spacing w:val="-12"/>
          <w:sz w:val="16"/>
          <w:szCs w:val="16"/>
          <w:lang w:val="es-ES"/>
        </w:rPr>
        <w:t xml:space="preserve">. Así </w:t>
      </w:r>
      <w:r>
        <w:rPr>
          <w:rFonts w:ascii="Verdana" w:hAnsi="Verdana"/>
          <w:spacing w:val="-12"/>
          <w:sz w:val="16"/>
          <w:szCs w:val="16"/>
          <w:lang w:val="es-ES"/>
        </w:rPr>
        <w:t xml:space="preserve">también </w:t>
      </w:r>
      <w:r w:rsidRPr="00201746">
        <w:rPr>
          <w:rFonts w:ascii="Verdana" w:hAnsi="Verdana"/>
          <w:spacing w:val="-12"/>
          <w:sz w:val="16"/>
          <w:szCs w:val="16"/>
          <w:lang w:val="es-ES"/>
        </w:rPr>
        <w:t xml:space="preserve">lo ha establecido el Tribunal Europeo en el </w:t>
      </w:r>
      <w:r w:rsidRPr="00201746">
        <w:rPr>
          <w:rFonts w:ascii="Verdana" w:hAnsi="Verdana"/>
          <w:spacing w:val="-12"/>
          <w:kern w:val="2"/>
          <w:sz w:val="16"/>
          <w:szCs w:val="16"/>
          <w:lang w:val="es-ES"/>
        </w:rPr>
        <w:t xml:space="preserve">caso </w:t>
      </w:r>
      <w:proofErr w:type="spellStart"/>
      <w:r w:rsidRPr="00201746">
        <w:rPr>
          <w:rFonts w:ascii="Verdana" w:hAnsi="Verdana"/>
          <w:spacing w:val="-12"/>
          <w:kern w:val="2"/>
          <w:sz w:val="16"/>
          <w:szCs w:val="16"/>
          <w:lang w:val="es-ES"/>
        </w:rPr>
        <w:t>Suominen</w:t>
      </w:r>
      <w:proofErr w:type="spellEnd"/>
      <w:r w:rsidRPr="00201746">
        <w:rPr>
          <w:rFonts w:ascii="Verdana" w:hAnsi="Verdana"/>
          <w:spacing w:val="-12"/>
          <w:kern w:val="2"/>
          <w:sz w:val="16"/>
          <w:szCs w:val="16"/>
          <w:lang w:val="es-ES"/>
        </w:rPr>
        <w:t xml:space="preserve">: “[l]a Corte reitera entonces que, de acuerdo con su jurisprudencia constante y en reflejo de un principio relativo a la correcta administración de justicia, las sentencias de las cortes y los tribunales deben exponer de manera adecuada las razones en las que se basan” (traducción de esta Corte). </w:t>
      </w:r>
      <w:r w:rsidRPr="00201746">
        <w:rPr>
          <w:rFonts w:ascii="Verdana" w:hAnsi="Verdana"/>
          <w:i/>
          <w:spacing w:val="-12"/>
          <w:kern w:val="2"/>
          <w:sz w:val="16"/>
          <w:szCs w:val="16"/>
          <w:lang w:val="es-ES"/>
        </w:rPr>
        <w:t xml:space="preserve">Cfr. </w:t>
      </w:r>
      <w:r>
        <w:rPr>
          <w:rFonts w:ascii="Verdana" w:hAnsi="Verdana"/>
          <w:spacing w:val="-12"/>
          <w:sz w:val="16"/>
          <w:szCs w:val="16"/>
          <w:lang w:val="es-CR"/>
        </w:rPr>
        <w:t>TEDH</w:t>
      </w:r>
      <w:r w:rsidRPr="00777042">
        <w:rPr>
          <w:rFonts w:ascii="Verdana" w:hAnsi="Verdana"/>
          <w:spacing w:val="-12"/>
          <w:sz w:val="16"/>
          <w:szCs w:val="16"/>
          <w:lang w:val="es-CR"/>
        </w:rPr>
        <w:t xml:space="preserve">, </w:t>
      </w:r>
      <w:proofErr w:type="spellStart"/>
      <w:r w:rsidRPr="00777042">
        <w:rPr>
          <w:rFonts w:ascii="Verdana" w:hAnsi="Verdana"/>
          <w:i/>
          <w:spacing w:val="-12"/>
          <w:kern w:val="2"/>
          <w:sz w:val="16"/>
          <w:szCs w:val="16"/>
          <w:lang w:val="es-ES"/>
        </w:rPr>
        <w:t>Suominen</w:t>
      </w:r>
      <w:proofErr w:type="spellEnd"/>
      <w:r w:rsidRPr="00777042">
        <w:rPr>
          <w:rFonts w:ascii="Verdana" w:hAnsi="Verdana"/>
          <w:i/>
          <w:spacing w:val="-12"/>
          <w:kern w:val="2"/>
          <w:sz w:val="16"/>
          <w:szCs w:val="16"/>
          <w:lang w:val="es-ES"/>
        </w:rPr>
        <w:t xml:space="preserve"> v. </w:t>
      </w:r>
      <w:proofErr w:type="spellStart"/>
      <w:r w:rsidRPr="00777042">
        <w:rPr>
          <w:rFonts w:ascii="Verdana" w:hAnsi="Verdana"/>
          <w:i/>
          <w:spacing w:val="-12"/>
          <w:kern w:val="2"/>
          <w:sz w:val="16"/>
          <w:szCs w:val="16"/>
          <w:lang w:val="es-ES"/>
        </w:rPr>
        <w:t>Finland</w:t>
      </w:r>
      <w:proofErr w:type="spellEnd"/>
      <w:r w:rsidRPr="00777042">
        <w:rPr>
          <w:rFonts w:ascii="Verdana" w:hAnsi="Verdana"/>
          <w:i/>
          <w:spacing w:val="-12"/>
          <w:kern w:val="2"/>
          <w:sz w:val="16"/>
          <w:szCs w:val="16"/>
          <w:lang w:val="es-ES"/>
        </w:rPr>
        <w:t xml:space="preserve">, </w:t>
      </w:r>
      <w:r>
        <w:rPr>
          <w:rFonts w:ascii="Verdana" w:hAnsi="Verdana"/>
          <w:i/>
          <w:spacing w:val="-12"/>
          <w:kern w:val="2"/>
          <w:sz w:val="16"/>
          <w:szCs w:val="16"/>
          <w:lang w:val="es-ES"/>
        </w:rPr>
        <w:t>(N</w:t>
      </w:r>
      <w:r w:rsidRPr="00777042">
        <w:rPr>
          <w:rFonts w:ascii="Verdana" w:hAnsi="Verdana"/>
          <w:i/>
          <w:spacing w:val="-12"/>
          <w:kern w:val="2"/>
          <w:sz w:val="16"/>
          <w:szCs w:val="16"/>
          <w:lang w:val="es-ES"/>
        </w:rPr>
        <w:t>o. 37801/97</w:t>
      </w:r>
      <w:r>
        <w:rPr>
          <w:rFonts w:ascii="Verdana" w:hAnsi="Verdana"/>
          <w:i/>
          <w:spacing w:val="-12"/>
          <w:kern w:val="2"/>
          <w:sz w:val="16"/>
          <w:szCs w:val="16"/>
          <w:lang w:val="es-ES"/>
        </w:rPr>
        <w:t>)</w:t>
      </w:r>
      <w:r w:rsidRPr="00777042">
        <w:rPr>
          <w:rFonts w:ascii="Verdana" w:hAnsi="Verdana"/>
          <w:i/>
          <w:spacing w:val="-12"/>
          <w:kern w:val="2"/>
          <w:sz w:val="16"/>
          <w:szCs w:val="16"/>
          <w:lang w:val="es-ES"/>
        </w:rPr>
        <w:t>,</w:t>
      </w:r>
      <w:r>
        <w:rPr>
          <w:rFonts w:ascii="Verdana" w:hAnsi="Verdana"/>
          <w:i/>
          <w:spacing w:val="-12"/>
          <w:kern w:val="2"/>
          <w:sz w:val="16"/>
          <w:szCs w:val="16"/>
          <w:lang w:val="es-ES"/>
        </w:rPr>
        <w:t xml:space="preserve"> Sentencia de 1 de julio de 2003,</w:t>
      </w:r>
      <w:r w:rsidRPr="00777042">
        <w:rPr>
          <w:rFonts w:ascii="Verdana" w:hAnsi="Verdana"/>
          <w:i/>
          <w:spacing w:val="-12"/>
          <w:kern w:val="2"/>
          <w:sz w:val="16"/>
          <w:szCs w:val="16"/>
          <w:lang w:val="es-ES"/>
        </w:rPr>
        <w:t xml:space="preserve"> para. 34</w:t>
      </w:r>
      <w:r>
        <w:rPr>
          <w:rFonts w:ascii="Verdana" w:hAnsi="Verdana"/>
          <w:i/>
          <w:spacing w:val="-12"/>
          <w:kern w:val="2"/>
          <w:sz w:val="16"/>
          <w:szCs w:val="16"/>
          <w:lang w:val="es-ES"/>
        </w:rPr>
        <w:t>.</w:t>
      </w:r>
    </w:p>
  </w:footnote>
  <w:footnote w:id="239">
    <w:p w14:paraId="0ECE1974" w14:textId="0346BA0E" w:rsidR="00837BB9" w:rsidRPr="000536CF" w:rsidRDefault="00837BB9" w:rsidP="008349B1">
      <w:pPr>
        <w:pStyle w:val="FootnoteText"/>
        <w:tabs>
          <w:tab w:val="left" w:pos="708"/>
        </w:tabs>
        <w:spacing w:before="120" w:after="120"/>
        <w:jc w:val="both"/>
        <w:rPr>
          <w:rFonts w:ascii="Verdana" w:hAnsi="Verdana"/>
          <w:spacing w:val="-12"/>
          <w:sz w:val="16"/>
          <w:szCs w:val="16"/>
          <w:lang w:val="es-ES"/>
        </w:rPr>
      </w:pPr>
      <w:r w:rsidRPr="000536CF">
        <w:rPr>
          <w:rStyle w:val="FootnoteReference"/>
          <w:rFonts w:ascii="Verdana" w:hAnsi="Verdana"/>
          <w:spacing w:val="-12"/>
          <w:sz w:val="16"/>
          <w:szCs w:val="16"/>
        </w:rPr>
        <w:footnoteRef/>
      </w:r>
      <w:r w:rsidRPr="000536CF">
        <w:rPr>
          <w:rFonts w:ascii="Verdana" w:hAnsi="Verdana"/>
          <w:spacing w:val="-12"/>
          <w:sz w:val="16"/>
          <w:szCs w:val="16"/>
          <w:lang w:val="es-ES"/>
        </w:rPr>
        <w:t xml:space="preserve"> </w:t>
      </w:r>
      <w:r w:rsidRPr="000536CF">
        <w:rPr>
          <w:rFonts w:ascii="Verdana" w:hAnsi="Verdana"/>
          <w:spacing w:val="-12"/>
          <w:sz w:val="16"/>
          <w:szCs w:val="16"/>
          <w:lang w:val="es-ES"/>
        </w:rPr>
        <w:tab/>
      </w:r>
      <w:r w:rsidRPr="000536CF">
        <w:rPr>
          <w:rFonts w:ascii="Verdana" w:hAnsi="Verdana"/>
          <w:i/>
          <w:spacing w:val="-12"/>
          <w:sz w:val="16"/>
          <w:szCs w:val="16"/>
          <w:lang w:val="es-ES"/>
        </w:rPr>
        <w:t xml:space="preserve">Cfr. Caso </w:t>
      </w:r>
      <w:proofErr w:type="spellStart"/>
      <w:r w:rsidRPr="000536CF">
        <w:rPr>
          <w:rFonts w:ascii="Verdana" w:hAnsi="Verdana"/>
          <w:i/>
          <w:spacing w:val="-12"/>
          <w:sz w:val="16"/>
          <w:szCs w:val="16"/>
          <w:lang w:val="es-ES"/>
        </w:rPr>
        <w:t>Yatama</w:t>
      </w:r>
      <w:proofErr w:type="spellEnd"/>
      <w:r w:rsidRPr="000536CF">
        <w:rPr>
          <w:rFonts w:ascii="Verdana" w:hAnsi="Verdana"/>
          <w:i/>
          <w:spacing w:val="-12"/>
          <w:sz w:val="16"/>
          <w:szCs w:val="16"/>
          <w:lang w:val="es-ES"/>
        </w:rPr>
        <w:t xml:space="preserve"> Vs. Nicaragua</w:t>
      </w:r>
      <w:r w:rsidRPr="000536CF">
        <w:rPr>
          <w:rFonts w:ascii="Verdana" w:hAnsi="Verdana"/>
          <w:spacing w:val="-12"/>
          <w:sz w:val="16"/>
          <w:szCs w:val="16"/>
          <w:lang w:val="es-ES"/>
        </w:rPr>
        <w:t xml:space="preserve">, </w:t>
      </w:r>
      <w:r>
        <w:rPr>
          <w:rFonts w:ascii="Verdana" w:hAnsi="Verdana"/>
          <w:i/>
          <w:spacing w:val="-12"/>
          <w:sz w:val="16"/>
          <w:szCs w:val="16"/>
          <w:lang w:val="es-ES"/>
        </w:rPr>
        <w:t xml:space="preserve">supra, </w:t>
      </w:r>
      <w:r w:rsidRPr="00777042">
        <w:rPr>
          <w:rFonts w:ascii="Verdana" w:hAnsi="Verdana"/>
          <w:spacing w:val="-12"/>
          <w:sz w:val="16"/>
          <w:szCs w:val="16"/>
          <w:lang w:val="es-ES"/>
        </w:rPr>
        <w:t xml:space="preserve">párr. 152;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168</w:t>
      </w:r>
      <w:r w:rsidRPr="00777042">
        <w:rPr>
          <w:rFonts w:ascii="Verdana" w:hAnsi="Verdana"/>
          <w:spacing w:val="-12"/>
          <w:sz w:val="16"/>
          <w:szCs w:val="16"/>
        </w:rPr>
        <w:t xml:space="preserve">. </w:t>
      </w:r>
    </w:p>
  </w:footnote>
  <w:footnote w:id="240">
    <w:p w14:paraId="13B33A5B" w14:textId="159FBEFE" w:rsidR="00837BB9" w:rsidRPr="005C7D26" w:rsidRDefault="00837BB9" w:rsidP="008349B1">
      <w:pPr>
        <w:pStyle w:val="FootnoteText"/>
        <w:tabs>
          <w:tab w:val="left" w:pos="708"/>
        </w:tabs>
        <w:spacing w:before="120" w:after="120"/>
        <w:jc w:val="both"/>
        <w:rPr>
          <w:rFonts w:ascii="Verdana" w:hAnsi="Verdana"/>
          <w:spacing w:val="-12"/>
          <w:sz w:val="16"/>
          <w:szCs w:val="16"/>
        </w:rPr>
      </w:pPr>
      <w:r w:rsidRPr="000536CF">
        <w:rPr>
          <w:rStyle w:val="FootnoteReference"/>
          <w:rFonts w:ascii="Verdana" w:hAnsi="Verdana"/>
          <w:spacing w:val="-12"/>
          <w:sz w:val="16"/>
          <w:szCs w:val="16"/>
        </w:rPr>
        <w:footnoteRef/>
      </w:r>
      <w:r w:rsidRPr="000536CF">
        <w:rPr>
          <w:rFonts w:ascii="Verdana" w:hAnsi="Verdana"/>
          <w:spacing w:val="-12"/>
          <w:sz w:val="16"/>
          <w:szCs w:val="16"/>
        </w:rPr>
        <w:t xml:space="preserve"> </w:t>
      </w:r>
      <w:r w:rsidRPr="000536CF">
        <w:rPr>
          <w:rFonts w:ascii="Verdana" w:hAnsi="Verdana"/>
          <w:spacing w:val="-12"/>
          <w:sz w:val="16"/>
          <w:szCs w:val="16"/>
        </w:rPr>
        <w:tab/>
      </w:r>
      <w:r w:rsidRPr="000536CF">
        <w:rPr>
          <w:rFonts w:ascii="Verdana" w:hAnsi="Verdana"/>
          <w:i/>
          <w:spacing w:val="-12"/>
          <w:sz w:val="16"/>
          <w:szCs w:val="16"/>
        </w:rPr>
        <w:t>Cfr. Caso Claude Reyes y otros Vs. Chile</w:t>
      </w:r>
      <w:r>
        <w:rPr>
          <w:rFonts w:ascii="Verdana" w:hAnsi="Verdana"/>
          <w:spacing w:val="-12"/>
          <w:sz w:val="16"/>
          <w:szCs w:val="16"/>
        </w:rPr>
        <w:t xml:space="preserve">. </w:t>
      </w:r>
      <w:r w:rsidRPr="00997D29">
        <w:rPr>
          <w:rFonts w:ascii="Verdana" w:hAnsi="Verdana"/>
          <w:bCs/>
          <w:i/>
          <w:spacing w:val="-12"/>
          <w:sz w:val="16"/>
          <w:szCs w:val="16"/>
          <w:lang w:val="es-VE"/>
        </w:rPr>
        <w:t>Fondo, Reparaciones y Costas.</w:t>
      </w:r>
      <w:r w:rsidRPr="00997D29">
        <w:rPr>
          <w:rFonts w:ascii="Verdana" w:hAnsi="Verdana"/>
          <w:bCs/>
          <w:spacing w:val="-12"/>
          <w:sz w:val="16"/>
          <w:szCs w:val="16"/>
          <w:lang w:val="es-VE"/>
        </w:rPr>
        <w:t xml:space="preserve"> Sentencia de 19 de septiembre de 2006. Serie C No. 151, párr.</w:t>
      </w:r>
      <w:r w:rsidRPr="000536CF">
        <w:rPr>
          <w:rFonts w:ascii="Verdana" w:hAnsi="Verdana"/>
          <w:spacing w:val="-12"/>
          <w:sz w:val="16"/>
          <w:szCs w:val="16"/>
        </w:rPr>
        <w:t xml:space="preserve"> 122;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168</w:t>
      </w:r>
      <w:r w:rsidRPr="005C7D26">
        <w:rPr>
          <w:rFonts w:ascii="Verdana" w:hAnsi="Verdana"/>
          <w:spacing w:val="-12"/>
          <w:sz w:val="16"/>
          <w:szCs w:val="16"/>
        </w:rPr>
        <w:t>.</w:t>
      </w:r>
    </w:p>
  </w:footnote>
  <w:footnote w:id="241">
    <w:p w14:paraId="179BCEDD" w14:textId="7099E061" w:rsidR="00837BB9" w:rsidRPr="001F0A42" w:rsidRDefault="00837BB9" w:rsidP="008349B1">
      <w:pPr>
        <w:pStyle w:val="FootnoteText"/>
        <w:spacing w:before="120" w:after="120"/>
        <w:jc w:val="both"/>
        <w:rPr>
          <w:rFonts w:ascii="Verdana" w:hAnsi="Verdana"/>
          <w:spacing w:val="-12"/>
          <w:sz w:val="16"/>
          <w:szCs w:val="16"/>
          <w:lang w:val="es-CR"/>
        </w:rPr>
      </w:pPr>
      <w:r w:rsidRPr="001F0A42">
        <w:rPr>
          <w:rStyle w:val="FootnoteReference"/>
          <w:rFonts w:ascii="Verdana" w:hAnsi="Verdana"/>
          <w:spacing w:val="-12"/>
          <w:sz w:val="16"/>
          <w:szCs w:val="16"/>
        </w:rPr>
        <w:footnoteRef/>
      </w:r>
      <w:r w:rsidRPr="001F0A42">
        <w:rPr>
          <w:rFonts w:ascii="Verdana" w:hAnsi="Verdana"/>
          <w:spacing w:val="-12"/>
          <w:sz w:val="16"/>
          <w:szCs w:val="16"/>
          <w:lang w:val="es-CR"/>
        </w:rPr>
        <w:t xml:space="preserve"> </w:t>
      </w:r>
      <w:r w:rsidRPr="001F0A42">
        <w:rPr>
          <w:rFonts w:ascii="Verdana" w:hAnsi="Verdana"/>
          <w:spacing w:val="-12"/>
          <w:sz w:val="16"/>
          <w:szCs w:val="16"/>
          <w:lang w:val="es-CR"/>
        </w:rPr>
        <w:tab/>
      </w:r>
      <w:r w:rsidRPr="001F0A42">
        <w:rPr>
          <w:rFonts w:ascii="Verdana" w:hAnsi="Verdana"/>
          <w:i/>
          <w:spacing w:val="-12"/>
          <w:sz w:val="16"/>
          <w:szCs w:val="16"/>
          <w:lang w:val="es-ES"/>
        </w:rPr>
        <w:t>Cfr.</w:t>
      </w:r>
      <w:r>
        <w:rPr>
          <w:rFonts w:ascii="Verdana" w:hAnsi="Verdana"/>
          <w:i/>
          <w:spacing w:val="-12"/>
          <w:sz w:val="16"/>
          <w:szCs w:val="16"/>
          <w:lang w:val="es-ES"/>
        </w:rPr>
        <w:t xml:space="preserve">, mutatis </w:t>
      </w:r>
      <w:proofErr w:type="spellStart"/>
      <w:r>
        <w:rPr>
          <w:rFonts w:ascii="Verdana" w:hAnsi="Verdana"/>
          <w:i/>
          <w:spacing w:val="-12"/>
          <w:sz w:val="16"/>
          <w:szCs w:val="16"/>
          <w:lang w:val="es-ES"/>
        </w:rPr>
        <w:t>mutandi</w:t>
      </w:r>
      <w:proofErr w:type="spellEnd"/>
      <w:r>
        <w:rPr>
          <w:rFonts w:ascii="Verdana" w:hAnsi="Verdana"/>
          <w:spacing w:val="-12"/>
          <w:sz w:val="16"/>
          <w:szCs w:val="16"/>
          <w:lang w:val="es-ES"/>
        </w:rPr>
        <w:t>,</w:t>
      </w:r>
      <w:r w:rsidRPr="001F0A42">
        <w:rPr>
          <w:rFonts w:ascii="Verdana" w:hAnsi="Verdana"/>
          <w:i/>
          <w:spacing w:val="-12"/>
          <w:sz w:val="16"/>
          <w:szCs w:val="16"/>
          <w:lang w:val="es-ES"/>
        </w:rPr>
        <w:t xml:space="preserve"> Caso Gar</w:t>
      </w:r>
      <w:r>
        <w:rPr>
          <w:rFonts w:ascii="Verdana" w:hAnsi="Verdana"/>
          <w:i/>
          <w:spacing w:val="-12"/>
          <w:sz w:val="16"/>
          <w:szCs w:val="16"/>
          <w:lang w:val="es-ES"/>
        </w:rPr>
        <w:t>cía Ibarra y otros vs. Ecuador</w:t>
      </w:r>
      <w:r>
        <w:rPr>
          <w:rFonts w:ascii="Verdana" w:hAnsi="Verdana"/>
          <w:spacing w:val="-12"/>
          <w:sz w:val="16"/>
          <w:szCs w:val="16"/>
          <w:lang w:val="es-ES"/>
        </w:rPr>
        <w:t xml:space="preserve">, </w:t>
      </w:r>
      <w:r w:rsidRPr="001416EC">
        <w:rPr>
          <w:rFonts w:ascii="Verdana" w:hAnsi="Verdana"/>
          <w:i/>
          <w:spacing w:val="-12"/>
          <w:sz w:val="16"/>
          <w:szCs w:val="16"/>
          <w:lang w:val="es-ES"/>
        </w:rPr>
        <w:t>supra</w:t>
      </w:r>
      <w:r>
        <w:rPr>
          <w:rFonts w:ascii="Verdana" w:hAnsi="Verdana"/>
          <w:spacing w:val="-12"/>
          <w:sz w:val="16"/>
          <w:szCs w:val="16"/>
          <w:lang w:val="es-ES"/>
        </w:rPr>
        <w:t xml:space="preserve">, párr. 133;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168</w:t>
      </w:r>
      <w:r>
        <w:rPr>
          <w:rFonts w:ascii="Verdana" w:hAnsi="Verdana"/>
          <w:spacing w:val="-12"/>
          <w:sz w:val="16"/>
          <w:szCs w:val="16"/>
          <w:lang w:val="es-ES"/>
        </w:rPr>
        <w:t>.</w:t>
      </w:r>
    </w:p>
  </w:footnote>
  <w:footnote w:id="242">
    <w:p w14:paraId="2DEF9DA9" w14:textId="2C49C903" w:rsidR="00837BB9" w:rsidRPr="006001C8" w:rsidRDefault="00837BB9" w:rsidP="008349B1">
      <w:pPr>
        <w:pStyle w:val="FootnoteText"/>
        <w:spacing w:before="120" w:after="120"/>
        <w:jc w:val="both"/>
        <w:rPr>
          <w:rFonts w:ascii="Verdana" w:hAnsi="Verdana"/>
          <w:spacing w:val="-12"/>
          <w:sz w:val="16"/>
          <w:szCs w:val="16"/>
          <w:lang w:val="es-CR"/>
        </w:rPr>
      </w:pPr>
      <w:r w:rsidRPr="001C16AC">
        <w:rPr>
          <w:rStyle w:val="FootnoteReference"/>
          <w:rFonts w:ascii="Verdana" w:hAnsi="Verdana"/>
          <w:spacing w:val="-12"/>
          <w:sz w:val="16"/>
          <w:szCs w:val="16"/>
        </w:rPr>
        <w:footnoteRef/>
      </w:r>
      <w:r w:rsidRPr="001C16AC">
        <w:rPr>
          <w:rFonts w:ascii="Verdana" w:hAnsi="Verdana"/>
          <w:iCs/>
          <w:spacing w:val="-12"/>
          <w:sz w:val="16"/>
          <w:szCs w:val="16"/>
          <w:lang w:val="es-MX"/>
        </w:rPr>
        <w:tab/>
        <w:t xml:space="preserve">Cfr. </w:t>
      </w:r>
      <w:r w:rsidRPr="001C16AC">
        <w:rPr>
          <w:rFonts w:ascii="Verdana" w:hAnsi="Verdana"/>
          <w:i/>
          <w:iCs/>
          <w:spacing w:val="-12"/>
          <w:sz w:val="16"/>
          <w:szCs w:val="16"/>
          <w:lang w:val="es-MX"/>
        </w:rPr>
        <w:t xml:space="preserve">Caso </w:t>
      </w:r>
      <w:proofErr w:type="spellStart"/>
      <w:r w:rsidRPr="001C16AC">
        <w:rPr>
          <w:rFonts w:ascii="Verdana" w:hAnsi="Verdana"/>
          <w:i/>
          <w:iCs/>
          <w:spacing w:val="-12"/>
          <w:sz w:val="16"/>
          <w:szCs w:val="16"/>
          <w:lang w:val="es-MX"/>
        </w:rPr>
        <w:t>Almonacid</w:t>
      </w:r>
      <w:proofErr w:type="spellEnd"/>
      <w:r w:rsidRPr="001C16AC">
        <w:rPr>
          <w:rFonts w:ascii="Verdana" w:hAnsi="Verdana"/>
          <w:i/>
          <w:iCs/>
          <w:spacing w:val="-12"/>
          <w:sz w:val="16"/>
          <w:szCs w:val="16"/>
          <w:lang w:val="es-MX"/>
        </w:rPr>
        <w:t xml:space="preserve"> Arellano</w:t>
      </w:r>
      <w:r w:rsidRPr="001C16AC">
        <w:rPr>
          <w:rFonts w:ascii="Verdana" w:hAnsi="Verdana"/>
          <w:i/>
          <w:spacing w:val="-12"/>
          <w:sz w:val="16"/>
          <w:szCs w:val="16"/>
          <w:lang w:val="es-MX"/>
        </w:rPr>
        <w:t xml:space="preserve"> </w:t>
      </w:r>
      <w:r w:rsidRPr="001C16AC">
        <w:rPr>
          <w:rFonts w:ascii="Verdana" w:hAnsi="Verdana"/>
          <w:i/>
          <w:iCs/>
          <w:spacing w:val="-12"/>
          <w:sz w:val="16"/>
          <w:szCs w:val="16"/>
          <w:lang w:val="es-MX"/>
        </w:rPr>
        <w:t>y otros Vs. Chile</w:t>
      </w:r>
      <w:r w:rsidRPr="001C16AC">
        <w:rPr>
          <w:rFonts w:ascii="Verdana" w:hAnsi="Verdana"/>
          <w:spacing w:val="-12"/>
          <w:sz w:val="16"/>
          <w:szCs w:val="16"/>
          <w:lang w:val="es-MX"/>
        </w:rPr>
        <w:t xml:space="preserve">. </w:t>
      </w:r>
      <w:r w:rsidRPr="001C16AC">
        <w:rPr>
          <w:rFonts w:ascii="Verdana" w:hAnsi="Verdana"/>
          <w:i/>
          <w:iCs/>
          <w:spacing w:val="-12"/>
          <w:sz w:val="16"/>
          <w:szCs w:val="16"/>
          <w:lang w:val="es-MX"/>
        </w:rPr>
        <w:t>Excepciones Preliminares, Fondo, Reparaciones y costas</w:t>
      </w:r>
      <w:r w:rsidRPr="001C16AC">
        <w:rPr>
          <w:rFonts w:ascii="Verdana" w:hAnsi="Verdana"/>
          <w:spacing w:val="-12"/>
          <w:sz w:val="16"/>
          <w:szCs w:val="16"/>
          <w:lang w:val="es-MX"/>
        </w:rPr>
        <w:t>. Sentencia de 26 de septiembre de 2</w:t>
      </w:r>
      <w:r>
        <w:rPr>
          <w:rFonts w:ascii="Verdana" w:hAnsi="Verdana"/>
          <w:spacing w:val="-12"/>
          <w:sz w:val="16"/>
          <w:szCs w:val="16"/>
          <w:lang w:val="es-MX"/>
        </w:rPr>
        <w:t xml:space="preserve">006. Serie C No. 154, párr. 124; y </w:t>
      </w:r>
      <w:r w:rsidRPr="00997D29">
        <w:rPr>
          <w:rFonts w:ascii="Verdana" w:hAnsi="Verdana"/>
          <w:i/>
          <w:spacing w:val="-12"/>
          <w:sz w:val="16"/>
          <w:szCs w:val="16"/>
          <w:lang w:val="es-MX"/>
        </w:rPr>
        <w:t>Caso Trabajadores Cesados del Congreso (Aguado Alfaro y otros) Vs. Perú. Excepciones Preliminares, Fondo, Reparaciones y Costas</w:t>
      </w:r>
      <w:r w:rsidRPr="00997D29">
        <w:rPr>
          <w:rFonts w:ascii="Verdana" w:hAnsi="Verdana"/>
          <w:spacing w:val="-12"/>
          <w:sz w:val="16"/>
          <w:szCs w:val="16"/>
          <w:lang w:val="es-MX"/>
        </w:rPr>
        <w:t>. Sentencia de 24 de noviembre de 2006. Serie C No. 158, párr. 128</w:t>
      </w:r>
      <w:r w:rsidRPr="001C16AC">
        <w:rPr>
          <w:rFonts w:ascii="Verdana" w:hAnsi="Verdana"/>
          <w:spacing w:val="-12"/>
          <w:sz w:val="16"/>
          <w:szCs w:val="16"/>
          <w:lang w:val="es-MX"/>
        </w:rPr>
        <w:t xml:space="preserve">. Véase asimismo </w:t>
      </w:r>
      <w:r w:rsidRPr="006001C8">
        <w:rPr>
          <w:rFonts w:ascii="Verdana" w:hAnsi="Verdana"/>
          <w:i/>
          <w:spacing w:val="-12"/>
          <w:sz w:val="16"/>
          <w:szCs w:val="16"/>
          <w:lang w:val="es-MX"/>
        </w:rPr>
        <w:t xml:space="preserve">Caso </w:t>
      </w:r>
      <w:proofErr w:type="spellStart"/>
      <w:r w:rsidRPr="006001C8">
        <w:rPr>
          <w:rFonts w:ascii="Verdana" w:hAnsi="Verdana"/>
          <w:i/>
          <w:spacing w:val="-12"/>
          <w:sz w:val="16"/>
          <w:szCs w:val="16"/>
          <w:lang w:val="es-MX"/>
        </w:rPr>
        <w:t>Gelman</w:t>
      </w:r>
      <w:proofErr w:type="spellEnd"/>
      <w:r w:rsidRPr="006001C8">
        <w:rPr>
          <w:rFonts w:ascii="Verdana" w:hAnsi="Verdana"/>
          <w:i/>
          <w:spacing w:val="-12"/>
          <w:sz w:val="16"/>
          <w:szCs w:val="16"/>
          <w:lang w:val="es-MX"/>
        </w:rPr>
        <w:t xml:space="preserve"> Vs. Uruguay. </w:t>
      </w:r>
      <w:r w:rsidRPr="006001C8">
        <w:rPr>
          <w:rFonts w:ascii="Verdana" w:hAnsi="Verdana"/>
          <w:i/>
          <w:spacing w:val="-12"/>
          <w:sz w:val="16"/>
          <w:szCs w:val="16"/>
          <w:lang w:val="es-CR"/>
        </w:rPr>
        <w:t>Fondo y Reparaciones</w:t>
      </w:r>
      <w:r w:rsidRPr="006001C8">
        <w:rPr>
          <w:rFonts w:ascii="Verdana" w:hAnsi="Verdana"/>
          <w:spacing w:val="-12"/>
          <w:sz w:val="16"/>
          <w:szCs w:val="16"/>
          <w:lang w:val="es-CR"/>
        </w:rPr>
        <w:t>. Sentencia de 24 de febrero de 2011 Serie C No. 221</w:t>
      </w:r>
      <w:r w:rsidRPr="006001C8">
        <w:rPr>
          <w:rFonts w:ascii="Verdana" w:hAnsi="Verdana"/>
          <w:spacing w:val="-12"/>
          <w:sz w:val="16"/>
          <w:szCs w:val="16"/>
          <w:lang w:val="es-MX"/>
        </w:rPr>
        <w:t xml:space="preserve">, párr. 193; </w:t>
      </w:r>
      <w:r>
        <w:rPr>
          <w:rFonts w:ascii="Verdana" w:hAnsi="Verdana"/>
          <w:spacing w:val="-12"/>
          <w:sz w:val="16"/>
          <w:szCs w:val="16"/>
          <w:lang w:val="es-MX"/>
        </w:rPr>
        <w:t>y</w:t>
      </w:r>
      <w:r w:rsidRPr="006001C8">
        <w:rPr>
          <w:rFonts w:ascii="Verdana" w:hAnsi="Verdana"/>
          <w:spacing w:val="-12"/>
          <w:sz w:val="16"/>
          <w:szCs w:val="16"/>
          <w:lang w:val="es-MX"/>
        </w:rPr>
        <w:t xml:space="preserve"> </w:t>
      </w:r>
      <w:r w:rsidRPr="00997D29">
        <w:rPr>
          <w:rFonts w:ascii="Verdana" w:hAnsi="Verdana"/>
          <w:i/>
          <w:spacing w:val="-12"/>
          <w:sz w:val="16"/>
          <w:szCs w:val="16"/>
          <w:lang w:val="es-MX"/>
        </w:rPr>
        <w:t>Caso Vereda La Esperanza Vs. Colombia. Excepciones Preliminares, Fondo, Reparaciones y Costas</w:t>
      </w:r>
      <w:r w:rsidRPr="00997D29">
        <w:rPr>
          <w:rFonts w:ascii="Verdana" w:hAnsi="Verdana"/>
          <w:spacing w:val="-12"/>
          <w:sz w:val="16"/>
          <w:szCs w:val="16"/>
          <w:lang w:val="es-MX"/>
        </w:rPr>
        <w:t xml:space="preserve">. Sentencia de 31 de agosto de 2017. Serie C No. 341, párr. 261. </w:t>
      </w:r>
    </w:p>
  </w:footnote>
  <w:footnote w:id="243">
    <w:p w14:paraId="6B9DBF3A" w14:textId="226D225B"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7C51D0">
        <w:rPr>
          <w:rFonts w:ascii="Verdana" w:hAnsi="Verdana"/>
          <w:spacing w:val="-12"/>
          <w:sz w:val="16"/>
          <w:szCs w:val="16"/>
          <w:lang w:val="es-CR"/>
        </w:rPr>
        <w:tab/>
      </w:r>
      <w:r w:rsidRPr="00CF3AED">
        <w:rPr>
          <w:rFonts w:ascii="Verdana" w:hAnsi="Verdana"/>
          <w:i/>
          <w:spacing w:val="-12"/>
          <w:sz w:val="16"/>
          <w:szCs w:val="16"/>
          <w:lang w:val="es-ES"/>
        </w:rPr>
        <w:t xml:space="preserve">Cfr., mutatis </w:t>
      </w:r>
      <w:proofErr w:type="spellStart"/>
      <w:r w:rsidRPr="00CF3AED">
        <w:rPr>
          <w:rFonts w:ascii="Verdana" w:hAnsi="Verdana"/>
          <w:i/>
          <w:spacing w:val="-12"/>
          <w:sz w:val="16"/>
          <w:szCs w:val="16"/>
          <w:lang w:val="es-ES"/>
        </w:rPr>
        <w:t>mutandi</w:t>
      </w:r>
      <w:proofErr w:type="spellEnd"/>
      <w:r w:rsidRPr="00CF3AED">
        <w:rPr>
          <w:rFonts w:ascii="Verdana" w:hAnsi="Verdana"/>
          <w:i/>
          <w:spacing w:val="-12"/>
          <w:sz w:val="16"/>
          <w:szCs w:val="16"/>
          <w:lang w:val="es-ES"/>
        </w:rPr>
        <w:t xml:space="preserve">, Caso Chinchilla Sandoval Vs.  Guatemala, supra, </w:t>
      </w:r>
      <w:r w:rsidRPr="006203B0">
        <w:rPr>
          <w:rFonts w:ascii="Verdana" w:hAnsi="Verdana"/>
          <w:spacing w:val="-12"/>
          <w:sz w:val="16"/>
          <w:szCs w:val="16"/>
          <w:lang w:val="es-ES"/>
        </w:rPr>
        <w:t>párr. 243.</w:t>
      </w:r>
    </w:p>
  </w:footnote>
  <w:footnote w:id="244">
    <w:p w14:paraId="022248EC" w14:textId="08C0E193"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lang w:val="es-ES"/>
        </w:rPr>
        <w:tab/>
        <w:t xml:space="preserve">Por ejemplo: i) recibir la declaración del entonces Presidente del Consejo Nacional de Fronteras José Vicente Rangel Vale, quien firmó la decisión de dar por terminados los contratos y a quien se acusó en autos de haber ejercido dicha facultad de manera arbitraria, ii) realizar entrevistas </w:t>
      </w:r>
      <w:r>
        <w:rPr>
          <w:rFonts w:ascii="Verdana" w:hAnsi="Verdana"/>
          <w:spacing w:val="-12"/>
          <w:sz w:val="16"/>
          <w:szCs w:val="16"/>
          <w:lang w:val="es-ES"/>
        </w:rPr>
        <w:t xml:space="preserve">a </w:t>
      </w:r>
      <w:r w:rsidRPr="00CF3AED">
        <w:rPr>
          <w:rFonts w:ascii="Verdana" w:hAnsi="Verdana"/>
          <w:spacing w:val="-12"/>
          <w:sz w:val="16"/>
          <w:szCs w:val="16"/>
          <w:lang w:val="es-ES"/>
        </w:rPr>
        <w:t>otros empleados o funcionarios del Consejo Nacional de Fronteras, a quienes se les habría terminado el contrato por supuestas razones similares o no; iii) llamar a declarar a personal adscrito al Consejo Nacional de Fronteras sobre los hechos del caso y el contexto; y iv) solicitar la nómina de personal del Consejo Nacional de Fronteras para el año 2003 así como la lis</w:t>
      </w:r>
      <w:r w:rsidRPr="006203B0">
        <w:rPr>
          <w:rFonts w:ascii="Verdana" w:hAnsi="Verdana"/>
          <w:spacing w:val="-12"/>
          <w:sz w:val="16"/>
          <w:szCs w:val="16"/>
          <w:lang w:val="es-ES"/>
        </w:rPr>
        <w:t>ta de firmantes de la solicitud de referendo revocatorio presidencial.</w:t>
      </w:r>
    </w:p>
  </w:footnote>
  <w:footnote w:id="245">
    <w:p w14:paraId="1D492983" w14:textId="4B3BE845" w:rsidR="00837BB9" w:rsidRPr="007C51D0" w:rsidRDefault="00837BB9" w:rsidP="00601720">
      <w:pPr>
        <w:pStyle w:val="FootnoteText"/>
        <w:spacing w:before="120" w:after="120"/>
        <w:jc w:val="both"/>
        <w:rPr>
          <w:rFonts w:ascii="Verdana" w:eastAsia="Calibri" w:hAnsi="Verdana"/>
          <w:spacing w:val="-12"/>
          <w:sz w:val="16"/>
          <w:szCs w:val="16"/>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Pr>
          <w:rFonts w:ascii="Verdana" w:hAnsi="Verdana"/>
          <w:spacing w:val="-12"/>
          <w:sz w:val="16"/>
          <w:szCs w:val="16"/>
        </w:rPr>
        <w:tab/>
      </w:r>
      <w:r w:rsidRPr="007C51D0">
        <w:rPr>
          <w:rFonts w:ascii="Verdana" w:hAnsi="Verdana"/>
          <w:i/>
          <w:iCs/>
          <w:spacing w:val="-12"/>
          <w:sz w:val="16"/>
          <w:szCs w:val="16"/>
        </w:rPr>
        <w:t xml:space="preserve">Cfr. Caso </w:t>
      </w:r>
      <w:proofErr w:type="spellStart"/>
      <w:r w:rsidRPr="007C51D0">
        <w:rPr>
          <w:rFonts w:ascii="Verdana" w:hAnsi="Verdana"/>
          <w:i/>
          <w:iCs/>
          <w:spacing w:val="-12"/>
          <w:sz w:val="16"/>
          <w:szCs w:val="16"/>
        </w:rPr>
        <w:t>Apitz</w:t>
      </w:r>
      <w:proofErr w:type="spellEnd"/>
      <w:r w:rsidRPr="007C51D0">
        <w:rPr>
          <w:rFonts w:ascii="Verdana" w:hAnsi="Verdana"/>
          <w:i/>
          <w:iCs/>
          <w:spacing w:val="-12"/>
          <w:sz w:val="16"/>
          <w:szCs w:val="16"/>
        </w:rPr>
        <w:t xml:space="preserve"> Barbera y otros (“Corte Primera de lo Contencioso Administrativo”) Vs. Venezuela</w:t>
      </w:r>
      <w:r w:rsidRPr="007C51D0">
        <w:rPr>
          <w:rFonts w:ascii="Verdana" w:hAnsi="Verdana"/>
          <w:spacing w:val="-12"/>
          <w:sz w:val="16"/>
          <w:szCs w:val="16"/>
        </w:rPr>
        <w:t xml:space="preserve">, </w:t>
      </w:r>
      <w:r>
        <w:rPr>
          <w:rFonts w:ascii="Verdana" w:hAnsi="Verdana"/>
          <w:i/>
          <w:spacing w:val="-12"/>
          <w:sz w:val="16"/>
          <w:szCs w:val="16"/>
        </w:rPr>
        <w:t xml:space="preserve">supra, </w:t>
      </w:r>
      <w:r w:rsidRPr="007C51D0">
        <w:rPr>
          <w:rFonts w:ascii="Verdana" w:hAnsi="Verdana"/>
          <w:spacing w:val="-12"/>
          <w:sz w:val="16"/>
          <w:szCs w:val="16"/>
        </w:rPr>
        <w:t xml:space="preserve">párr. </w:t>
      </w:r>
      <w:r>
        <w:rPr>
          <w:rFonts w:ascii="Verdana" w:hAnsi="Verdana"/>
          <w:spacing w:val="-12"/>
          <w:sz w:val="16"/>
          <w:szCs w:val="16"/>
        </w:rPr>
        <w:t>170</w:t>
      </w:r>
      <w:r w:rsidRPr="007C51D0">
        <w:rPr>
          <w:rFonts w:ascii="Verdana" w:hAnsi="Verdana"/>
          <w:spacing w:val="-12"/>
          <w:sz w:val="16"/>
          <w:szCs w:val="16"/>
        </w:rPr>
        <w:t>.</w:t>
      </w:r>
    </w:p>
  </w:footnote>
  <w:footnote w:id="246">
    <w:p w14:paraId="52D70CCC" w14:textId="544A6ABE"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lang w:val="es-ES"/>
        </w:rPr>
        <w:tab/>
      </w:r>
      <w:r w:rsidRPr="006F09DE">
        <w:rPr>
          <w:rFonts w:ascii="Verdana" w:hAnsi="Verdana"/>
          <w:i/>
          <w:spacing w:val="-12"/>
          <w:sz w:val="16"/>
          <w:szCs w:val="16"/>
        </w:rPr>
        <w:t>Cfr.</w:t>
      </w:r>
      <w:r w:rsidRPr="006B62CC">
        <w:rPr>
          <w:rFonts w:ascii="Verdana" w:hAnsi="Verdana" w:cs="Arial"/>
          <w:i/>
          <w:spacing w:val="-12"/>
          <w:sz w:val="16"/>
          <w:szCs w:val="16"/>
        </w:rPr>
        <w:t xml:space="preserve"> </w:t>
      </w:r>
      <w:r w:rsidRPr="0008685D">
        <w:rPr>
          <w:rFonts w:ascii="Verdana" w:hAnsi="Verdana"/>
          <w:bCs/>
          <w:i/>
          <w:spacing w:val="-12"/>
          <w:sz w:val="16"/>
          <w:szCs w:val="16"/>
          <w:lang w:val="es-CR"/>
        </w:rPr>
        <w:t xml:space="preserve">Caso </w:t>
      </w:r>
      <w:proofErr w:type="spellStart"/>
      <w:r w:rsidRPr="0008685D">
        <w:rPr>
          <w:rFonts w:ascii="Verdana" w:hAnsi="Verdana"/>
          <w:bCs/>
          <w:i/>
          <w:spacing w:val="-12"/>
          <w:sz w:val="16"/>
          <w:szCs w:val="16"/>
          <w:lang w:val="es-CR"/>
        </w:rPr>
        <w:t>Granier</w:t>
      </w:r>
      <w:proofErr w:type="spellEnd"/>
      <w:r w:rsidRPr="0008685D">
        <w:rPr>
          <w:rFonts w:ascii="Verdana" w:hAnsi="Verdana"/>
          <w:bCs/>
          <w:i/>
          <w:spacing w:val="-12"/>
          <w:sz w:val="16"/>
          <w:szCs w:val="16"/>
          <w:lang w:val="es-CR"/>
        </w:rPr>
        <w:t xml:space="preserve"> y otros (Radio Caracas Televisión) Vs. Venezuela</w:t>
      </w:r>
      <w:r w:rsidRPr="00CF3AED">
        <w:rPr>
          <w:rFonts w:ascii="Verdana" w:hAnsi="Verdana"/>
          <w:spacing w:val="-12"/>
          <w:sz w:val="16"/>
          <w:szCs w:val="16"/>
          <w:lang w:val="es-ES"/>
        </w:rPr>
        <w:t>,</w:t>
      </w:r>
      <w:r>
        <w:rPr>
          <w:rFonts w:ascii="Verdana" w:hAnsi="Verdana"/>
          <w:spacing w:val="-12"/>
          <w:sz w:val="16"/>
          <w:szCs w:val="16"/>
          <w:lang w:val="es-ES"/>
        </w:rPr>
        <w:t xml:space="preserve"> </w:t>
      </w:r>
      <w:r>
        <w:rPr>
          <w:rFonts w:ascii="Verdana" w:hAnsi="Verdana"/>
          <w:i/>
          <w:spacing w:val="-12"/>
          <w:sz w:val="16"/>
          <w:szCs w:val="16"/>
          <w:lang w:val="es-ES"/>
        </w:rPr>
        <w:t>supra,</w:t>
      </w:r>
      <w:r w:rsidRPr="00CF3AED">
        <w:rPr>
          <w:rFonts w:ascii="Verdana" w:hAnsi="Verdana"/>
          <w:spacing w:val="-12"/>
          <w:sz w:val="16"/>
          <w:szCs w:val="16"/>
          <w:lang w:val="es-ES"/>
        </w:rPr>
        <w:t xml:space="preserve"> párr. 284</w:t>
      </w:r>
      <w:r>
        <w:rPr>
          <w:rFonts w:ascii="Verdana" w:hAnsi="Verdana"/>
          <w:spacing w:val="-12"/>
          <w:sz w:val="16"/>
          <w:szCs w:val="16"/>
          <w:lang w:val="es-ES"/>
        </w:rPr>
        <w:t>.</w:t>
      </w:r>
    </w:p>
  </w:footnote>
  <w:footnote w:id="247">
    <w:p w14:paraId="0A587FBE" w14:textId="0940C8FB" w:rsidR="00837BB9" w:rsidRPr="00D20C97"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lang w:val="es-CR"/>
        </w:rPr>
        <w:t xml:space="preserve"> </w:t>
      </w:r>
      <w:r w:rsidRPr="00CF3AED">
        <w:rPr>
          <w:rFonts w:ascii="Verdana" w:hAnsi="Verdana"/>
          <w:spacing w:val="-12"/>
          <w:sz w:val="16"/>
          <w:szCs w:val="16"/>
          <w:lang w:val="es-CR"/>
        </w:rPr>
        <w:tab/>
      </w:r>
      <w:r w:rsidRPr="00CF3AED">
        <w:rPr>
          <w:rFonts w:ascii="Verdana" w:hAnsi="Verdana"/>
          <w:i/>
          <w:spacing w:val="-12"/>
          <w:sz w:val="16"/>
          <w:szCs w:val="16"/>
          <w:lang w:val="es-CR"/>
        </w:rPr>
        <w:t>Cfr.</w:t>
      </w:r>
      <w:r w:rsidRPr="00CF3AED">
        <w:rPr>
          <w:rFonts w:ascii="Verdana" w:hAnsi="Verdana"/>
          <w:spacing w:val="-12"/>
          <w:sz w:val="16"/>
          <w:szCs w:val="16"/>
          <w:lang w:val="es-CR"/>
        </w:rPr>
        <w:t xml:space="preserve"> </w:t>
      </w:r>
      <w:r w:rsidRPr="006203B0">
        <w:rPr>
          <w:rFonts w:ascii="Verdana" w:hAnsi="Verdana"/>
          <w:i/>
          <w:spacing w:val="-12"/>
          <w:sz w:val="16"/>
          <w:szCs w:val="16"/>
          <w:lang w:val="es-CR"/>
        </w:rPr>
        <w:t>Caso Castillo González y otros Vs. Venezuela</w:t>
      </w:r>
      <w:r w:rsidRPr="007C51D0">
        <w:rPr>
          <w:rFonts w:ascii="Verdana" w:hAnsi="Verdana"/>
          <w:bCs/>
          <w:i/>
          <w:spacing w:val="-12"/>
          <w:sz w:val="16"/>
          <w:szCs w:val="16"/>
          <w:lang w:val="es-CR"/>
        </w:rPr>
        <w:t xml:space="preserve">. Fondo. </w:t>
      </w:r>
      <w:r w:rsidRPr="007C51D0">
        <w:rPr>
          <w:rFonts w:ascii="Verdana" w:hAnsi="Verdana"/>
          <w:bCs/>
          <w:spacing w:val="-12"/>
          <w:sz w:val="16"/>
          <w:szCs w:val="16"/>
          <w:lang w:val="es-CR"/>
        </w:rPr>
        <w:t>Sentencia de 27 de noviembre de 2012. Serie C No. 256</w:t>
      </w:r>
      <w:r w:rsidRPr="00FC1D38">
        <w:rPr>
          <w:rFonts w:ascii="Verdana" w:hAnsi="Verdana"/>
          <w:spacing w:val="-12"/>
          <w:sz w:val="16"/>
          <w:szCs w:val="16"/>
          <w:lang w:val="es-CR"/>
        </w:rPr>
        <w:t xml:space="preserve">, </w:t>
      </w:r>
      <w:r w:rsidRPr="00B34F6C">
        <w:rPr>
          <w:rFonts w:ascii="Verdana" w:hAnsi="Verdana"/>
          <w:spacing w:val="-12"/>
          <w:sz w:val="16"/>
          <w:szCs w:val="16"/>
          <w:lang w:val="es-CR"/>
        </w:rPr>
        <w:t>párr. 153</w:t>
      </w:r>
      <w:r>
        <w:rPr>
          <w:rFonts w:ascii="Verdana" w:hAnsi="Verdana"/>
          <w:spacing w:val="-12"/>
          <w:sz w:val="16"/>
          <w:szCs w:val="16"/>
          <w:lang w:val="es-CR"/>
        </w:rPr>
        <w:t>;</w:t>
      </w:r>
      <w:r w:rsidRPr="00B34F6C">
        <w:rPr>
          <w:rFonts w:ascii="Verdana" w:hAnsi="Verdana"/>
          <w:spacing w:val="-12"/>
          <w:sz w:val="16"/>
          <w:szCs w:val="16"/>
          <w:lang w:val="es-CR"/>
        </w:rPr>
        <w:t xml:space="preserve"> </w:t>
      </w:r>
      <w:r>
        <w:rPr>
          <w:rFonts w:ascii="Verdana" w:hAnsi="Verdana"/>
          <w:spacing w:val="-12"/>
          <w:sz w:val="16"/>
          <w:szCs w:val="16"/>
          <w:lang w:val="es-CR"/>
        </w:rPr>
        <w:t xml:space="preserve">y </w:t>
      </w:r>
      <w:r w:rsidRPr="00CF3AED">
        <w:rPr>
          <w:rFonts w:ascii="Verdana" w:hAnsi="Verdana"/>
          <w:i/>
          <w:spacing w:val="-12"/>
          <w:sz w:val="16"/>
          <w:szCs w:val="16"/>
          <w:lang w:val="es-MX"/>
        </w:rPr>
        <w:t>Caso Ortiz Hernández y otros Vs. Venezuela</w:t>
      </w:r>
      <w:r w:rsidRPr="006203B0">
        <w:rPr>
          <w:rFonts w:ascii="Verdana" w:hAnsi="Verdana"/>
          <w:spacing w:val="-12"/>
          <w:sz w:val="16"/>
          <w:szCs w:val="16"/>
          <w:lang w:val="es-MX"/>
        </w:rPr>
        <w:t>,</w:t>
      </w:r>
      <w:r w:rsidRPr="00FC1D38">
        <w:rPr>
          <w:rFonts w:ascii="Verdana" w:hAnsi="Verdana"/>
          <w:spacing w:val="-12"/>
          <w:sz w:val="16"/>
          <w:szCs w:val="16"/>
          <w:lang w:val="es-MX"/>
        </w:rPr>
        <w:t xml:space="preserve"> </w:t>
      </w:r>
      <w:r w:rsidRPr="000536CF">
        <w:rPr>
          <w:rFonts w:ascii="Verdana" w:hAnsi="Verdana"/>
          <w:i/>
          <w:spacing w:val="-12"/>
          <w:sz w:val="16"/>
          <w:szCs w:val="16"/>
          <w:lang w:val="es-MX"/>
        </w:rPr>
        <w:t>supra,</w:t>
      </w:r>
      <w:r w:rsidRPr="000536CF">
        <w:rPr>
          <w:rFonts w:ascii="Verdana" w:hAnsi="Verdana"/>
          <w:spacing w:val="-12"/>
          <w:sz w:val="16"/>
          <w:szCs w:val="16"/>
          <w:lang w:val="es-MX"/>
        </w:rPr>
        <w:t xml:space="preserve"> párr.</w:t>
      </w:r>
      <w:r>
        <w:rPr>
          <w:rFonts w:ascii="Verdana" w:hAnsi="Verdana"/>
          <w:spacing w:val="-12"/>
          <w:sz w:val="16"/>
          <w:szCs w:val="16"/>
          <w:lang w:val="es-MX"/>
        </w:rPr>
        <w:t xml:space="preserve"> 128</w:t>
      </w:r>
      <w:r>
        <w:rPr>
          <w:rFonts w:ascii="Verdana" w:hAnsi="Verdana"/>
          <w:spacing w:val="-12"/>
          <w:sz w:val="16"/>
          <w:szCs w:val="16"/>
          <w:lang w:val="es-CR"/>
        </w:rPr>
        <w:t>.</w:t>
      </w:r>
    </w:p>
  </w:footnote>
  <w:footnote w:id="248">
    <w:p w14:paraId="61C8B0C3" w14:textId="25615715" w:rsidR="00837BB9" w:rsidRPr="007C51D0" w:rsidRDefault="00837BB9" w:rsidP="008349B1">
      <w:pPr>
        <w:pStyle w:val="FootnoteText"/>
        <w:spacing w:before="120" w:after="120"/>
        <w:jc w:val="both"/>
        <w:rPr>
          <w:rFonts w:ascii="Verdana" w:hAnsi="Verdana"/>
          <w:i/>
          <w:spacing w:val="-12"/>
          <w:sz w:val="16"/>
          <w:szCs w:val="16"/>
          <w:lang w:val="es-CR"/>
        </w:rPr>
      </w:pPr>
      <w:r w:rsidRPr="001C16AC">
        <w:rPr>
          <w:rStyle w:val="FootnoteReference"/>
          <w:rFonts w:ascii="Verdana" w:hAnsi="Verdana"/>
          <w:spacing w:val="-12"/>
          <w:sz w:val="16"/>
          <w:szCs w:val="16"/>
        </w:rPr>
        <w:footnoteRef/>
      </w:r>
      <w:r w:rsidRPr="006001C8">
        <w:rPr>
          <w:rFonts w:ascii="Verdana" w:hAnsi="Verdana"/>
          <w:spacing w:val="-12"/>
          <w:sz w:val="16"/>
          <w:szCs w:val="16"/>
        </w:rPr>
        <w:t xml:space="preserve"> </w:t>
      </w:r>
      <w:r w:rsidRPr="006001C8">
        <w:rPr>
          <w:rFonts w:ascii="Verdana" w:hAnsi="Verdana"/>
          <w:spacing w:val="-12"/>
          <w:sz w:val="16"/>
          <w:szCs w:val="16"/>
          <w:lang w:val="es-CR"/>
        </w:rPr>
        <w:tab/>
      </w:r>
      <w:r w:rsidRPr="006001C8">
        <w:rPr>
          <w:rFonts w:ascii="Verdana" w:hAnsi="Verdana"/>
          <w:i/>
          <w:spacing w:val="-12"/>
          <w:sz w:val="16"/>
          <w:szCs w:val="16"/>
          <w:lang w:val="es-CR"/>
        </w:rPr>
        <w:t xml:space="preserve">Cfr., </w:t>
      </w:r>
      <w:r w:rsidRPr="00D55480">
        <w:rPr>
          <w:rFonts w:ascii="Verdana" w:hAnsi="Verdana"/>
          <w:spacing w:val="-12"/>
          <w:sz w:val="16"/>
          <w:szCs w:val="16"/>
          <w:lang w:val="es-CR"/>
        </w:rPr>
        <w:t>en similar sentido,</w:t>
      </w:r>
      <w:r w:rsidRPr="00D55480">
        <w:rPr>
          <w:rFonts w:ascii="Verdana" w:hAnsi="Verdana"/>
          <w:i/>
          <w:spacing w:val="-12"/>
          <w:sz w:val="16"/>
          <w:szCs w:val="16"/>
          <w:lang w:val="es-ES"/>
        </w:rPr>
        <w:t xml:space="preserve"> Caso </w:t>
      </w:r>
      <w:proofErr w:type="spellStart"/>
      <w:r w:rsidRPr="00D55480">
        <w:rPr>
          <w:rFonts w:ascii="Verdana" w:hAnsi="Verdana"/>
          <w:i/>
          <w:spacing w:val="-12"/>
          <w:sz w:val="16"/>
          <w:szCs w:val="16"/>
          <w:lang w:val="es-ES"/>
        </w:rPr>
        <w:t>Granier</w:t>
      </w:r>
      <w:proofErr w:type="spellEnd"/>
      <w:r w:rsidRPr="00D55480">
        <w:rPr>
          <w:rFonts w:ascii="Verdana" w:hAnsi="Verdana"/>
          <w:i/>
          <w:spacing w:val="-12"/>
          <w:sz w:val="16"/>
          <w:szCs w:val="16"/>
          <w:lang w:val="es-ES"/>
        </w:rPr>
        <w:t xml:space="preserve"> y </w:t>
      </w:r>
      <w:r w:rsidRPr="00CE7020">
        <w:rPr>
          <w:rFonts w:ascii="Verdana" w:hAnsi="Verdana"/>
          <w:i/>
          <w:spacing w:val="-12"/>
          <w:sz w:val="16"/>
          <w:szCs w:val="16"/>
          <w:lang w:val="es-ES"/>
        </w:rPr>
        <w:t>otros</w:t>
      </w:r>
      <w:r w:rsidRPr="00CE7020">
        <w:rPr>
          <w:rFonts w:ascii="Verdana" w:hAnsi="Verdana" w:cs="Verdana"/>
          <w:color w:val="000000"/>
          <w:sz w:val="24"/>
          <w:szCs w:val="24"/>
        </w:rPr>
        <w:t xml:space="preserve"> </w:t>
      </w:r>
      <w:r w:rsidRPr="00CE7020">
        <w:rPr>
          <w:rFonts w:ascii="Verdana" w:hAnsi="Verdana"/>
          <w:bCs/>
          <w:i/>
          <w:spacing w:val="-12"/>
          <w:sz w:val="16"/>
          <w:szCs w:val="16"/>
          <w:lang w:val="es-CR"/>
        </w:rPr>
        <w:t>(</w:t>
      </w:r>
      <w:r w:rsidRPr="00CE7020">
        <w:rPr>
          <w:rFonts w:ascii="Verdana" w:hAnsi="Verdana"/>
          <w:bCs/>
          <w:i/>
          <w:iCs/>
          <w:spacing w:val="-12"/>
          <w:sz w:val="16"/>
          <w:szCs w:val="16"/>
          <w:lang w:val="es-CR"/>
        </w:rPr>
        <w:t>Radio Caracas Televisión) Vs</w:t>
      </w:r>
      <w:r w:rsidRPr="00CE7020">
        <w:rPr>
          <w:rFonts w:ascii="Verdana" w:hAnsi="Verdana"/>
          <w:bCs/>
          <w:i/>
          <w:spacing w:val="-12"/>
          <w:sz w:val="16"/>
          <w:szCs w:val="16"/>
          <w:lang w:val="es-CR"/>
        </w:rPr>
        <w:t>. Venezuela</w:t>
      </w:r>
      <w:r w:rsidRPr="00D55480">
        <w:rPr>
          <w:rFonts w:ascii="Verdana" w:hAnsi="Verdana"/>
          <w:i/>
          <w:spacing w:val="-12"/>
          <w:sz w:val="16"/>
          <w:szCs w:val="16"/>
          <w:lang w:val="es-ES"/>
        </w:rPr>
        <w:t xml:space="preserve">, </w:t>
      </w:r>
      <w:r w:rsidRPr="00601720">
        <w:rPr>
          <w:rFonts w:ascii="Verdana" w:hAnsi="Verdana"/>
          <w:i/>
          <w:spacing w:val="-12"/>
          <w:sz w:val="16"/>
          <w:szCs w:val="16"/>
          <w:lang w:val="es-ES"/>
        </w:rPr>
        <w:t>supra</w:t>
      </w:r>
      <w:r>
        <w:rPr>
          <w:rFonts w:ascii="Verdana" w:hAnsi="Verdana"/>
          <w:spacing w:val="-12"/>
          <w:sz w:val="16"/>
          <w:szCs w:val="16"/>
          <w:lang w:val="es-ES"/>
        </w:rPr>
        <w:t xml:space="preserve">, </w:t>
      </w:r>
      <w:r w:rsidRPr="009E7E48">
        <w:rPr>
          <w:rFonts w:ascii="Verdana" w:hAnsi="Verdana"/>
          <w:spacing w:val="-12"/>
          <w:sz w:val="16"/>
          <w:szCs w:val="16"/>
          <w:lang w:val="es-ES"/>
        </w:rPr>
        <w:t>párr. 294.</w:t>
      </w:r>
    </w:p>
  </w:footnote>
  <w:footnote w:id="249">
    <w:p w14:paraId="243D8443" w14:textId="6623514C" w:rsidR="00837BB9" w:rsidRPr="007C51D0" w:rsidRDefault="00837BB9" w:rsidP="008349B1">
      <w:pPr>
        <w:pStyle w:val="FootnoteText"/>
        <w:tabs>
          <w:tab w:val="left" w:pos="709"/>
        </w:tabs>
        <w:spacing w:before="120" w:after="120"/>
        <w:jc w:val="both"/>
        <w:rPr>
          <w:rFonts w:ascii="Verdana" w:hAnsi="Verdana"/>
          <w:spacing w:val="-12"/>
          <w:sz w:val="16"/>
          <w:szCs w:val="16"/>
          <w:lang w:val="es-ES"/>
        </w:rPr>
      </w:pPr>
      <w:r w:rsidRPr="008B6122">
        <w:rPr>
          <w:rStyle w:val="FootnoteReference"/>
          <w:rFonts w:ascii="Verdana" w:hAnsi="Verdana"/>
          <w:spacing w:val="-12"/>
          <w:sz w:val="16"/>
          <w:szCs w:val="16"/>
        </w:rPr>
        <w:footnoteRef/>
      </w:r>
      <w:r w:rsidRPr="0012407E">
        <w:rPr>
          <w:rFonts w:ascii="Verdana" w:hAnsi="Verdana"/>
          <w:spacing w:val="-12"/>
          <w:sz w:val="16"/>
          <w:szCs w:val="16"/>
          <w:lang w:val="es-CR"/>
        </w:rPr>
        <w:t xml:space="preserve"> </w:t>
      </w:r>
      <w:r w:rsidRPr="0012407E">
        <w:rPr>
          <w:rFonts w:ascii="Verdana" w:hAnsi="Verdana"/>
          <w:spacing w:val="-12"/>
          <w:sz w:val="16"/>
          <w:szCs w:val="16"/>
          <w:lang w:val="es-CR"/>
        </w:rPr>
        <w:tab/>
      </w:r>
      <w:r w:rsidRPr="0012407E">
        <w:rPr>
          <w:rFonts w:ascii="Verdana" w:hAnsi="Verdana"/>
          <w:i/>
          <w:spacing w:val="-12"/>
          <w:sz w:val="16"/>
          <w:szCs w:val="16"/>
          <w:lang w:val="es-CR"/>
        </w:rPr>
        <w:t xml:space="preserve">Cfr. </w:t>
      </w:r>
      <w:r w:rsidRPr="00DA1032">
        <w:rPr>
          <w:rFonts w:ascii="Verdana" w:hAnsi="Verdana"/>
          <w:i/>
          <w:spacing w:val="-12"/>
          <w:sz w:val="16"/>
          <w:szCs w:val="16"/>
          <w:lang w:val="es-ES"/>
        </w:rPr>
        <w:t xml:space="preserve">Caso Suárez Rosero Vs. Ecuador. Fondo. </w:t>
      </w:r>
      <w:r w:rsidRPr="00DA1032">
        <w:rPr>
          <w:rFonts w:ascii="Verdana" w:hAnsi="Verdana"/>
          <w:spacing w:val="-12"/>
          <w:sz w:val="16"/>
          <w:szCs w:val="16"/>
          <w:lang w:val="es-ES"/>
        </w:rPr>
        <w:t xml:space="preserve">Sentencia de 12 de noviembre de 1997. Serie C No. 35, párr. 37, </w:t>
      </w:r>
      <w:r w:rsidRPr="00DA1032">
        <w:rPr>
          <w:rFonts w:ascii="Verdana" w:hAnsi="Verdana"/>
          <w:spacing w:val="-12"/>
          <w:sz w:val="16"/>
          <w:szCs w:val="16"/>
          <w:lang w:val="es-CR"/>
        </w:rPr>
        <w:t xml:space="preserve">y </w:t>
      </w:r>
      <w:r w:rsidRPr="00997D29">
        <w:rPr>
          <w:rFonts w:ascii="Verdana" w:hAnsi="Verdana"/>
          <w:i/>
          <w:spacing w:val="-12"/>
          <w:sz w:val="16"/>
          <w:szCs w:val="16"/>
          <w:lang w:val="es-MX"/>
        </w:rPr>
        <w:t>Caso V</w:t>
      </w:r>
      <w:r>
        <w:rPr>
          <w:rFonts w:ascii="Verdana" w:hAnsi="Verdana"/>
          <w:i/>
          <w:spacing w:val="-12"/>
          <w:sz w:val="16"/>
          <w:szCs w:val="16"/>
          <w:lang w:val="es-MX"/>
        </w:rPr>
        <w:t>ereda La Esperanza Vs. Colombia, supra</w:t>
      </w:r>
      <w:r w:rsidRPr="00997D29">
        <w:rPr>
          <w:rFonts w:ascii="Verdana" w:hAnsi="Verdana"/>
          <w:spacing w:val="-12"/>
          <w:sz w:val="16"/>
          <w:szCs w:val="16"/>
          <w:lang w:val="es-MX"/>
        </w:rPr>
        <w:t>, párr.</w:t>
      </w:r>
      <w:r>
        <w:rPr>
          <w:rFonts w:ascii="Verdana" w:hAnsi="Verdana"/>
          <w:spacing w:val="-12"/>
          <w:sz w:val="16"/>
          <w:szCs w:val="16"/>
          <w:lang w:val="es-MX"/>
        </w:rPr>
        <w:t xml:space="preserve"> 259</w:t>
      </w:r>
      <w:r w:rsidRPr="00C7142E">
        <w:rPr>
          <w:rFonts w:ascii="Verdana" w:hAnsi="Verdana"/>
          <w:spacing w:val="-12"/>
          <w:sz w:val="16"/>
          <w:szCs w:val="16"/>
          <w:lang w:val="es-CR"/>
        </w:rPr>
        <w:t>.</w:t>
      </w:r>
    </w:p>
  </w:footnote>
  <w:footnote w:id="250">
    <w:p w14:paraId="6916CE27" w14:textId="6BA72960" w:rsidR="00837BB9" w:rsidRPr="0003211A" w:rsidRDefault="00837BB9" w:rsidP="008349B1">
      <w:pPr>
        <w:pStyle w:val="FootnoteText"/>
        <w:tabs>
          <w:tab w:val="left" w:pos="567"/>
        </w:tabs>
        <w:spacing w:before="120" w:after="120"/>
        <w:jc w:val="both"/>
        <w:rPr>
          <w:rFonts w:ascii="Verdana" w:hAnsi="Verdana"/>
          <w:spacing w:val="-12"/>
          <w:sz w:val="16"/>
          <w:szCs w:val="16"/>
          <w:highlight w:val="green"/>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t xml:space="preserve">En el Preámbulo de la Convención Americana se sostiene que la protección internacional es “de naturaleza convencional coadyuvante o complementaria de la que ofrece el derecho interno de los Estados americanos”. Véase también, </w:t>
      </w:r>
      <w:r w:rsidRPr="006C24C0">
        <w:rPr>
          <w:rFonts w:ascii="Verdana" w:hAnsi="Verdana"/>
          <w:i/>
          <w:iCs/>
          <w:spacing w:val="-12"/>
          <w:sz w:val="16"/>
          <w:szCs w:val="16"/>
        </w:rPr>
        <w:t xml:space="preserve">El Efecto de las Reservas sobre la Entrada en Vigencia de la Convención Americana sobre Derechos Humanos </w:t>
      </w:r>
      <w:r w:rsidRPr="003100FE">
        <w:rPr>
          <w:rFonts w:ascii="Verdana" w:hAnsi="Verdana"/>
          <w:spacing w:val="-12"/>
          <w:sz w:val="16"/>
          <w:szCs w:val="16"/>
        </w:rPr>
        <w:t xml:space="preserve">(arts. 74 y 75). Opinión Consultiva OC-2/82 de 24 de septiembre de 1982. Serie A No. 2, párr. 31, y </w:t>
      </w:r>
      <w:r w:rsidRPr="00997D29">
        <w:rPr>
          <w:rFonts w:ascii="Verdana" w:hAnsi="Verdana"/>
          <w:i/>
          <w:spacing w:val="-12"/>
          <w:sz w:val="16"/>
          <w:szCs w:val="16"/>
          <w:lang w:val="es-MX"/>
        </w:rPr>
        <w:t>Caso V</w:t>
      </w:r>
      <w:r>
        <w:rPr>
          <w:rFonts w:ascii="Verdana" w:hAnsi="Verdana"/>
          <w:i/>
          <w:spacing w:val="-12"/>
          <w:sz w:val="16"/>
          <w:szCs w:val="16"/>
          <w:lang w:val="es-MX"/>
        </w:rPr>
        <w:t>ereda La Esperanza Vs. Colombia, supra</w:t>
      </w:r>
      <w:r w:rsidRPr="00997D29">
        <w:rPr>
          <w:rFonts w:ascii="Verdana" w:hAnsi="Verdana"/>
          <w:spacing w:val="-12"/>
          <w:sz w:val="16"/>
          <w:szCs w:val="16"/>
          <w:lang w:val="es-MX"/>
        </w:rPr>
        <w:t xml:space="preserve">, </w:t>
      </w:r>
      <w:proofErr w:type="spellStart"/>
      <w:r w:rsidRPr="00997D29">
        <w:rPr>
          <w:rFonts w:ascii="Verdana" w:hAnsi="Verdana"/>
          <w:spacing w:val="-12"/>
          <w:sz w:val="16"/>
          <w:szCs w:val="16"/>
          <w:lang w:val="es-MX"/>
        </w:rPr>
        <w:t>párr</w:t>
      </w:r>
      <w:r>
        <w:rPr>
          <w:rFonts w:ascii="Verdana" w:hAnsi="Verdana"/>
          <w:spacing w:val="-12"/>
          <w:sz w:val="16"/>
          <w:szCs w:val="16"/>
          <w:lang w:val="es-MX"/>
        </w:rPr>
        <w:t>s</w:t>
      </w:r>
      <w:proofErr w:type="spellEnd"/>
      <w:r w:rsidRPr="00997D29">
        <w:rPr>
          <w:rFonts w:ascii="Verdana" w:hAnsi="Verdana"/>
          <w:spacing w:val="-12"/>
          <w:sz w:val="16"/>
          <w:szCs w:val="16"/>
          <w:lang w:val="es-MX"/>
        </w:rPr>
        <w:t>.</w:t>
      </w:r>
      <w:r>
        <w:rPr>
          <w:rFonts w:ascii="Verdana" w:hAnsi="Verdana"/>
          <w:spacing w:val="-12"/>
          <w:sz w:val="16"/>
          <w:szCs w:val="16"/>
          <w:lang w:val="es-MX"/>
        </w:rPr>
        <w:t xml:space="preserve"> 259 y 260</w:t>
      </w:r>
      <w:r w:rsidRPr="0003211A">
        <w:rPr>
          <w:rFonts w:ascii="Verdana" w:hAnsi="Verdana"/>
          <w:spacing w:val="-12"/>
          <w:sz w:val="16"/>
          <w:szCs w:val="16"/>
        </w:rPr>
        <w:t xml:space="preserve">. </w:t>
      </w:r>
    </w:p>
  </w:footnote>
  <w:footnote w:id="251">
    <w:p w14:paraId="09DDD342" w14:textId="567FB6E8" w:rsidR="00837BB9" w:rsidRPr="003100FE" w:rsidRDefault="00837BB9" w:rsidP="008349B1">
      <w:pPr>
        <w:pStyle w:val="FootnoteText"/>
        <w:tabs>
          <w:tab w:val="left" w:pos="567"/>
        </w:tabs>
        <w:spacing w:before="120" w:after="120"/>
        <w:jc w:val="both"/>
        <w:rPr>
          <w:rFonts w:ascii="Verdana" w:hAnsi="Verdana"/>
          <w:spacing w:val="-12"/>
          <w:sz w:val="16"/>
          <w:szCs w:val="16"/>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i/>
          <w:spacing w:val="-12"/>
          <w:sz w:val="16"/>
          <w:szCs w:val="16"/>
        </w:rPr>
        <w:t xml:space="preserve">Cfr. Caso Nogueira de Carvalho y otro Vs. Brasil. Excepciones Preliminares y Fondo. </w:t>
      </w:r>
      <w:r w:rsidRPr="00C7142E">
        <w:rPr>
          <w:rFonts w:ascii="Verdana" w:hAnsi="Verdana"/>
          <w:spacing w:val="-12"/>
          <w:sz w:val="16"/>
          <w:szCs w:val="16"/>
        </w:rPr>
        <w:t xml:space="preserve">Sentencia de 20 de noviembre de 2006. Serie C No. 161, párr. 80, y </w:t>
      </w:r>
      <w:r w:rsidRPr="006C24C0">
        <w:rPr>
          <w:rFonts w:ascii="Verdana" w:hAnsi="Verdana"/>
          <w:i/>
          <w:spacing w:val="-12"/>
          <w:sz w:val="16"/>
          <w:szCs w:val="16"/>
        </w:rPr>
        <w:t>Caso de las Comunidades Afrodescendientes Desplazadas de la Cuenca del Río Cacarica (Operación Génesis) Vs. Colombia</w:t>
      </w:r>
      <w:r w:rsidRPr="003100FE">
        <w:rPr>
          <w:rFonts w:ascii="Verdana" w:hAnsi="Verdana"/>
          <w:spacing w:val="-12"/>
          <w:sz w:val="16"/>
          <w:szCs w:val="16"/>
        </w:rPr>
        <w:t xml:space="preserve">, </w:t>
      </w:r>
      <w:r>
        <w:rPr>
          <w:rFonts w:ascii="Verdana" w:hAnsi="Verdana"/>
          <w:i/>
          <w:spacing w:val="-12"/>
          <w:sz w:val="16"/>
          <w:szCs w:val="16"/>
        </w:rPr>
        <w:t xml:space="preserve">supra, </w:t>
      </w:r>
      <w:r w:rsidRPr="003100FE">
        <w:rPr>
          <w:rFonts w:ascii="Verdana" w:hAnsi="Verdana"/>
          <w:spacing w:val="-12"/>
          <w:sz w:val="16"/>
          <w:szCs w:val="16"/>
        </w:rPr>
        <w:t>párr. 225.</w:t>
      </w:r>
    </w:p>
  </w:footnote>
  <w:footnote w:id="252">
    <w:p w14:paraId="44BF386E" w14:textId="7A2663CB" w:rsidR="00837BB9" w:rsidRPr="007C51D0" w:rsidRDefault="00837BB9" w:rsidP="008349B1">
      <w:pPr>
        <w:pStyle w:val="FootnoteText"/>
        <w:spacing w:before="120" w:after="120"/>
        <w:jc w:val="both"/>
        <w:rPr>
          <w:rFonts w:ascii="Verdana" w:hAnsi="Verdana"/>
          <w:i/>
          <w:spacing w:val="-12"/>
          <w:sz w:val="16"/>
          <w:szCs w:val="16"/>
          <w:lang w:val="es-CR"/>
        </w:rPr>
      </w:pPr>
      <w:r w:rsidRPr="00DA1032">
        <w:rPr>
          <w:rStyle w:val="FootnoteReference"/>
          <w:rFonts w:ascii="Verdana" w:hAnsi="Verdana"/>
          <w:spacing w:val="-12"/>
          <w:sz w:val="16"/>
          <w:szCs w:val="16"/>
        </w:rPr>
        <w:footnoteRef/>
      </w:r>
      <w:r w:rsidRPr="00DA1032">
        <w:rPr>
          <w:rFonts w:ascii="Verdana" w:hAnsi="Verdana"/>
          <w:spacing w:val="-12"/>
          <w:sz w:val="16"/>
          <w:szCs w:val="16"/>
        </w:rPr>
        <w:t xml:space="preserve"> </w:t>
      </w:r>
      <w:r w:rsidRPr="00DA1032">
        <w:rPr>
          <w:rFonts w:ascii="Verdana" w:hAnsi="Verdana"/>
          <w:spacing w:val="-12"/>
          <w:sz w:val="16"/>
          <w:szCs w:val="16"/>
          <w:lang w:val="es-ES_tradnl"/>
        </w:rPr>
        <w:tab/>
      </w:r>
      <w:r w:rsidRPr="00DA1032">
        <w:rPr>
          <w:rFonts w:ascii="Verdana" w:hAnsi="Verdana"/>
          <w:i/>
          <w:spacing w:val="-12"/>
          <w:sz w:val="16"/>
          <w:szCs w:val="16"/>
          <w:lang w:val="es-ES_tradnl"/>
        </w:rPr>
        <w:t xml:space="preserve">Cfr., mutatis </w:t>
      </w:r>
      <w:proofErr w:type="spellStart"/>
      <w:r w:rsidRPr="00DA1032">
        <w:rPr>
          <w:rFonts w:ascii="Verdana" w:hAnsi="Verdana"/>
          <w:i/>
          <w:spacing w:val="-12"/>
          <w:sz w:val="16"/>
          <w:szCs w:val="16"/>
          <w:lang w:val="es-ES_tradnl"/>
        </w:rPr>
        <w:t>mutandi</w:t>
      </w:r>
      <w:proofErr w:type="spellEnd"/>
      <w:r w:rsidRPr="00DA1032">
        <w:rPr>
          <w:rFonts w:ascii="Verdana" w:hAnsi="Verdana"/>
          <w:i/>
          <w:spacing w:val="-12"/>
          <w:sz w:val="16"/>
          <w:szCs w:val="16"/>
          <w:lang w:val="es-ES_tradnl"/>
        </w:rPr>
        <w:t xml:space="preserve">, </w:t>
      </w:r>
      <w:r>
        <w:rPr>
          <w:rFonts w:ascii="Verdana" w:hAnsi="Verdana"/>
          <w:i/>
          <w:spacing w:val="-12"/>
          <w:sz w:val="16"/>
          <w:szCs w:val="16"/>
          <w:lang w:val="es-ES_tradnl"/>
        </w:rPr>
        <w:t>C</w:t>
      </w:r>
      <w:r w:rsidRPr="00DA1032">
        <w:rPr>
          <w:rFonts w:ascii="Verdana" w:hAnsi="Verdana"/>
          <w:i/>
          <w:spacing w:val="-12"/>
          <w:sz w:val="16"/>
          <w:szCs w:val="16"/>
          <w:lang w:val="es-ES_tradnl"/>
        </w:rPr>
        <w:t xml:space="preserve">aso Acosta y otros Vs. </w:t>
      </w:r>
      <w:r w:rsidRPr="00F54556">
        <w:rPr>
          <w:rFonts w:ascii="Verdana" w:hAnsi="Verdana"/>
          <w:i/>
          <w:spacing w:val="-12"/>
          <w:sz w:val="16"/>
          <w:szCs w:val="16"/>
          <w:lang w:val="es-ES_tradnl"/>
        </w:rPr>
        <w:t>Nicar</w:t>
      </w:r>
      <w:r w:rsidRPr="00C7142E">
        <w:rPr>
          <w:rFonts w:ascii="Verdana" w:hAnsi="Verdana"/>
          <w:i/>
          <w:spacing w:val="-12"/>
          <w:sz w:val="16"/>
          <w:szCs w:val="16"/>
          <w:lang w:val="es-ES_tradnl"/>
        </w:rPr>
        <w:t>agua</w:t>
      </w:r>
      <w:r w:rsidRPr="00C7142E">
        <w:rPr>
          <w:rFonts w:ascii="Verdana" w:hAnsi="Verdana"/>
          <w:spacing w:val="-12"/>
          <w:sz w:val="16"/>
          <w:szCs w:val="16"/>
          <w:lang w:val="es-ES_tradnl"/>
        </w:rPr>
        <w:t xml:space="preserve">, </w:t>
      </w:r>
      <w:r>
        <w:rPr>
          <w:rFonts w:ascii="Verdana" w:hAnsi="Verdana"/>
          <w:i/>
          <w:spacing w:val="-12"/>
          <w:sz w:val="16"/>
          <w:szCs w:val="16"/>
          <w:lang w:val="es-ES_tradnl"/>
        </w:rPr>
        <w:t xml:space="preserve">supra, </w:t>
      </w:r>
      <w:r w:rsidRPr="00C7142E">
        <w:rPr>
          <w:rFonts w:ascii="Verdana" w:hAnsi="Verdana"/>
          <w:spacing w:val="-12"/>
          <w:sz w:val="16"/>
          <w:szCs w:val="16"/>
          <w:lang w:val="es-ES_tradnl"/>
        </w:rPr>
        <w:t>párr. 159.</w:t>
      </w:r>
    </w:p>
  </w:footnote>
  <w:footnote w:id="253">
    <w:p w14:paraId="6211A15A" w14:textId="5E21CF93" w:rsidR="00837BB9" w:rsidRPr="000536CF" w:rsidRDefault="00837BB9" w:rsidP="008349B1">
      <w:pPr>
        <w:pStyle w:val="FootnoteText"/>
        <w:tabs>
          <w:tab w:val="left" w:pos="567"/>
        </w:tabs>
        <w:spacing w:before="120" w:after="120"/>
        <w:jc w:val="both"/>
        <w:rPr>
          <w:rFonts w:ascii="Verdana" w:hAnsi="Verdana" w:cs="Arial"/>
          <w:spacing w:val="-12"/>
          <w:sz w:val="16"/>
          <w:szCs w:val="16"/>
        </w:rPr>
      </w:pPr>
      <w:r w:rsidRPr="00CF3AED">
        <w:rPr>
          <w:rStyle w:val="FootnoteReference"/>
          <w:rFonts w:ascii="Verdana" w:hAnsi="Verdana"/>
          <w:spacing w:val="-12"/>
          <w:sz w:val="16"/>
          <w:szCs w:val="16"/>
        </w:rPr>
        <w:footnoteRef/>
      </w:r>
      <w:r w:rsidRPr="00CF3AED">
        <w:rPr>
          <w:rFonts w:ascii="Verdana" w:hAnsi="Verdana" w:cs="Arial"/>
          <w:spacing w:val="-12"/>
          <w:sz w:val="16"/>
          <w:szCs w:val="16"/>
        </w:rPr>
        <w:t xml:space="preserve"> </w:t>
      </w:r>
      <w:r w:rsidRPr="00CF3AED">
        <w:rPr>
          <w:rFonts w:ascii="Verdana" w:hAnsi="Verdana" w:cs="Arial"/>
          <w:spacing w:val="-12"/>
          <w:sz w:val="16"/>
          <w:szCs w:val="16"/>
        </w:rPr>
        <w:tab/>
      </w:r>
      <w:r w:rsidRPr="00CF3AED">
        <w:rPr>
          <w:rFonts w:ascii="Verdana" w:hAnsi="Verdana" w:cs="Arial"/>
          <w:i/>
          <w:spacing w:val="-12"/>
          <w:sz w:val="16"/>
          <w:szCs w:val="16"/>
          <w:lang w:val="es-CL"/>
        </w:rPr>
        <w:t xml:space="preserve">Cfr.  Caso </w:t>
      </w:r>
      <w:proofErr w:type="spellStart"/>
      <w:r w:rsidRPr="00CF3AED">
        <w:rPr>
          <w:rFonts w:ascii="Verdana" w:hAnsi="Verdana" w:cs="Arial"/>
          <w:i/>
          <w:spacing w:val="-12"/>
          <w:sz w:val="16"/>
          <w:szCs w:val="16"/>
          <w:lang w:val="es-CL"/>
        </w:rPr>
        <w:t>Apitz</w:t>
      </w:r>
      <w:proofErr w:type="spellEnd"/>
      <w:r w:rsidRPr="00CF3AED">
        <w:rPr>
          <w:rFonts w:ascii="Verdana" w:hAnsi="Verdana" w:cs="Arial"/>
          <w:i/>
          <w:spacing w:val="-12"/>
          <w:sz w:val="16"/>
          <w:szCs w:val="16"/>
          <w:lang w:val="es-CL"/>
        </w:rPr>
        <w:t xml:space="preserve"> Barbera y otros (“Corte Primera de lo Contencioso Administrativo”) Vs. Venezuela</w:t>
      </w:r>
      <w:r w:rsidRPr="006203B0">
        <w:rPr>
          <w:rFonts w:ascii="Verdana" w:hAnsi="Verdana" w:cs="Arial"/>
          <w:spacing w:val="-12"/>
          <w:sz w:val="16"/>
          <w:szCs w:val="16"/>
          <w:lang w:val="es-CL"/>
        </w:rPr>
        <w:t xml:space="preserve">, </w:t>
      </w:r>
      <w:r>
        <w:rPr>
          <w:rFonts w:ascii="Verdana" w:hAnsi="Verdana" w:cs="Arial"/>
          <w:i/>
          <w:spacing w:val="-12"/>
          <w:sz w:val="16"/>
          <w:szCs w:val="16"/>
          <w:lang w:val="es-CL"/>
        </w:rPr>
        <w:t xml:space="preserve">supra, </w:t>
      </w:r>
      <w:r w:rsidRPr="006203B0">
        <w:rPr>
          <w:rFonts w:ascii="Verdana" w:hAnsi="Verdana" w:cs="Arial"/>
          <w:spacing w:val="-12"/>
          <w:sz w:val="16"/>
          <w:szCs w:val="16"/>
          <w:lang w:val="es-CL"/>
        </w:rPr>
        <w:t xml:space="preserve">párr. 55, y </w:t>
      </w:r>
      <w:r>
        <w:rPr>
          <w:rFonts w:ascii="Verdana" w:hAnsi="Verdana"/>
          <w:i/>
          <w:spacing w:val="-12"/>
          <w:sz w:val="16"/>
          <w:szCs w:val="16"/>
          <w:lang w:val="es-ES_tradnl"/>
        </w:rPr>
        <w:t>C</w:t>
      </w:r>
      <w:r w:rsidRPr="00DA1032">
        <w:rPr>
          <w:rFonts w:ascii="Verdana" w:hAnsi="Verdana"/>
          <w:i/>
          <w:spacing w:val="-12"/>
          <w:sz w:val="16"/>
          <w:szCs w:val="16"/>
          <w:lang w:val="es-ES_tradnl"/>
        </w:rPr>
        <w:t xml:space="preserve">aso Acosta y otros Vs. </w:t>
      </w:r>
      <w:r w:rsidRPr="00F54556">
        <w:rPr>
          <w:rFonts w:ascii="Verdana" w:hAnsi="Verdana"/>
          <w:i/>
          <w:spacing w:val="-12"/>
          <w:sz w:val="16"/>
          <w:szCs w:val="16"/>
          <w:lang w:val="es-ES_tradnl"/>
        </w:rPr>
        <w:t>Nicar</w:t>
      </w:r>
      <w:r w:rsidRPr="00C7142E">
        <w:rPr>
          <w:rFonts w:ascii="Verdana" w:hAnsi="Verdana"/>
          <w:i/>
          <w:spacing w:val="-12"/>
          <w:sz w:val="16"/>
          <w:szCs w:val="16"/>
          <w:lang w:val="es-ES_tradnl"/>
        </w:rPr>
        <w:t>agua</w:t>
      </w:r>
      <w:r w:rsidRPr="00C7142E">
        <w:rPr>
          <w:rFonts w:ascii="Verdana" w:hAnsi="Verdana"/>
          <w:spacing w:val="-12"/>
          <w:sz w:val="16"/>
          <w:szCs w:val="16"/>
          <w:lang w:val="es-ES_tradnl"/>
        </w:rPr>
        <w:t xml:space="preserve">, </w:t>
      </w:r>
      <w:r>
        <w:rPr>
          <w:rFonts w:ascii="Verdana" w:hAnsi="Verdana"/>
          <w:i/>
          <w:spacing w:val="-12"/>
          <w:sz w:val="16"/>
          <w:szCs w:val="16"/>
          <w:lang w:val="es-ES_tradnl"/>
        </w:rPr>
        <w:t xml:space="preserve">supra, </w:t>
      </w:r>
      <w:r w:rsidRPr="00C7142E">
        <w:rPr>
          <w:rFonts w:ascii="Verdana" w:hAnsi="Verdana"/>
          <w:spacing w:val="-12"/>
          <w:sz w:val="16"/>
          <w:szCs w:val="16"/>
          <w:lang w:val="es-ES_tradnl"/>
        </w:rPr>
        <w:t>párr.</w:t>
      </w:r>
      <w:r>
        <w:rPr>
          <w:rFonts w:ascii="Verdana" w:hAnsi="Verdana"/>
          <w:spacing w:val="-12"/>
          <w:sz w:val="16"/>
          <w:szCs w:val="16"/>
          <w:lang w:val="es-ES_tradnl"/>
        </w:rPr>
        <w:t xml:space="preserve"> 171</w:t>
      </w:r>
      <w:r w:rsidRPr="000536CF">
        <w:rPr>
          <w:rFonts w:ascii="Verdana" w:hAnsi="Verdana" w:cs="Arial"/>
          <w:spacing w:val="-12"/>
          <w:sz w:val="16"/>
          <w:szCs w:val="16"/>
        </w:rPr>
        <w:t>.</w:t>
      </w:r>
    </w:p>
  </w:footnote>
  <w:footnote w:id="254">
    <w:p w14:paraId="5967D8B4" w14:textId="517DDBA8" w:rsidR="00837BB9" w:rsidRPr="0012407E" w:rsidRDefault="00837BB9" w:rsidP="008349B1">
      <w:pPr>
        <w:pStyle w:val="FootnoteText"/>
        <w:tabs>
          <w:tab w:val="left" w:pos="567"/>
        </w:tabs>
        <w:spacing w:before="120" w:after="120"/>
        <w:jc w:val="both"/>
        <w:rPr>
          <w:rFonts w:ascii="Verdana" w:hAnsi="Verdana" w:cs="Arial"/>
          <w:spacing w:val="-12"/>
          <w:sz w:val="16"/>
          <w:szCs w:val="16"/>
        </w:rPr>
      </w:pPr>
      <w:r w:rsidRPr="000536CF">
        <w:rPr>
          <w:rStyle w:val="FootnoteReference"/>
          <w:rFonts w:ascii="Verdana" w:hAnsi="Verdana" w:cs="Arial"/>
          <w:spacing w:val="-12"/>
          <w:sz w:val="16"/>
          <w:szCs w:val="16"/>
        </w:rPr>
        <w:footnoteRef/>
      </w:r>
      <w:r w:rsidRPr="005C7D26">
        <w:rPr>
          <w:rFonts w:ascii="Verdana" w:hAnsi="Verdana" w:cs="Arial"/>
          <w:spacing w:val="-12"/>
          <w:sz w:val="16"/>
          <w:szCs w:val="16"/>
        </w:rPr>
        <w:t xml:space="preserve"> </w:t>
      </w:r>
      <w:r w:rsidRPr="005C7D26">
        <w:rPr>
          <w:rFonts w:ascii="Verdana" w:hAnsi="Verdana" w:cs="Arial"/>
          <w:spacing w:val="-12"/>
          <w:sz w:val="16"/>
          <w:szCs w:val="16"/>
        </w:rPr>
        <w:tab/>
      </w:r>
      <w:r w:rsidRPr="00A556E1">
        <w:rPr>
          <w:rFonts w:ascii="Verdana" w:hAnsi="Verdana" w:cs="Arial"/>
          <w:i/>
          <w:spacing w:val="-12"/>
          <w:sz w:val="16"/>
          <w:szCs w:val="16"/>
          <w:lang w:val="es-CL"/>
        </w:rPr>
        <w:t>Cfr. Caso del Tribunal Constitucional Vs. Perú</w:t>
      </w:r>
      <w:r w:rsidRPr="007C51D0">
        <w:rPr>
          <w:rFonts w:ascii="Verdana" w:hAnsi="Verdana" w:cs="Arial"/>
          <w:bCs/>
          <w:i/>
          <w:spacing w:val="-12"/>
          <w:sz w:val="16"/>
          <w:szCs w:val="16"/>
          <w:lang w:val="es-CR"/>
        </w:rPr>
        <w:t xml:space="preserve">. Fondo, Reparaciones y Costas. </w:t>
      </w:r>
      <w:r w:rsidRPr="007C51D0">
        <w:rPr>
          <w:rFonts w:ascii="Verdana" w:hAnsi="Verdana" w:cs="Arial"/>
          <w:bCs/>
          <w:spacing w:val="-12"/>
          <w:sz w:val="16"/>
          <w:szCs w:val="16"/>
          <w:lang w:val="es-CR"/>
        </w:rPr>
        <w:t>Sentencia de 31 de enero de 2001. Serie C No. 71</w:t>
      </w:r>
      <w:r w:rsidRPr="00A556E1">
        <w:rPr>
          <w:rFonts w:ascii="Verdana" w:hAnsi="Verdana" w:cs="Arial"/>
          <w:spacing w:val="-12"/>
          <w:sz w:val="16"/>
          <w:szCs w:val="16"/>
          <w:lang w:val="es-CL"/>
        </w:rPr>
        <w:t xml:space="preserve">, párr. 75, y </w:t>
      </w:r>
      <w:r>
        <w:rPr>
          <w:rFonts w:ascii="Verdana" w:hAnsi="Verdana"/>
          <w:i/>
          <w:spacing w:val="-12"/>
          <w:sz w:val="16"/>
          <w:szCs w:val="16"/>
          <w:lang w:val="es-ES_tradnl"/>
        </w:rPr>
        <w:t>C</w:t>
      </w:r>
      <w:r w:rsidRPr="00DA1032">
        <w:rPr>
          <w:rFonts w:ascii="Verdana" w:hAnsi="Verdana"/>
          <w:i/>
          <w:spacing w:val="-12"/>
          <w:sz w:val="16"/>
          <w:szCs w:val="16"/>
          <w:lang w:val="es-ES_tradnl"/>
        </w:rPr>
        <w:t xml:space="preserve">aso Acosta y otros Vs. </w:t>
      </w:r>
      <w:r w:rsidRPr="00F54556">
        <w:rPr>
          <w:rFonts w:ascii="Verdana" w:hAnsi="Verdana"/>
          <w:i/>
          <w:spacing w:val="-12"/>
          <w:sz w:val="16"/>
          <w:szCs w:val="16"/>
          <w:lang w:val="es-ES_tradnl"/>
        </w:rPr>
        <w:t>Nicar</w:t>
      </w:r>
      <w:r w:rsidRPr="00C7142E">
        <w:rPr>
          <w:rFonts w:ascii="Verdana" w:hAnsi="Verdana"/>
          <w:i/>
          <w:spacing w:val="-12"/>
          <w:sz w:val="16"/>
          <w:szCs w:val="16"/>
          <w:lang w:val="es-ES_tradnl"/>
        </w:rPr>
        <w:t>agua</w:t>
      </w:r>
      <w:r w:rsidRPr="00C7142E">
        <w:rPr>
          <w:rFonts w:ascii="Verdana" w:hAnsi="Verdana"/>
          <w:spacing w:val="-12"/>
          <w:sz w:val="16"/>
          <w:szCs w:val="16"/>
          <w:lang w:val="es-ES_tradnl"/>
        </w:rPr>
        <w:t xml:space="preserve">, </w:t>
      </w:r>
      <w:r>
        <w:rPr>
          <w:rFonts w:ascii="Verdana" w:hAnsi="Verdana"/>
          <w:i/>
          <w:spacing w:val="-12"/>
          <w:sz w:val="16"/>
          <w:szCs w:val="16"/>
          <w:lang w:val="es-ES_tradnl"/>
        </w:rPr>
        <w:t xml:space="preserve">supra, </w:t>
      </w:r>
      <w:r w:rsidRPr="00C7142E">
        <w:rPr>
          <w:rFonts w:ascii="Verdana" w:hAnsi="Verdana"/>
          <w:spacing w:val="-12"/>
          <w:sz w:val="16"/>
          <w:szCs w:val="16"/>
          <w:lang w:val="es-ES_tradnl"/>
        </w:rPr>
        <w:t>párr.</w:t>
      </w:r>
      <w:r>
        <w:rPr>
          <w:rFonts w:ascii="Verdana" w:hAnsi="Verdana"/>
          <w:spacing w:val="-12"/>
          <w:sz w:val="16"/>
          <w:szCs w:val="16"/>
          <w:lang w:val="es-ES_tradnl"/>
        </w:rPr>
        <w:t xml:space="preserve"> 171</w:t>
      </w:r>
      <w:r w:rsidRPr="001C16AC">
        <w:rPr>
          <w:rFonts w:ascii="Verdana" w:hAnsi="Verdana" w:cs="Arial"/>
          <w:spacing w:val="-12"/>
          <w:sz w:val="16"/>
          <w:szCs w:val="16"/>
        </w:rPr>
        <w:t xml:space="preserve">. </w:t>
      </w:r>
      <w:r w:rsidRPr="006001C8">
        <w:rPr>
          <w:rFonts w:ascii="Verdana" w:hAnsi="Verdana" w:cs="Arial"/>
          <w:spacing w:val="-12"/>
          <w:sz w:val="16"/>
          <w:szCs w:val="16"/>
          <w:lang w:val="es-ES"/>
        </w:rPr>
        <w:t>Ver también:</w:t>
      </w:r>
      <w:r w:rsidRPr="006001C8">
        <w:rPr>
          <w:rFonts w:ascii="Verdana" w:hAnsi="Verdana" w:cs="Arial"/>
          <w:i/>
          <w:spacing w:val="-12"/>
          <w:sz w:val="16"/>
          <w:szCs w:val="16"/>
          <w:lang w:val="es-ES"/>
        </w:rPr>
        <w:t xml:space="preserve"> </w:t>
      </w:r>
      <w:r w:rsidRPr="006001C8">
        <w:rPr>
          <w:rFonts w:ascii="Verdana" w:hAnsi="Verdana" w:cs="Arial"/>
          <w:spacing w:val="-12"/>
          <w:sz w:val="16"/>
          <w:szCs w:val="16"/>
          <w:lang w:val="es-ES"/>
        </w:rPr>
        <w:t xml:space="preserve">TEDH, </w:t>
      </w:r>
      <w:r w:rsidRPr="00D55480">
        <w:rPr>
          <w:rFonts w:ascii="Verdana" w:hAnsi="Verdana" w:cs="Arial"/>
          <w:i/>
          <w:spacing w:val="-12"/>
          <w:sz w:val="16"/>
          <w:szCs w:val="16"/>
          <w:lang w:val="es-ES"/>
        </w:rPr>
        <w:t>Campb</w:t>
      </w:r>
      <w:r w:rsidRPr="009E7E48">
        <w:rPr>
          <w:rFonts w:ascii="Verdana" w:hAnsi="Verdana" w:cs="Arial"/>
          <w:i/>
          <w:spacing w:val="-12"/>
          <w:sz w:val="16"/>
          <w:szCs w:val="16"/>
          <w:lang w:val="es-ES"/>
        </w:rPr>
        <w:t xml:space="preserve">ell y </w:t>
      </w:r>
      <w:proofErr w:type="spellStart"/>
      <w:r w:rsidRPr="009E7E48">
        <w:rPr>
          <w:rFonts w:ascii="Verdana" w:hAnsi="Verdana" w:cs="Arial"/>
          <w:i/>
          <w:spacing w:val="-12"/>
          <w:sz w:val="16"/>
          <w:szCs w:val="16"/>
          <w:lang w:val="es-ES"/>
        </w:rPr>
        <w:t>Fell</w:t>
      </w:r>
      <w:proofErr w:type="spellEnd"/>
      <w:r w:rsidRPr="009E7E48">
        <w:rPr>
          <w:rFonts w:ascii="Verdana" w:hAnsi="Verdana" w:cs="Arial"/>
          <w:i/>
          <w:spacing w:val="-12"/>
          <w:sz w:val="16"/>
          <w:szCs w:val="16"/>
          <w:lang w:val="es-ES"/>
        </w:rPr>
        <w:t xml:space="preserve"> Vs. Reino Unido</w:t>
      </w:r>
      <w:r w:rsidRPr="00E83441">
        <w:rPr>
          <w:rFonts w:ascii="Verdana" w:hAnsi="Verdana" w:cs="Arial"/>
          <w:spacing w:val="-12"/>
          <w:sz w:val="16"/>
          <w:szCs w:val="16"/>
          <w:lang w:val="es-ES"/>
        </w:rPr>
        <w:t>, (No.</w:t>
      </w:r>
      <w:r w:rsidRPr="00E83441">
        <w:rPr>
          <w:rFonts w:ascii="Verdana" w:hAnsi="Verdana"/>
          <w:spacing w:val="-12"/>
          <w:sz w:val="16"/>
          <w:szCs w:val="16"/>
        </w:rPr>
        <w:t xml:space="preserve"> </w:t>
      </w:r>
      <w:r w:rsidRPr="003D608E">
        <w:rPr>
          <w:rFonts w:ascii="Verdana" w:hAnsi="Verdana" w:cs="Arial"/>
          <w:spacing w:val="-12"/>
          <w:sz w:val="16"/>
          <w:szCs w:val="16"/>
          <w:lang w:val="es-ES"/>
        </w:rPr>
        <w:t xml:space="preserve">7819/77; 7878/77), Sentencia de 28 de junio de 1984, párr. 78, y TEDH, </w:t>
      </w:r>
      <w:proofErr w:type="spellStart"/>
      <w:r w:rsidRPr="008B6122">
        <w:rPr>
          <w:rFonts w:ascii="Verdana" w:hAnsi="Verdana" w:cs="Arial"/>
          <w:i/>
          <w:spacing w:val="-12"/>
          <w:sz w:val="16"/>
          <w:szCs w:val="16"/>
          <w:lang w:val="es-ES"/>
        </w:rPr>
        <w:t>Langborger</w:t>
      </w:r>
      <w:proofErr w:type="spellEnd"/>
      <w:r w:rsidRPr="008B6122">
        <w:rPr>
          <w:rFonts w:ascii="Verdana" w:hAnsi="Verdana" w:cs="Arial"/>
          <w:spacing w:val="-12"/>
          <w:sz w:val="16"/>
          <w:szCs w:val="16"/>
          <w:lang w:val="es-ES"/>
        </w:rPr>
        <w:t xml:space="preserve"> </w:t>
      </w:r>
      <w:r w:rsidRPr="008B6122">
        <w:rPr>
          <w:rFonts w:ascii="Verdana" w:hAnsi="Verdana" w:cs="Arial"/>
          <w:i/>
          <w:spacing w:val="-12"/>
          <w:sz w:val="16"/>
          <w:szCs w:val="16"/>
          <w:lang w:val="es-ES"/>
        </w:rPr>
        <w:t>Vs. Suecia</w:t>
      </w:r>
      <w:r w:rsidRPr="008B6122">
        <w:rPr>
          <w:rFonts w:ascii="Verdana" w:hAnsi="Verdana" w:cs="Arial"/>
          <w:spacing w:val="-12"/>
          <w:sz w:val="16"/>
          <w:szCs w:val="16"/>
          <w:lang w:val="es-ES"/>
        </w:rPr>
        <w:t>, (No.</w:t>
      </w:r>
      <w:r w:rsidRPr="008B6122">
        <w:rPr>
          <w:rFonts w:ascii="Verdana" w:hAnsi="Verdana"/>
          <w:spacing w:val="-12"/>
          <w:sz w:val="16"/>
          <w:szCs w:val="16"/>
        </w:rPr>
        <w:t xml:space="preserve"> </w:t>
      </w:r>
      <w:r w:rsidRPr="008B6122">
        <w:rPr>
          <w:rFonts w:ascii="Verdana" w:hAnsi="Verdana" w:cs="Arial"/>
          <w:spacing w:val="-12"/>
          <w:sz w:val="16"/>
          <w:szCs w:val="16"/>
          <w:lang w:val="es-ES"/>
        </w:rPr>
        <w:t xml:space="preserve">11179/84), Sentencia de 22 de junio de 1989, párr. </w:t>
      </w:r>
      <w:r w:rsidRPr="008B6122">
        <w:rPr>
          <w:rFonts w:ascii="Verdana" w:hAnsi="Verdana" w:cs="Arial"/>
          <w:spacing w:val="-12"/>
          <w:sz w:val="16"/>
          <w:szCs w:val="16"/>
        </w:rPr>
        <w:t xml:space="preserve">32. Asimismo, ver: Principios Básicos de las Naciones Unidas relativos a la Independencia de la Judicatura, adoptados por el Séptimo Congreso de las Naciones Unidas sobre Prevención del Delito y Tratamiento del Delincuente, celebrado en Milán del 26 de agosto al 6 de septiembre de 1985, y confirmados por la Asamblea General en </w:t>
      </w:r>
      <w:r w:rsidRPr="0012407E">
        <w:rPr>
          <w:rFonts w:ascii="Verdana" w:hAnsi="Verdana" w:cs="Arial"/>
          <w:spacing w:val="-12"/>
          <w:sz w:val="16"/>
          <w:szCs w:val="16"/>
        </w:rPr>
        <w:t>sus resoluciones 40/32 de 29 de noviembre de 1985 y 40/146 de 13 de diciembre de 1985,</w:t>
      </w:r>
      <w:r w:rsidRPr="0012407E">
        <w:rPr>
          <w:rFonts w:ascii="Verdana" w:hAnsi="Verdana" w:cs="Arial"/>
          <w:i/>
          <w:spacing w:val="-12"/>
          <w:sz w:val="16"/>
          <w:szCs w:val="16"/>
        </w:rPr>
        <w:t xml:space="preserve"> </w:t>
      </w:r>
      <w:r w:rsidRPr="0012407E">
        <w:rPr>
          <w:rFonts w:ascii="Verdana" w:hAnsi="Verdana" w:cs="Arial"/>
          <w:spacing w:val="-12"/>
          <w:sz w:val="16"/>
          <w:szCs w:val="16"/>
        </w:rPr>
        <w:t>principios 2, y 4</w:t>
      </w:r>
      <w:r>
        <w:rPr>
          <w:rFonts w:ascii="Verdana" w:hAnsi="Verdana" w:cs="Arial"/>
          <w:spacing w:val="-12"/>
          <w:sz w:val="16"/>
          <w:szCs w:val="16"/>
        </w:rPr>
        <w:t xml:space="preserve">, disponible en: </w:t>
      </w:r>
      <w:hyperlink r:id="rId34" w:history="1">
        <w:r w:rsidRPr="003D0772">
          <w:rPr>
            <w:rStyle w:val="Hyperlink"/>
            <w:rFonts w:ascii="Verdana" w:hAnsi="Verdana" w:cs="Arial"/>
            <w:spacing w:val="-12"/>
            <w:sz w:val="16"/>
            <w:szCs w:val="16"/>
          </w:rPr>
          <w:t>http://www.ohchr.org/SP/ProfessionalInterest/Pages/IndependenceJudiciary.aspx</w:t>
        </w:r>
      </w:hyperlink>
      <w:r w:rsidRPr="0012407E">
        <w:rPr>
          <w:rFonts w:ascii="Verdana" w:hAnsi="Verdana" w:cs="Arial"/>
          <w:spacing w:val="-12"/>
          <w:sz w:val="16"/>
          <w:szCs w:val="16"/>
        </w:rPr>
        <w:t>.</w:t>
      </w:r>
    </w:p>
  </w:footnote>
  <w:footnote w:id="255">
    <w:p w14:paraId="7FF15784" w14:textId="77777777" w:rsidR="00837BB9" w:rsidRPr="00872581" w:rsidRDefault="00837BB9" w:rsidP="008349B1">
      <w:pPr>
        <w:pStyle w:val="FootnoteText"/>
        <w:tabs>
          <w:tab w:val="left" w:pos="567"/>
        </w:tabs>
        <w:spacing w:before="120" w:after="120"/>
        <w:jc w:val="both"/>
        <w:rPr>
          <w:rFonts w:ascii="Verdana" w:hAnsi="Verdana"/>
          <w:spacing w:val="-12"/>
          <w:sz w:val="16"/>
          <w:szCs w:val="16"/>
        </w:rPr>
      </w:pPr>
      <w:r w:rsidRPr="00DA1032">
        <w:rPr>
          <w:rStyle w:val="FootnoteReference"/>
          <w:rFonts w:ascii="Verdana" w:hAnsi="Verdana"/>
          <w:spacing w:val="-12"/>
          <w:sz w:val="16"/>
          <w:szCs w:val="16"/>
        </w:rPr>
        <w:footnoteRef/>
      </w:r>
      <w:r w:rsidRPr="00DA1032">
        <w:rPr>
          <w:rFonts w:ascii="Verdana" w:hAnsi="Verdana"/>
          <w:spacing w:val="-12"/>
          <w:sz w:val="16"/>
          <w:szCs w:val="16"/>
        </w:rPr>
        <w:t xml:space="preserve"> </w:t>
      </w:r>
      <w:r w:rsidRPr="00DA1032">
        <w:rPr>
          <w:rFonts w:ascii="Verdana" w:hAnsi="Verdana"/>
          <w:spacing w:val="-12"/>
          <w:sz w:val="16"/>
          <w:szCs w:val="16"/>
        </w:rPr>
        <w:tab/>
      </w:r>
      <w:r w:rsidRPr="00872581">
        <w:rPr>
          <w:rFonts w:ascii="Verdana" w:hAnsi="Verdana"/>
          <w:i/>
          <w:spacing w:val="-12"/>
          <w:sz w:val="16"/>
          <w:szCs w:val="16"/>
        </w:rPr>
        <w:t xml:space="preserve">Cfr. Caso </w:t>
      </w:r>
      <w:proofErr w:type="spellStart"/>
      <w:r w:rsidRPr="00872581">
        <w:rPr>
          <w:rFonts w:ascii="Verdana" w:hAnsi="Verdana"/>
          <w:i/>
          <w:spacing w:val="-12"/>
          <w:sz w:val="16"/>
          <w:szCs w:val="16"/>
        </w:rPr>
        <w:t>Reverón</w:t>
      </w:r>
      <w:proofErr w:type="spellEnd"/>
      <w:r w:rsidRPr="00872581">
        <w:rPr>
          <w:rFonts w:ascii="Verdana" w:hAnsi="Verdana"/>
          <w:i/>
          <w:spacing w:val="-12"/>
          <w:sz w:val="16"/>
          <w:szCs w:val="16"/>
        </w:rPr>
        <w:t xml:space="preserve"> Trujillo Vs. Venezuela</w:t>
      </w:r>
      <w:r w:rsidRPr="00FC1D38">
        <w:rPr>
          <w:rFonts w:ascii="Verdana" w:hAnsi="Verdana"/>
          <w:i/>
          <w:spacing w:val="-12"/>
          <w:sz w:val="16"/>
          <w:szCs w:val="16"/>
          <w:lang w:val="es-VE"/>
        </w:rPr>
        <w:t>. Excepción Preliminar, Fondo, Reparaciones y Costas</w:t>
      </w:r>
      <w:r w:rsidRPr="0039667B">
        <w:rPr>
          <w:rFonts w:ascii="Verdana" w:hAnsi="Verdana"/>
          <w:spacing w:val="-12"/>
          <w:sz w:val="16"/>
          <w:szCs w:val="16"/>
          <w:lang w:val="es-VE"/>
        </w:rPr>
        <w:t>. Sentencia de 30 de junio de 2009. Serie C No. 197</w:t>
      </w:r>
      <w:r w:rsidRPr="00DA1032">
        <w:rPr>
          <w:rFonts w:ascii="Verdana" w:hAnsi="Verdana"/>
          <w:spacing w:val="-12"/>
          <w:sz w:val="16"/>
          <w:szCs w:val="16"/>
        </w:rPr>
        <w:t xml:space="preserve">, párr. 146, y </w:t>
      </w:r>
      <w:r w:rsidRPr="00872581">
        <w:rPr>
          <w:rFonts w:ascii="Verdana" w:hAnsi="Verdana"/>
          <w:i/>
          <w:spacing w:val="-12"/>
          <w:sz w:val="16"/>
          <w:szCs w:val="16"/>
        </w:rPr>
        <w:t xml:space="preserve">Caso </w:t>
      </w:r>
      <w:proofErr w:type="spellStart"/>
      <w:r w:rsidRPr="00872581">
        <w:rPr>
          <w:rFonts w:ascii="Verdana" w:hAnsi="Verdana"/>
          <w:i/>
          <w:spacing w:val="-12"/>
          <w:sz w:val="16"/>
          <w:szCs w:val="16"/>
        </w:rPr>
        <w:t>Atala</w:t>
      </w:r>
      <w:proofErr w:type="spellEnd"/>
      <w:r w:rsidRPr="00872581">
        <w:rPr>
          <w:rFonts w:ascii="Verdana" w:hAnsi="Verdana"/>
          <w:i/>
          <w:spacing w:val="-12"/>
          <w:sz w:val="16"/>
          <w:szCs w:val="16"/>
        </w:rPr>
        <w:t xml:space="preserve"> </w:t>
      </w:r>
      <w:proofErr w:type="spellStart"/>
      <w:r w:rsidRPr="00872581">
        <w:rPr>
          <w:rFonts w:ascii="Verdana" w:hAnsi="Verdana"/>
          <w:i/>
          <w:spacing w:val="-12"/>
          <w:sz w:val="16"/>
          <w:szCs w:val="16"/>
        </w:rPr>
        <w:t>Riffo</w:t>
      </w:r>
      <w:proofErr w:type="spellEnd"/>
      <w:r w:rsidRPr="00872581">
        <w:rPr>
          <w:rFonts w:ascii="Verdana" w:hAnsi="Verdana"/>
          <w:i/>
          <w:spacing w:val="-12"/>
          <w:sz w:val="16"/>
          <w:szCs w:val="16"/>
        </w:rPr>
        <w:t xml:space="preserve"> y Niñas Vs. Chile</w:t>
      </w:r>
      <w:r w:rsidRPr="00872581">
        <w:rPr>
          <w:rFonts w:ascii="Verdana" w:hAnsi="Verdana"/>
          <w:spacing w:val="-12"/>
          <w:sz w:val="16"/>
          <w:szCs w:val="16"/>
        </w:rPr>
        <w:t xml:space="preserve">, </w:t>
      </w:r>
      <w:r>
        <w:rPr>
          <w:rFonts w:ascii="Verdana" w:hAnsi="Verdana"/>
          <w:i/>
          <w:spacing w:val="-12"/>
          <w:sz w:val="16"/>
          <w:szCs w:val="16"/>
        </w:rPr>
        <w:t>supra</w:t>
      </w:r>
      <w:r w:rsidRPr="007C51D0">
        <w:rPr>
          <w:rFonts w:ascii="Verdana" w:hAnsi="Verdana"/>
          <w:spacing w:val="-12"/>
          <w:sz w:val="16"/>
          <w:szCs w:val="16"/>
        </w:rPr>
        <w:t>,</w:t>
      </w:r>
      <w:r>
        <w:rPr>
          <w:rFonts w:ascii="Verdana" w:hAnsi="Verdana"/>
          <w:i/>
          <w:spacing w:val="-12"/>
          <w:sz w:val="16"/>
          <w:szCs w:val="16"/>
        </w:rPr>
        <w:t xml:space="preserve"> </w:t>
      </w:r>
      <w:r w:rsidRPr="00872581">
        <w:rPr>
          <w:rFonts w:ascii="Verdana" w:hAnsi="Verdana"/>
          <w:spacing w:val="-12"/>
          <w:sz w:val="16"/>
          <w:szCs w:val="16"/>
        </w:rPr>
        <w:t>párr. 186.</w:t>
      </w:r>
    </w:p>
  </w:footnote>
  <w:footnote w:id="256">
    <w:p w14:paraId="68B752E5" w14:textId="6942B979" w:rsidR="00837BB9" w:rsidRPr="003731F3" w:rsidRDefault="00837BB9" w:rsidP="008349B1">
      <w:pPr>
        <w:pStyle w:val="FootnoteText"/>
        <w:spacing w:after="120"/>
        <w:jc w:val="both"/>
        <w:rPr>
          <w:rFonts w:ascii="Verdana" w:hAnsi="Verdana"/>
          <w:sz w:val="16"/>
          <w:szCs w:val="16"/>
        </w:rPr>
      </w:pPr>
      <w:r w:rsidRPr="00551E94">
        <w:rPr>
          <w:rStyle w:val="FootnoteReference"/>
          <w:rFonts w:ascii="Verdana" w:hAnsi="Verdana"/>
          <w:sz w:val="16"/>
          <w:szCs w:val="16"/>
        </w:rPr>
        <w:footnoteRef/>
      </w:r>
      <w:r w:rsidRPr="00551E94">
        <w:rPr>
          <w:rFonts w:ascii="Verdana" w:hAnsi="Verdana"/>
          <w:sz w:val="16"/>
          <w:szCs w:val="16"/>
        </w:rPr>
        <w:t xml:space="preserve"> </w:t>
      </w:r>
      <w:r w:rsidRPr="003731F3">
        <w:rPr>
          <w:rFonts w:ascii="Verdana" w:hAnsi="Verdana"/>
          <w:bCs/>
          <w:i/>
          <w:spacing w:val="-12"/>
          <w:sz w:val="16"/>
          <w:szCs w:val="16"/>
          <w:lang w:val="es-CR"/>
        </w:rPr>
        <w:tab/>
        <w:t xml:space="preserve"> Cfr.</w:t>
      </w:r>
      <w:r w:rsidRPr="003731F3" w:rsidDel="00F54556">
        <w:rPr>
          <w:rFonts w:ascii="Verdana" w:hAnsi="Verdana"/>
          <w:bCs/>
          <w:i/>
          <w:spacing w:val="-12"/>
          <w:sz w:val="16"/>
          <w:szCs w:val="16"/>
          <w:lang w:val="es-CR"/>
        </w:rPr>
        <w:t xml:space="preserve"> </w:t>
      </w:r>
      <w:r w:rsidRPr="002A6670">
        <w:rPr>
          <w:rFonts w:ascii="Verdana" w:hAnsi="Verdana"/>
          <w:bCs/>
          <w:spacing w:val="-12"/>
          <w:sz w:val="16"/>
          <w:szCs w:val="16"/>
          <w:lang w:val="es-CR"/>
        </w:rPr>
        <w:t>Opinión Consultiva OC–9/87</w:t>
      </w:r>
      <w:r w:rsidRPr="003731F3">
        <w:rPr>
          <w:rFonts w:ascii="Verdana" w:hAnsi="Verdana"/>
          <w:bCs/>
          <w:i/>
          <w:spacing w:val="-12"/>
          <w:sz w:val="16"/>
          <w:szCs w:val="16"/>
          <w:lang w:val="es-CR"/>
        </w:rPr>
        <w:t xml:space="preserve">, supra, </w:t>
      </w:r>
      <w:r w:rsidRPr="003731F3">
        <w:rPr>
          <w:rFonts w:ascii="Verdana" w:hAnsi="Verdana"/>
          <w:bCs/>
          <w:spacing w:val="-12"/>
          <w:sz w:val="16"/>
          <w:szCs w:val="16"/>
          <w:lang w:val="es-CR"/>
        </w:rPr>
        <w:t>párr. 24</w:t>
      </w:r>
      <w:r>
        <w:rPr>
          <w:rFonts w:ascii="Verdana" w:hAnsi="Verdana"/>
          <w:bCs/>
          <w:spacing w:val="-12"/>
          <w:sz w:val="16"/>
          <w:szCs w:val="16"/>
          <w:lang w:val="es-CR"/>
        </w:rPr>
        <w:t>; y</w:t>
      </w:r>
      <w:r w:rsidRPr="002A6670">
        <w:rPr>
          <w:rFonts w:ascii="Verdana" w:hAnsi="Verdana"/>
          <w:bCs/>
          <w:i/>
          <w:spacing w:val="-12"/>
          <w:sz w:val="16"/>
          <w:szCs w:val="16"/>
          <w:lang w:val="es-VE"/>
        </w:rPr>
        <w:t xml:space="preserve">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154</w:t>
      </w:r>
      <w:r w:rsidRPr="003731F3">
        <w:rPr>
          <w:rFonts w:ascii="Verdana" w:hAnsi="Verdana"/>
          <w:bCs/>
          <w:spacing w:val="-12"/>
          <w:sz w:val="16"/>
          <w:szCs w:val="16"/>
          <w:lang w:val="es-CR"/>
        </w:rPr>
        <w:t>.</w:t>
      </w:r>
    </w:p>
  </w:footnote>
  <w:footnote w:id="257">
    <w:p w14:paraId="5BF4036A" w14:textId="77777777" w:rsidR="00837BB9" w:rsidRPr="007C51D0" w:rsidRDefault="00837BB9" w:rsidP="008349B1">
      <w:pPr>
        <w:pStyle w:val="FootnoteText"/>
        <w:spacing w:before="120" w:after="120"/>
        <w:jc w:val="both"/>
        <w:rPr>
          <w:rFonts w:ascii="Verdana" w:hAnsi="Verdana"/>
          <w:i/>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i/>
          <w:spacing w:val="-12"/>
          <w:sz w:val="16"/>
          <w:szCs w:val="16"/>
        </w:rPr>
        <w:tab/>
      </w:r>
      <w:r>
        <w:rPr>
          <w:rFonts w:ascii="Verdana" w:hAnsi="Verdana"/>
          <w:i/>
          <w:spacing w:val="-12"/>
          <w:sz w:val="16"/>
          <w:szCs w:val="16"/>
        </w:rPr>
        <w:t xml:space="preserve">Cfr., </w:t>
      </w:r>
      <w:r w:rsidRPr="007C51D0">
        <w:rPr>
          <w:rFonts w:ascii="Verdana" w:hAnsi="Verdana"/>
          <w:bCs/>
          <w:i/>
          <w:spacing w:val="-12"/>
          <w:sz w:val="16"/>
          <w:szCs w:val="16"/>
          <w:lang w:val="es-CR"/>
        </w:rPr>
        <w:t xml:space="preserve">Caso </w:t>
      </w:r>
      <w:proofErr w:type="spellStart"/>
      <w:r w:rsidRPr="007C51D0">
        <w:rPr>
          <w:rFonts w:ascii="Verdana" w:hAnsi="Verdana"/>
          <w:bCs/>
          <w:i/>
          <w:spacing w:val="-12"/>
          <w:sz w:val="16"/>
          <w:szCs w:val="16"/>
          <w:lang w:val="es-CR"/>
        </w:rPr>
        <w:t>Granier</w:t>
      </w:r>
      <w:proofErr w:type="spellEnd"/>
      <w:r w:rsidRPr="007C51D0">
        <w:rPr>
          <w:rFonts w:ascii="Verdana" w:hAnsi="Verdana"/>
          <w:bCs/>
          <w:i/>
          <w:spacing w:val="-12"/>
          <w:sz w:val="16"/>
          <w:szCs w:val="16"/>
          <w:lang w:val="es-CR"/>
        </w:rPr>
        <w:t xml:space="preserve"> Y Otros (</w:t>
      </w:r>
      <w:r w:rsidRPr="007C51D0">
        <w:rPr>
          <w:rFonts w:ascii="Verdana" w:hAnsi="Verdana"/>
          <w:bCs/>
          <w:i/>
          <w:iCs/>
          <w:spacing w:val="-12"/>
          <w:sz w:val="16"/>
          <w:szCs w:val="16"/>
          <w:lang w:val="es-CR"/>
        </w:rPr>
        <w:t>Radio Caracas Televisión) Vs</w:t>
      </w:r>
      <w:r w:rsidRPr="007C51D0">
        <w:rPr>
          <w:rFonts w:ascii="Verdana" w:hAnsi="Verdana"/>
          <w:bCs/>
          <w:i/>
          <w:spacing w:val="-12"/>
          <w:sz w:val="16"/>
          <w:szCs w:val="16"/>
          <w:lang w:val="es-CR"/>
        </w:rPr>
        <w:t>. Venezuel</w:t>
      </w:r>
      <w:r>
        <w:rPr>
          <w:rFonts w:ascii="Verdana" w:hAnsi="Verdana"/>
          <w:bCs/>
          <w:i/>
          <w:spacing w:val="-12"/>
          <w:sz w:val="16"/>
          <w:szCs w:val="16"/>
          <w:lang w:val="es-CR"/>
        </w:rPr>
        <w:t>a, supra,</w:t>
      </w:r>
      <w:r w:rsidRPr="00C7142E">
        <w:rPr>
          <w:rFonts w:ascii="Verdana" w:hAnsi="Verdana"/>
          <w:b/>
          <w:bCs/>
          <w:i/>
          <w:spacing w:val="-12"/>
          <w:sz w:val="16"/>
          <w:szCs w:val="16"/>
          <w:lang w:val="es-CR"/>
        </w:rPr>
        <w:t xml:space="preserve"> </w:t>
      </w:r>
      <w:r>
        <w:rPr>
          <w:rFonts w:ascii="Verdana" w:hAnsi="Verdana"/>
          <w:spacing w:val="-12"/>
          <w:sz w:val="16"/>
          <w:szCs w:val="16"/>
        </w:rPr>
        <w:t xml:space="preserve">párr. </w:t>
      </w:r>
      <w:r w:rsidRPr="007C51D0">
        <w:rPr>
          <w:rFonts w:ascii="Verdana" w:hAnsi="Verdana"/>
          <w:spacing w:val="-12"/>
          <w:sz w:val="16"/>
          <w:szCs w:val="16"/>
        </w:rPr>
        <w:t>278</w:t>
      </w:r>
      <w:r>
        <w:rPr>
          <w:rFonts w:ascii="Verdana" w:hAnsi="Verdana"/>
          <w:i/>
          <w:spacing w:val="-12"/>
          <w:sz w:val="16"/>
          <w:szCs w:val="16"/>
        </w:rPr>
        <w:t>.</w:t>
      </w:r>
    </w:p>
  </w:footnote>
  <w:footnote w:id="258">
    <w:p w14:paraId="3B33ECC0" w14:textId="77777777" w:rsidR="00837BB9" w:rsidRPr="007C51D0" w:rsidRDefault="00837BB9" w:rsidP="008349B1">
      <w:pPr>
        <w:pStyle w:val="FootnoteText"/>
        <w:spacing w:before="120" w:after="120"/>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7C51D0">
        <w:rPr>
          <w:rFonts w:ascii="Verdana" w:hAnsi="Verdana"/>
          <w:sz w:val="16"/>
          <w:szCs w:val="16"/>
          <w:lang w:val="es-CR"/>
        </w:rPr>
        <w:tab/>
      </w:r>
      <w:r w:rsidRPr="00CF3AED">
        <w:rPr>
          <w:rFonts w:ascii="Verdana" w:hAnsi="Verdana"/>
          <w:i/>
          <w:spacing w:val="-12"/>
          <w:sz w:val="16"/>
          <w:szCs w:val="16"/>
          <w:lang w:val="es-VE"/>
        </w:rPr>
        <w:t>Cfr.</w:t>
      </w:r>
      <w:r w:rsidRPr="00CF3AED">
        <w:rPr>
          <w:rFonts w:ascii="Verdana" w:hAnsi="Verdana"/>
          <w:spacing w:val="-12"/>
          <w:sz w:val="16"/>
          <w:szCs w:val="16"/>
          <w:lang w:val="es-VE"/>
        </w:rPr>
        <w:t xml:space="preserve"> </w:t>
      </w:r>
      <w:r w:rsidRPr="00CF3AED">
        <w:rPr>
          <w:rFonts w:ascii="Verdana" w:hAnsi="Verdana"/>
          <w:i/>
          <w:spacing w:val="-12"/>
          <w:sz w:val="16"/>
          <w:szCs w:val="16"/>
          <w:lang w:val="es-VE"/>
        </w:rPr>
        <w:t xml:space="preserve">Caso </w:t>
      </w:r>
      <w:proofErr w:type="spellStart"/>
      <w:r w:rsidRPr="00CF3AED">
        <w:rPr>
          <w:rFonts w:ascii="Verdana" w:hAnsi="Verdana"/>
          <w:i/>
          <w:spacing w:val="-12"/>
          <w:sz w:val="16"/>
          <w:szCs w:val="16"/>
          <w:lang w:val="es-VE"/>
        </w:rPr>
        <w:t>Chocrón</w:t>
      </w:r>
      <w:proofErr w:type="spellEnd"/>
      <w:r w:rsidRPr="00CF3AED">
        <w:rPr>
          <w:rFonts w:ascii="Verdana" w:hAnsi="Verdana"/>
          <w:i/>
          <w:spacing w:val="-12"/>
          <w:sz w:val="16"/>
          <w:szCs w:val="16"/>
          <w:lang w:val="es-VE"/>
        </w:rPr>
        <w:t xml:space="preserve"> </w:t>
      </w:r>
      <w:proofErr w:type="spellStart"/>
      <w:r w:rsidRPr="00CF3AED">
        <w:rPr>
          <w:rFonts w:ascii="Verdana" w:hAnsi="Verdana"/>
          <w:i/>
          <w:spacing w:val="-12"/>
          <w:sz w:val="16"/>
          <w:szCs w:val="16"/>
          <w:lang w:val="es-VE"/>
        </w:rPr>
        <w:t>Chocrón</w:t>
      </w:r>
      <w:proofErr w:type="spellEnd"/>
      <w:r w:rsidRPr="00CF3AED">
        <w:rPr>
          <w:rFonts w:ascii="Verdana" w:hAnsi="Verdana"/>
          <w:i/>
          <w:spacing w:val="-12"/>
          <w:sz w:val="16"/>
          <w:szCs w:val="16"/>
          <w:lang w:val="es-VE"/>
        </w:rPr>
        <w:t xml:space="preserve"> Vs. Venezuela</w:t>
      </w:r>
      <w:r w:rsidRPr="006203B0">
        <w:rPr>
          <w:rFonts w:ascii="Verdana" w:hAnsi="Verdana"/>
          <w:spacing w:val="-12"/>
          <w:sz w:val="16"/>
          <w:szCs w:val="16"/>
          <w:lang w:val="es-VE"/>
        </w:rPr>
        <w:t xml:space="preserve">, </w:t>
      </w:r>
      <w:r>
        <w:rPr>
          <w:rFonts w:ascii="Verdana" w:hAnsi="Verdana"/>
          <w:i/>
          <w:spacing w:val="-12"/>
          <w:sz w:val="16"/>
          <w:szCs w:val="16"/>
          <w:lang w:val="es-VE"/>
        </w:rPr>
        <w:t xml:space="preserve">supra, </w:t>
      </w:r>
      <w:proofErr w:type="spellStart"/>
      <w:r w:rsidRPr="006203B0">
        <w:rPr>
          <w:rFonts w:ascii="Verdana" w:hAnsi="Verdana"/>
          <w:spacing w:val="-12"/>
          <w:sz w:val="16"/>
          <w:szCs w:val="16"/>
          <w:lang w:val="es-VE"/>
        </w:rPr>
        <w:t>párrs</w:t>
      </w:r>
      <w:proofErr w:type="spellEnd"/>
      <w:r w:rsidRPr="006203B0">
        <w:rPr>
          <w:rFonts w:ascii="Verdana" w:hAnsi="Verdana"/>
          <w:spacing w:val="-12"/>
          <w:sz w:val="16"/>
          <w:szCs w:val="16"/>
          <w:lang w:val="es-VE"/>
        </w:rPr>
        <w:t xml:space="preserve">. 108 a 172; </w:t>
      </w:r>
      <w:r w:rsidRPr="00FC1D38">
        <w:rPr>
          <w:rFonts w:ascii="Verdana" w:hAnsi="Verdana"/>
          <w:i/>
          <w:spacing w:val="-12"/>
          <w:sz w:val="16"/>
          <w:szCs w:val="16"/>
          <w:lang w:val="es-VE"/>
        </w:rPr>
        <w:t xml:space="preserve">Caso </w:t>
      </w:r>
      <w:proofErr w:type="spellStart"/>
      <w:r w:rsidRPr="00FC1D38">
        <w:rPr>
          <w:rFonts w:ascii="Verdana" w:hAnsi="Verdana"/>
          <w:i/>
          <w:spacing w:val="-12"/>
          <w:sz w:val="16"/>
          <w:szCs w:val="16"/>
          <w:lang w:val="es-VE"/>
        </w:rPr>
        <w:t>Reverón</w:t>
      </w:r>
      <w:proofErr w:type="spellEnd"/>
      <w:r w:rsidRPr="00FC1D38">
        <w:rPr>
          <w:rFonts w:ascii="Verdana" w:hAnsi="Verdana"/>
          <w:i/>
          <w:spacing w:val="-12"/>
          <w:sz w:val="16"/>
          <w:szCs w:val="16"/>
          <w:lang w:val="es-VE"/>
        </w:rPr>
        <w:t xml:space="preserve"> Trujillo Vs. Venezuela</w:t>
      </w:r>
      <w:r w:rsidRPr="0039667B">
        <w:rPr>
          <w:rFonts w:ascii="Verdana" w:hAnsi="Verdana"/>
          <w:spacing w:val="-12"/>
          <w:sz w:val="16"/>
          <w:szCs w:val="16"/>
          <w:lang w:val="es-VE"/>
        </w:rPr>
        <w:t>,</w:t>
      </w:r>
      <w:r>
        <w:rPr>
          <w:rFonts w:ascii="Verdana" w:hAnsi="Verdana"/>
          <w:spacing w:val="-12"/>
          <w:sz w:val="16"/>
          <w:szCs w:val="16"/>
          <w:lang w:val="es-VE"/>
        </w:rPr>
        <w:t xml:space="preserve"> </w:t>
      </w:r>
      <w:r>
        <w:rPr>
          <w:rFonts w:ascii="Verdana" w:hAnsi="Verdana"/>
          <w:i/>
          <w:spacing w:val="-12"/>
          <w:sz w:val="16"/>
          <w:szCs w:val="16"/>
          <w:lang w:val="es-VE"/>
        </w:rPr>
        <w:t>supra</w:t>
      </w:r>
      <w:r>
        <w:rPr>
          <w:rFonts w:ascii="Verdana" w:hAnsi="Verdana"/>
          <w:spacing w:val="-12"/>
          <w:sz w:val="16"/>
          <w:szCs w:val="16"/>
          <w:lang w:val="es-VE"/>
        </w:rPr>
        <w:t>,</w:t>
      </w:r>
      <w:r w:rsidRPr="0039667B">
        <w:rPr>
          <w:rFonts w:ascii="Verdana" w:hAnsi="Verdana"/>
          <w:spacing w:val="-12"/>
          <w:sz w:val="16"/>
          <w:szCs w:val="16"/>
          <w:lang w:val="es-VE"/>
        </w:rPr>
        <w:t xml:space="preserve"> </w:t>
      </w:r>
      <w:proofErr w:type="spellStart"/>
      <w:r w:rsidRPr="0039667B">
        <w:rPr>
          <w:rFonts w:ascii="Verdana" w:hAnsi="Verdana"/>
          <w:spacing w:val="-12"/>
          <w:sz w:val="16"/>
          <w:szCs w:val="16"/>
          <w:lang w:val="es-VE"/>
        </w:rPr>
        <w:t>párrs</w:t>
      </w:r>
      <w:proofErr w:type="spellEnd"/>
      <w:r w:rsidRPr="0039667B">
        <w:rPr>
          <w:rFonts w:ascii="Verdana" w:hAnsi="Verdana"/>
          <w:spacing w:val="-12"/>
          <w:sz w:val="16"/>
          <w:szCs w:val="16"/>
          <w:lang w:val="es-VE"/>
        </w:rPr>
        <w:t xml:space="preserve">. 99 a 127; </w:t>
      </w:r>
      <w:r w:rsidRPr="000536CF">
        <w:rPr>
          <w:rFonts w:ascii="Verdana" w:hAnsi="Verdana"/>
          <w:i/>
          <w:spacing w:val="-12"/>
          <w:sz w:val="16"/>
          <w:szCs w:val="16"/>
          <w:lang w:val="es-VE"/>
        </w:rPr>
        <w:t xml:space="preserve">Caso </w:t>
      </w:r>
      <w:proofErr w:type="spellStart"/>
      <w:r w:rsidRPr="000536CF">
        <w:rPr>
          <w:rFonts w:ascii="Verdana" w:hAnsi="Verdana"/>
          <w:i/>
          <w:spacing w:val="-12"/>
          <w:sz w:val="16"/>
          <w:szCs w:val="16"/>
          <w:lang w:val="es-VE"/>
        </w:rPr>
        <w:t>Apitz</w:t>
      </w:r>
      <w:proofErr w:type="spellEnd"/>
      <w:r w:rsidRPr="000536CF">
        <w:rPr>
          <w:rFonts w:ascii="Verdana" w:hAnsi="Verdana"/>
          <w:i/>
          <w:spacing w:val="-12"/>
          <w:sz w:val="16"/>
          <w:szCs w:val="16"/>
          <w:lang w:val="es-VE"/>
        </w:rPr>
        <w:t xml:space="preserve"> Barbera y otros (“Corte Primera de lo Contencioso Administrativo”) Vs. Venezuela</w:t>
      </w:r>
      <w:r w:rsidRPr="000536CF">
        <w:rPr>
          <w:rFonts w:ascii="Verdana" w:hAnsi="Verdana"/>
          <w:spacing w:val="-12"/>
          <w:sz w:val="16"/>
          <w:szCs w:val="16"/>
          <w:lang w:val="es-VE"/>
        </w:rPr>
        <w:t xml:space="preserve">, </w:t>
      </w:r>
      <w:r>
        <w:rPr>
          <w:rFonts w:ascii="Verdana" w:hAnsi="Verdana"/>
          <w:i/>
          <w:spacing w:val="-12"/>
          <w:sz w:val="16"/>
          <w:szCs w:val="16"/>
          <w:lang w:val="es-VE"/>
        </w:rPr>
        <w:t xml:space="preserve">supra, </w:t>
      </w:r>
      <w:proofErr w:type="spellStart"/>
      <w:r w:rsidRPr="000536CF">
        <w:rPr>
          <w:rFonts w:ascii="Verdana" w:hAnsi="Verdana"/>
          <w:spacing w:val="-12"/>
          <w:sz w:val="16"/>
          <w:szCs w:val="16"/>
          <w:lang w:val="es-VE"/>
        </w:rPr>
        <w:t>párrs</w:t>
      </w:r>
      <w:proofErr w:type="spellEnd"/>
      <w:r w:rsidRPr="000536CF">
        <w:rPr>
          <w:rFonts w:ascii="Verdana" w:hAnsi="Verdana"/>
          <w:spacing w:val="-12"/>
          <w:sz w:val="16"/>
          <w:szCs w:val="16"/>
          <w:lang w:val="es-VE"/>
        </w:rPr>
        <w:t>. 55 a 67, 132 a 148 y 253</w:t>
      </w:r>
      <w:r>
        <w:rPr>
          <w:rFonts w:ascii="Verdana" w:hAnsi="Verdana"/>
          <w:spacing w:val="-12"/>
          <w:sz w:val="16"/>
          <w:szCs w:val="16"/>
          <w:lang w:val="es-VE"/>
        </w:rPr>
        <w:t>.</w:t>
      </w:r>
    </w:p>
  </w:footnote>
  <w:footnote w:id="259">
    <w:p w14:paraId="0487A956" w14:textId="3E7FFBC5" w:rsidR="00837BB9" w:rsidRPr="003731F3" w:rsidRDefault="00837BB9" w:rsidP="008349B1">
      <w:pPr>
        <w:pStyle w:val="FootnoteText"/>
        <w:spacing w:before="120" w:after="120"/>
        <w:jc w:val="both"/>
        <w:rPr>
          <w:rFonts w:ascii="Verdana" w:hAnsi="Verdana"/>
          <w:spacing w:val="-12"/>
          <w:sz w:val="16"/>
          <w:szCs w:val="16"/>
          <w:lang w:val="es-VE"/>
        </w:rPr>
      </w:pPr>
      <w:r w:rsidRPr="00517952">
        <w:rPr>
          <w:rStyle w:val="FootnoteReference"/>
          <w:sz w:val="16"/>
        </w:rPr>
        <w:footnoteRef/>
      </w:r>
      <w:r w:rsidRPr="00517952">
        <w:rPr>
          <w:lang w:val="es-CR"/>
        </w:rPr>
        <w:t xml:space="preserve"> </w:t>
      </w:r>
      <w:r w:rsidRPr="00517952">
        <w:rPr>
          <w:lang w:val="es-CR"/>
        </w:rPr>
        <w:tab/>
      </w:r>
      <w:r>
        <w:rPr>
          <w:rFonts w:ascii="Verdana" w:hAnsi="Verdana"/>
          <w:spacing w:val="-12"/>
          <w:sz w:val="16"/>
          <w:szCs w:val="16"/>
          <w:lang w:val="es-VE"/>
        </w:rPr>
        <w:t>Artículo 26:</w:t>
      </w:r>
      <w:r w:rsidRPr="003731F3">
        <w:rPr>
          <w:rFonts w:ascii="Verdana" w:hAnsi="Verdana"/>
          <w:spacing w:val="-12"/>
          <w:sz w:val="16"/>
          <w:szCs w:val="16"/>
          <w:lang w:val="es-VE"/>
        </w:rPr>
        <w:t xml:space="preserve"> </w:t>
      </w:r>
      <w:r>
        <w:rPr>
          <w:rFonts w:ascii="Verdana" w:hAnsi="Verdana"/>
          <w:spacing w:val="-12"/>
          <w:sz w:val="16"/>
          <w:szCs w:val="16"/>
          <w:lang w:val="es-VE"/>
        </w:rPr>
        <w:t>“</w:t>
      </w:r>
      <w:r w:rsidRPr="003731F3">
        <w:rPr>
          <w:rFonts w:ascii="Verdana" w:hAnsi="Verdana"/>
          <w:spacing w:val="-12"/>
          <w:sz w:val="16"/>
          <w:szCs w:val="16"/>
          <w:lang w:val="es-VE"/>
        </w:rPr>
        <w:t>Desarrollo Progresivo. 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w:t>
      </w:r>
      <w:r>
        <w:rPr>
          <w:rFonts w:ascii="Verdana" w:hAnsi="Verdana"/>
          <w:spacing w:val="-12"/>
          <w:sz w:val="16"/>
          <w:szCs w:val="16"/>
          <w:lang w:val="es-VE"/>
        </w:rPr>
        <w:t>tiva u otros medios apropiados”</w:t>
      </w:r>
      <w:r w:rsidRPr="003731F3">
        <w:rPr>
          <w:rFonts w:ascii="Verdana" w:hAnsi="Verdana"/>
          <w:spacing w:val="-12"/>
          <w:sz w:val="16"/>
          <w:szCs w:val="16"/>
          <w:lang w:val="es-VE"/>
        </w:rPr>
        <w:t>.</w:t>
      </w:r>
    </w:p>
  </w:footnote>
  <w:footnote w:id="260">
    <w:p w14:paraId="2196B0E8" w14:textId="5AC43E76" w:rsidR="00837BB9" w:rsidRPr="00D74DEB" w:rsidRDefault="00837BB9" w:rsidP="008349B1">
      <w:pPr>
        <w:pStyle w:val="FootnoteText"/>
        <w:spacing w:before="120" w:after="120"/>
        <w:jc w:val="both"/>
        <w:rPr>
          <w:lang w:val="es-ES_tradnl"/>
        </w:rPr>
      </w:pPr>
      <w:r w:rsidRPr="004710F2">
        <w:rPr>
          <w:rStyle w:val="FootnoteReference"/>
          <w:rFonts w:ascii="Verdana" w:hAnsi="Verdana"/>
          <w:sz w:val="16"/>
          <w:szCs w:val="16"/>
        </w:rPr>
        <w:footnoteRef/>
      </w:r>
      <w:r>
        <w:rPr>
          <w:rFonts w:ascii="Verdana" w:hAnsi="Verdana"/>
          <w:spacing w:val="-12"/>
          <w:sz w:val="16"/>
          <w:szCs w:val="16"/>
          <w:lang w:val="es-VE"/>
        </w:rPr>
        <w:t xml:space="preserve"> </w:t>
      </w:r>
      <w:r>
        <w:rPr>
          <w:rFonts w:ascii="Verdana" w:hAnsi="Verdana"/>
          <w:spacing w:val="-12"/>
          <w:sz w:val="16"/>
          <w:szCs w:val="16"/>
          <w:lang w:val="es-VE"/>
        </w:rPr>
        <w:tab/>
      </w:r>
      <w:r w:rsidRPr="003731F3">
        <w:rPr>
          <w:rFonts w:ascii="Verdana" w:hAnsi="Verdana"/>
          <w:i/>
          <w:spacing w:val="-12"/>
          <w:sz w:val="16"/>
          <w:szCs w:val="16"/>
          <w:lang w:val="es-VE"/>
        </w:rPr>
        <w:t xml:space="preserve">Cfr. Caso </w:t>
      </w:r>
      <w:r>
        <w:rPr>
          <w:rFonts w:ascii="Verdana" w:hAnsi="Verdana"/>
          <w:bCs/>
          <w:i/>
          <w:spacing w:val="-12"/>
          <w:sz w:val="16"/>
          <w:szCs w:val="16"/>
          <w:lang w:val="es-VE"/>
        </w:rPr>
        <w:t>Lagos del Campo Vs. Perú</w:t>
      </w:r>
      <w:r w:rsidRPr="003731F3">
        <w:rPr>
          <w:rFonts w:ascii="Verdana" w:hAnsi="Verdana"/>
          <w:bCs/>
          <w:spacing w:val="-12"/>
          <w:sz w:val="16"/>
          <w:szCs w:val="16"/>
          <w:lang w:val="es-VE"/>
        </w:rPr>
        <w:t>,</w:t>
      </w:r>
      <w:r>
        <w:rPr>
          <w:rFonts w:ascii="Verdana" w:hAnsi="Verdana"/>
          <w:bCs/>
          <w:spacing w:val="-12"/>
          <w:sz w:val="16"/>
          <w:szCs w:val="16"/>
          <w:lang w:val="es-VE"/>
        </w:rPr>
        <w:t xml:space="preserve"> </w:t>
      </w:r>
      <w:r>
        <w:rPr>
          <w:rFonts w:ascii="Verdana" w:hAnsi="Verdana"/>
          <w:bCs/>
          <w:i/>
          <w:spacing w:val="-12"/>
          <w:sz w:val="16"/>
          <w:szCs w:val="16"/>
          <w:lang w:val="es-VE"/>
        </w:rPr>
        <w:t>supra</w:t>
      </w:r>
      <w:r>
        <w:rPr>
          <w:rFonts w:ascii="Verdana" w:hAnsi="Verdana"/>
          <w:bCs/>
          <w:spacing w:val="-12"/>
          <w:sz w:val="16"/>
          <w:szCs w:val="16"/>
          <w:lang w:val="es-VE"/>
        </w:rPr>
        <w:t>,</w:t>
      </w:r>
      <w:r w:rsidRPr="003731F3">
        <w:rPr>
          <w:rFonts w:ascii="Verdana" w:hAnsi="Verdana"/>
          <w:bCs/>
          <w:spacing w:val="-12"/>
          <w:sz w:val="16"/>
          <w:szCs w:val="16"/>
          <w:lang w:val="es-VE"/>
        </w:rPr>
        <w:t xml:space="preserve"> párr.133.</w:t>
      </w:r>
    </w:p>
  </w:footnote>
  <w:footnote w:id="261">
    <w:p w14:paraId="29C0BF19" w14:textId="39FE125E" w:rsidR="00837BB9" w:rsidRPr="00AE23AC" w:rsidRDefault="00837BB9" w:rsidP="008349B1">
      <w:pPr>
        <w:pStyle w:val="FootnoteText"/>
        <w:spacing w:before="120" w:after="120"/>
        <w:jc w:val="both"/>
        <w:rPr>
          <w:rFonts w:ascii="Verdana" w:hAnsi="Verdana"/>
          <w:sz w:val="16"/>
          <w:szCs w:val="16"/>
          <w:lang w:val="es-CR"/>
        </w:rPr>
      </w:pPr>
      <w:r w:rsidRPr="00AE23AC">
        <w:rPr>
          <w:rStyle w:val="FootnoteReference"/>
          <w:rFonts w:ascii="Verdana" w:hAnsi="Verdana"/>
          <w:sz w:val="16"/>
          <w:szCs w:val="16"/>
        </w:rPr>
        <w:footnoteRef/>
      </w:r>
      <w:r w:rsidRPr="00AE23AC">
        <w:rPr>
          <w:rFonts w:ascii="Verdana" w:hAnsi="Verdana"/>
          <w:sz w:val="16"/>
          <w:szCs w:val="16"/>
          <w:lang w:val="es-CR"/>
        </w:rPr>
        <w:t xml:space="preserve"> </w:t>
      </w:r>
      <w:r w:rsidRPr="00B678B4">
        <w:rPr>
          <w:rFonts w:ascii="Verdana" w:hAnsi="Verdana"/>
          <w:bCs/>
          <w:spacing w:val="-12"/>
          <w:sz w:val="16"/>
          <w:szCs w:val="16"/>
          <w:lang w:val="es-VE"/>
        </w:rPr>
        <w:tab/>
      </w:r>
      <w:r w:rsidRPr="003731F3">
        <w:rPr>
          <w:rFonts w:ascii="Verdana" w:hAnsi="Verdana"/>
          <w:i/>
          <w:spacing w:val="-12"/>
          <w:sz w:val="16"/>
          <w:szCs w:val="16"/>
          <w:lang w:val="es-VE"/>
        </w:rPr>
        <w:t xml:space="preserve">Cfr. </w:t>
      </w:r>
      <w:r w:rsidRPr="00B678B4">
        <w:rPr>
          <w:rFonts w:ascii="Verdana" w:hAnsi="Verdana"/>
          <w:bCs/>
          <w:spacing w:val="-12"/>
          <w:sz w:val="16"/>
          <w:szCs w:val="16"/>
          <w:lang w:val="es-VE"/>
        </w:rPr>
        <w:t>Petición inicial</w:t>
      </w:r>
      <w:r>
        <w:rPr>
          <w:rFonts w:ascii="Verdana" w:hAnsi="Verdana"/>
          <w:bCs/>
          <w:spacing w:val="-12"/>
          <w:sz w:val="16"/>
          <w:szCs w:val="16"/>
          <w:lang w:val="es-VE"/>
        </w:rPr>
        <w:t xml:space="preserve"> presentada el 7 de marzo</w:t>
      </w:r>
      <w:r w:rsidRPr="00B678B4">
        <w:rPr>
          <w:rFonts w:ascii="Verdana" w:hAnsi="Verdana"/>
          <w:bCs/>
          <w:spacing w:val="-12"/>
          <w:sz w:val="16"/>
          <w:szCs w:val="16"/>
          <w:lang w:val="es-VE"/>
        </w:rPr>
        <w:t xml:space="preserve"> </w:t>
      </w:r>
      <w:r>
        <w:rPr>
          <w:rFonts w:ascii="Verdana" w:hAnsi="Verdana"/>
          <w:bCs/>
          <w:spacing w:val="-12"/>
          <w:sz w:val="16"/>
          <w:szCs w:val="16"/>
          <w:lang w:val="es-VE"/>
        </w:rPr>
        <w:t xml:space="preserve">de 2006 </w:t>
      </w:r>
      <w:r w:rsidRPr="00B678B4">
        <w:rPr>
          <w:rFonts w:ascii="Verdana" w:hAnsi="Verdana"/>
          <w:bCs/>
          <w:spacing w:val="-12"/>
          <w:sz w:val="16"/>
          <w:szCs w:val="16"/>
          <w:lang w:val="es-VE"/>
        </w:rPr>
        <w:t xml:space="preserve">ante la </w:t>
      </w:r>
      <w:r>
        <w:rPr>
          <w:rFonts w:ascii="Verdana" w:hAnsi="Verdana"/>
          <w:bCs/>
          <w:spacing w:val="-12"/>
          <w:sz w:val="16"/>
          <w:szCs w:val="16"/>
          <w:lang w:val="es-VE"/>
        </w:rPr>
        <w:t>Comisión</w:t>
      </w:r>
      <w:r w:rsidRPr="00B678B4">
        <w:rPr>
          <w:rFonts w:ascii="Verdana" w:hAnsi="Verdana"/>
          <w:bCs/>
          <w:spacing w:val="-12"/>
          <w:sz w:val="16"/>
          <w:szCs w:val="16"/>
          <w:lang w:val="es-VE"/>
        </w:rPr>
        <w:t xml:space="preserve"> (</w:t>
      </w:r>
      <w:proofErr w:type="spellStart"/>
      <w:r w:rsidRPr="00B678B4">
        <w:rPr>
          <w:rFonts w:ascii="Verdana" w:hAnsi="Verdana"/>
          <w:bCs/>
          <w:spacing w:val="-12"/>
          <w:sz w:val="16"/>
          <w:szCs w:val="16"/>
          <w:lang w:val="es-VE"/>
        </w:rPr>
        <w:t>exp</w:t>
      </w:r>
      <w:proofErr w:type="spellEnd"/>
      <w:r>
        <w:rPr>
          <w:rFonts w:ascii="Verdana" w:hAnsi="Verdana"/>
          <w:bCs/>
          <w:spacing w:val="-12"/>
          <w:sz w:val="16"/>
          <w:szCs w:val="16"/>
          <w:lang w:val="es-VE"/>
        </w:rPr>
        <w:t>.</w:t>
      </w:r>
      <w:r w:rsidRPr="00B678B4">
        <w:rPr>
          <w:rFonts w:ascii="Verdana" w:hAnsi="Verdana"/>
          <w:bCs/>
          <w:spacing w:val="-12"/>
          <w:sz w:val="16"/>
          <w:szCs w:val="16"/>
          <w:lang w:val="es-VE"/>
        </w:rPr>
        <w:t xml:space="preserve"> prueba, </w:t>
      </w:r>
      <w:proofErr w:type="spellStart"/>
      <w:r w:rsidRPr="00B678B4">
        <w:rPr>
          <w:rFonts w:ascii="Verdana" w:hAnsi="Verdana"/>
          <w:bCs/>
          <w:spacing w:val="-12"/>
          <w:sz w:val="16"/>
          <w:szCs w:val="16"/>
          <w:lang w:val="es-VE"/>
        </w:rPr>
        <w:t>ff</w:t>
      </w:r>
      <w:proofErr w:type="spellEnd"/>
      <w:r w:rsidRPr="00B678B4">
        <w:rPr>
          <w:rFonts w:ascii="Verdana" w:hAnsi="Verdana"/>
          <w:bCs/>
          <w:spacing w:val="-12"/>
          <w:sz w:val="16"/>
          <w:szCs w:val="16"/>
          <w:lang w:val="es-VE"/>
        </w:rPr>
        <w:t>. 1198 a 1203).</w:t>
      </w:r>
    </w:p>
  </w:footnote>
  <w:footnote w:id="262">
    <w:p w14:paraId="026679BA" w14:textId="30540F24" w:rsidR="00837BB9" w:rsidRPr="0045102F" w:rsidRDefault="00837BB9">
      <w:pPr>
        <w:pStyle w:val="FootnoteText"/>
        <w:rPr>
          <w:lang w:val="es-CR"/>
        </w:rPr>
      </w:pPr>
      <w:r w:rsidRPr="0045102F">
        <w:rPr>
          <w:rStyle w:val="FootnoteReference"/>
          <w:rFonts w:ascii="Verdana" w:hAnsi="Verdana"/>
          <w:sz w:val="16"/>
          <w:szCs w:val="16"/>
        </w:rPr>
        <w:footnoteRef/>
      </w:r>
      <w:r>
        <w:t xml:space="preserve"> </w:t>
      </w:r>
      <w:r>
        <w:rPr>
          <w:lang w:val="es-CR"/>
        </w:rPr>
        <w:tab/>
      </w:r>
      <w:r w:rsidRPr="002D03CF">
        <w:rPr>
          <w:rFonts w:ascii="Verdana" w:hAnsi="Verdana"/>
          <w:bCs/>
          <w:i/>
          <w:spacing w:val="-12"/>
          <w:sz w:val="16"/>
          <w:szCs w:val="16"/>
          <w:lang w:val="es-VE"/>
        </w:rPr>
        <w:t>Cfr</w:t>
      </w:r>
      <w:r w:rsidRPr="002D03CF">
        <w:rPr>
          <w:rFonts w:ascii="Verdana" w:hAnsi="Verdana"/>
          <w:bCs/>
          <w:spacing w:val="-12"/>
          <w:sz w:val="16"/>
          <w:szCs w:val="16"/>
          <w:lang w:val="es-VE"/>
        </w:rPr>
        <w:t>.</w:t>
      </w:r>
      <w:r>
        <w:rPr>
          <w:rFonts w:ascii="Verdana" w:hAnsi="Verdana"/>
          <w:bCs/>
          <w:spacing w:val="-12"/>
          <w:sz w:val="16"/>
          <w:szCs w:val="16"/>
          <w:lang w:val="es-VE"/>
        </w:rPr>
        <w:t xml:space="preserve"> Escrito del Estado de 14 de enero de 2008 presentado ante la Comisión (</w:t>
      </w:r>
      <w:proofErr w:type="spellStart"/>
      <w:r>
        <w:rPr>
          <w:rFonts w:ascii="Verdana" w:hAnsi="Verdana"/>
          <w:bCs/>
          <w:spacing w:val="-12"/>
          <w:sz w:val="16"/>
          <w:szCs w:val="16"/>
          <w:lang w:val="es-VE"/>
        </w:rPr>
        <w:t>exp</w:t>
      </w:r>
      <w:proofErr w:type="spellEnd"/>
      <w:r>
        <w:rPr>
          <w:rFonts w:ascii="Verdana" w:hAnsi="Verdana"/>
          <w:bCs/>
          <w:spacing w:val="-12"/>
          <w:sz w:val="16"/>
          <w:szCs w:val="16"/>
          <w:lang w:val="es-VE"/>
        </w:rPr>
        <w:t xml:space="preserve">. prueba, folios 1642 a 1646). </w:t>
      </w:r>
    </w:p>
  </w:footnote>
  <w:footnote w:id="263">
    <w:p w14:paraId="4CDF8F0F" w14:textId="0771A8EE" w:rsidR="00837BB9" w:rsidRPr="002D03CF" w:rsidRDefault="00837BB9" w:rsidP="008349B1">
      <w:pPr>
        <w:pStyle w:val="FootnoteText"/>
        <w:spacing w:before="120" w:after="120"/>
        <w:jc w:val="both"/>
        <w:rPr>
          <w:rFonts w:ascii="Verdana" w:hAnsi="Verdana"/>
          <w:bCs/>
          <w:spacing w:val="-12"/>
          <w:sz w:val="16"/>
          <w:szCs w:val="16"/>
          <w:lang w:val="es-VE"/>
        </w:rPr>
      </w:pPr>
      <w:r w:rsidRPr="00AE23AC">
        <w:rPr>
          <w:rStyle w:val="FootnoteReference"/>
          <w:rFonts w:ascii="Verdana" w:hAnsi="Verdana"/>
          <w:sz w:val="16"/>
          <w:szCs w:val="16"/>
        </w:rPr>
        <w:footnoteRef/>
      </w:r>
      <w:r w:rsidRPr="00AE23AC">
        <w:rPr>
          <w:rFonts w:ascii="Verdana" w:hAnsi="Verdana"/>
          <w:sz w:val="16"/>
          <w:szCs w:val="16"/>
          <w:lang w:val="es-CR"/>
        </w:rPr>
        <w:t xml:space="preserve">  </w:t>
      </w:r>
      <w:r>
        <w:rPr>
          <w:rFonts w:ascii="Verdana" w:hAnsi="Verdana"/>
          <w:sz w:val="16"/>
          <w:szCs w:val="16"/>
          <w:lang w:val="es-CR"/>
        </w:rPr>
        <w:tab/>
      </w:r>
      <w:r w:rsidRPr="002D03CF">
        <w:rPr>
          <w:rFonts w:ascii="Verdana" w:hAnsi="Verdana"/>
          <w:bCs/>
          <w:i/>
          <w:spacing w:val="-12"/>
          <w:sz w:val="16"/>
          <w:szCs w:val="16"/>
          <w:lang w:val="es-VE"/>
        </w:rPr>
        <w:t>Cfr</w:t>
      </w:r>
      <w:r w:rsidRPr="002D03CF">
        <w:rPr>
          <w:rFonts w:ascii="Verdana" w:hAnsi="Verdana"/>
          <w:bCs/>
          <w:spacing w:val="-12"/>
          <w:sz w:val="16"/>
          <w:szCs w:val="16"/>
          <w:lang w:val="es-VE"/>
        </w:rPr>
        <w:t xml:space="preserve">. Informe de Admisibilidad No. 59/13, </w:t>
      </w:r>
      <w:r w:rsidRPr="002D03CF">
        <w:rPr>
          <w:rFonts w:ascii="Verdana" w:hAnsi="Verdana"/>
          <w:bCs/>
          <w:i/>
          <w:spacing w:val="-12"/>
          <w:sz w:val="16"/>
          <w:szCs w:val="16"/>
          <w:lang w:val="es-VE"/>
        </w:rPr>
        <w:t>supra</w:t>
      </w:r>
      <w:r w:rsidRPr="002D03CF">
        <w:rPr>
          <w:rFonts w:ascii="Verdana" w:hAnsi="Verdana"/>
          <w:bCs/>
          <w:spacing w:val="-12"/>
          <w:sz w:val="16"/>
          <w:szCs w:val="16"/>
          <w:lang w:val="es-VE"/>
        </w:rPr>
        <w:t xml:space="preserve">, </w:t>
      </w:r>
      <w:proofErr w:type="spellStart"/>
      <w:r w:rsidRPr="002D03CF">
        <w:rPr>
          <w:rFonts w:ascii="Verdana" w:hAnsi="Verdana"/>
          <w:bCs/>
          <w:spacing w:val="-12"/>
          <w:sz w:val="16"/>
          <w:szCs w:val="16"/>
          <w:lang w:val="es-VE"/>
        </w:rPr>
        <w:t>párrs</w:t>
      </w:r>
      <w:proofErr w:type="spellEnd"/>
      <w:r w:rsidRPr="002D03CF">
        <w:rPr>
          <w:rFonts w:ascii="Verdana" w:hAnsi="Verdana"/>
          <w:bCs/>
          <w:spacing w:val="-12"/>
          <w:sz w:val="16"/>
          <w:szCs w:val="16"/>
          <w:lang w:val="es-VE"/>
        </w:rPr>
        <w:t xml:space="preserve">. 63 a 66. </w:t>
      </w:r>
    </w:p>
  </w:footnote>
  <w:footnote w:id="264">
    <w:p w14:paraId="1CAAC2D3" w14:textId="7BC12EC2" w:rsidR="00837BB9" w:rsidRPr="00114544" w:rsidRDefault="00837BB9" w:rsidP="008349B1">
      <w:pPr>
        <w:pStyle w:val="FootnoteText"/>
        <w:spacing w:before="120" w:after="120"/>
        <w:jc w:val="both"/>
        <w:rPr>
          <w:lang w:val="es-CR"/>
        </w:rPr>
      </w:pPr>
      <w:r>
        <w:rPr>
          <w:rStyle w:val="FootnoteReference"/>
        </w:rPr>
        <w:footnoteRef/>
      </w:r>
      <w:r>
        <w:t xml:space="preserve"> </w:t>
      </w:r>
      <w:r>
        <w:tab/>
      </w:r>
      <w:r w:rsidRPr="002D03CF">
        <w:rPr>
          <w:rFonts w:ascii="Verdana" w:hAnsi="Verdana"/>
          <w:bCs/>
          <w:i/>
          <w:spacing w:val="-12"/>
          <w:sz w:val="16"/>
          <w:szCs w:val="16"/>
          <w:lang w:val="es-VE"/>
        </w:rPr>
        <w:t>Cfr</w:t>
      </w:r>
      <w:r w:rsidRPr="002D03CF">
        <w:rPr>
          <w:rFonts w:ascii="Verdana" w:hAnsi="Verdana"/>
          <w:bCs/>
          <w:spacing w:val="-12"/>
          <w:sz w:val="16"/>
          <w:szCs w:val="16"/>
          <w:lang w:val="es-VE"/>
        </w:rPr>
        <w:t xml:space="preserve">. Informe de Admisibilidad No. 59/13, </w:t>
      </w:r>
      <w:r w:rsidRPr="002D03CF">
        <w:rPr>
          <w:rFonts w:ascii="Verdana" w:hAnsi="Verdana"/>
          <w:bCs/>
          <w:i/>
          <w:spacing w:val="-12"/>
          <w:sz w:val="16"/>
          <w:szCs w:val="16"/>
          <w:lang w:val="es-VE"/>
        </w:rPr>
        <w:t>supra</w:t>
      </w:r>
      <w:r w:rsidRPr="002D03CF">
        <w:rPr>
          <w:rFonts w:ascii="Verdana" w:hAnsi="Verdana"/>
          <w:bCs/>
          <w:spacing w:val="-12"/>
          <w:sz w:val="16"/>
          <w:szCs w:val="16"/>
          <w:lang w:val="es-VE"/>
        </w:rPr>
        <w:t xml:space="preserve">, </w:t>
      </w:r>
      <w:proofErr w:type="spellStart"/>
      <w:r w:rsidRPr="002D03CF">
        <w:rPr>
          <w:rFonts w:ascii="Verdana" w:hAnsi="Verdana"/>
          <w:bCs/>
          <w:spacing w:val="-12"/>
          <w:sz w:val="16"/>
          <w:szCs w:val="16"/>
          <w:lang w:val="es-VE"/>
        </w:rPr>
        <w:t>párrs</w:t>
      </w:r>
      <w:proofErr w:type="spellEnd"/>
      <w:r w:rsidRPr="002D03CF">
        <w:rPr>
          <w:rFonts w:ascii="Verdana" w:hAnsi="Verdana"/>
          <w:bCs/>
          <w:spacing w:val="-12"/>
          <w:sz w:val="16"/>
          <w:szCs w:val="16"/>
          <w:lang w:val="es-VE"/>
        </w:rPr>
        <w:t>. 91 y 93.</w:t>
      </w:r>
    </w:p>
  </w:footnote>
  <w:footnote w:id="265">
    <w:p w14:paraId="30131323" w14:textId="7421F653" w:rsidR="00837BB9" w:rsidRPr="005A4796" w:rsidRDefault="00837BB9" w:rsidP="008349B1">
      <w:pPr>
        <w:pStyle w:val="FootnoteText"/>
        <w:spacing w:before="120" w:after="120"/>
        <w:jc w:val="both"/>
        <w:rPr>
          <w:rFonts w:ascii="Verdana" w:hAnsi="Verdana"/>
          <w:i/>
          <w:lang w:val="es-MX"/>
        </w:rPr>
      </w:pPr>
      <w:r w:rsidRPr="005A4796">
        <w:rPr>
          <w:rStyle w:val="FootnoteReference"/>
          <w:rFonts w:ascii="Verdana" w:hAnsi="Verdana"/>
          <w:color w:val="000000"/>
          <w:sz w:val="16"/>
          <w:szCs w:val="16"/>
        </w:rPr>
        <w:footnoteRef/>
      </w:r>
      <w:r w:rsidRPr="002D03CF">
        <w:rPr>
          <w:rFonts w:ascii="Verdana" w:hAnsi="Verdana"/>
          <w:bCs/>
          <w:spacing w:val="-12"/>
          <w:sz w:val="16"/>
          <w:szCs w:val="16"/>
          <w:lang w:val="es-VE"/>
        </w:rPr>
        <w:tab/>
      </w:r>
      <w:r w:rsidRPr="002D03CF">
        <w:rPr>
          <w:rFonts w:ascii="Verdana" w:hAnsi="Verdana"/>
          <w:bCs/>
          <w:i/>
          <w:spacing w:val="-12"/>
          <w:sz w:val="16"/>
          <w:szCs w:val="16"/>
          <w:lang w:val="es-VE"/>
        </w:rPr>
        <w:t>Cfr. Caso Godínez Cruz Vs. Honduras. Fondo</w:t>
      </w:r>
      <w:r w:rsidRPr="002D03CF">
        <w:rPr>
          <w:rFonts w:ascii="Verdana" w:hAnsi="Verdana"/>
          <w:bCs/>
          <w:spacing w:val="-12"/>
          <w:sz w:val="16"/>
          <w:szCs w:val="16"/>
          <w:lang w:val="es-VE"/>
        </w:rPr>
        <w:t xml:space="preserve">. Sentencia de 20 de enero de 1989. Serie C No. 5, párr. 172; y </w:t>
      </w:r>
      <w:r w:rsidRPr="002D03CF">
        <w:rPr>
          <w:rFonts w:ascii="Verdana" w:hAnsi="Verdana"/>
          <w:bCs/>
          <w:i/>
          <w:spacing w:val="-12"/>
          <w:sz w:val="16"/>
          <w:szCs w:val="16"/>
          <w:lang w:val="es-VE"/>
        </w:rPr>
        <w:t>Caso Lagos del Campo vs. Perú, supra,</w:t>
      </w:r>
      <w:r w:rsidRPr="002D03CF">
        <w:rPr>
          <w:rFonts w:ascii="Verdana" w:hAnsi="Verdana"/>
          <w:bCs/>
          <w:spacing w:val="-12"/>
          <w:sz w:val="16"/>
          <w:szCs w:val="16"/>
          <w:lang w:val="es-VE"/>
        </w:rPr>
        <w:t xml:space="preserve"> párr. 137</w:t>
      </w:r>
    </w:p>
  </w:footnote>
  <w:footnote w:id="266">
    <w:p w14:paraId="66D1EF98" w14:textId="094449D2" w:rsidR="00837BB9" w:rsidRPr="002D03CF" w:rsidRDefault="00837BB9" w:rsidP="008349B1">
      <w:pPr>
        <w:pStyle w:val="FootnoteText"/>
        <w:spacing w:before="120" w:after="120"/>
        <w:jc w:val="both"/>
        <w:rPr>
          <w:rFonts w:ascii="Verdana" w:hAnsi="Verdana"/>
          <w:sz w:val="16"/>
          <w:szCs w:val="16"/>
          <w:lang w:val="es-CR"/>
        </w:rPr>
      </w:pPr>
      <w:r w:rsidRPr="005A4796">
        <w:rPr>
          <w:rStyle w:val="FootnoteReference"/>
          <w:rFonts w:ascii="Verdana" w:hAnsi="Verdana"/>
          <w:sz w:val="16"/>
          <w:szCs w:val="16"/>
        </w:rPr>
        <w:footnoteRef/>
      </w:r>
      <w:r w:rsidRPr="005A4796">
        <w:rPr>
          <w:rFonts w:ascii="Verdana" w:hAnsi="Verdana"/>
          <w:sz w:val="16"/>
          <w:szCs w:val="16"/>
        </w:rPr>
        <w:t xml:space="preserve"> </w:t>
      </w:r>
      <w:r w:rsidRPr="002D03CF">
        <w:rPr>
          <w:rFonts w:ascii="Verdana" w:hAnsi="Verdana"/>
          <w:bCs/>
          <w:i/>
          <w:spacing w:val="-12"/>
          <w:sz w:val="16"/>
          <w:szCs w:val="16"/>
          <w:lang w:val="es-VE"/>
        </w:rPr>
        <w:tab/>
        <w:t xml:space="preserve">Cfr. </w:t>
      </w:r>
      <w:r>
        <w:rPr>
          <w:rFonts w:ascii="Verdana" w:hAnsi="Verdana"/>
          <w:bCs/>
          <w:i/>
          <w:spacing w:val="-12"/>
          <w:sz w:val="16"/>
          <w:szCs w:val="16"/>
          <w:lang w:val="es-VE"/>
        </w:rPr>
        <w:t xml:space="preserve">Caso </w:t>
      </w:r>
      <w:r w:rsidRPr="002D03CF">
        <w:rPr>
          <w:rFonts w:ascii="Verdana" w:hAnsi="Verdana"/>
          <w:bCs/>
          <w:i/>
          <w:spacing w:val="-12"/>
          <w:sz w:val="16"/>
          <w:szCs w:val="16"/>
          <w:lang w:val="es-VE"/>
        </w:rPr>
        <w:t>Lagos del Campo vs. Perú,</w:t>
      </w:r>
      <w:r>
        <w:rPr>
          <w:rFonts w:ascii="Verdana" w:hAnsi="Verdana"/>
          <w:bCs/>
          <w:i/>
          <w:spacing w:val="-12"/>
          <w:sz w:val="16"/>
          <w:szCs w:val="16"/>
          <w:lang w:val="es-VE"/>
        </w:rPr>
        <w:t xml:space="preserve"> supra,</w:t>
      </w:r>
      <w:r w:rsidRPr="002D03CF">
        <w:rPr>
          <w:rFonts w:ascii="Verdana" w:hAnsi="Verdana"/>
          <w:bCs/>
          <w:i/>
          <w:spacing w:val="-12"/>
          <w:sz w:val="16"/>
          <w:szCs w:val="16"/>
          <w:lang w:val="es-VE"/>
        </w:rPr>
        <w:t xml:space="preserve"> </w:t>
      </w:r>
      <w:r w:rsidRPr="002D03CF">
        <w:rPr>
          <w:rFonts w:ascii="Verdana" w:hAnsi="Verdana"/>
          <w:bCs/>
          <w:spacing w:val="-12"/>
          <w:sz w:val="16"/>
          <w:szCs w:val="16"/>
          <w:lang w:val="es-VE"/>
        </w:rPr>
        <w:t>párr. 135.</w:t>
      </w:r>
    </w:p>
  </w:footnote>
  <w:footnote w:id="267">
    <w:p w14:paraId="7ADE149E" w14:textId="1BD0C034" w:rsidR="00837BB9" w:rsidRPr="005A4796" w:rsidRDefault="00837BB9" w:rsidP="008349B1">
      <w:pPr>
        <w:pStyle w:val="FootnoteText"/>
        <w:spacing w:before="120" w:after="120"/>
        <w:jc w:val="both"/>
        <w:rPr>
          <w:rFonts w:ascii="Verdana" w:hAnsi="Verdana"/>
          <w:lang w:val="es-CR"/>
        </w:rPr>
      </w:pPr>
      <w:r w:rsidRPr="005A4796">
        <w:rPr>
          <w:rStyle w:val="FootnoteReference"/>
          <w:rFonts w:ascii="Verdana" w:hAnsi="Verdana"/>
          <w:sz w:val="16"/>
          <w:szCs w:val="16"/>
        </w:rPr>
        <w:footnoteRef/>
      </w:r>
      <w:r w:rsidRPr="005A4796">
        <w:rPr>
          <w:rFonts w:ascii="Verdana" w:hAnsi="Verdana"/>
          <w:sz w:val="16"/>
          <w:szCs w:val="16"/>
        </w:rPr>
        <w:t xml:space="preserve"> </w:t>
      </w:r>
      <w:r w:rsidRPr="005A4796">
        <w:rPr>
          <w:rFonts w:ascii="Verdana" w:hAnsi="Verdana"/>
          <w:sz w:val="16"/>
          <w:szCs w:val="16"/>
          <w:lang w:val="es-CR"/>
        </w:rPr>
        <w:tab/>
      </w:r>
      <w:r w:rsidRPr="002D03CF">
        <w:rPr>
          <w:rFonts w:ascii="Verdana" w:hAnsi="Verdana"/>
          <w:bCs/>
          <w:i/>
          <w:spacing w:val="-12"/>
          <w:sz w:val="16"/>
          <w:szCs w:val="16"/>
          <w:lang w:val="es-VE"/>
        </w:rPr>
        <w:t xml:space="preserve">Cfr. </w:t>
      </w:r>
      <w:r>
        <w:rPr>
          <w:rFonts w:ascii="Verdana" w:hAnsi="Verdana"/>
          <w:bCs/>
          <w:i/>
          <w:spacing w:val="-12"/>
          <w:sz w:val="16"/>
          <w:szCs w:val="16"/>
          <w:lang w:val="es-VE"/>
        </w:rPr>
        <w:t xml:space="preserve">Caso </w:t>
      </w:r>
      <w:r w:rsidRPr="002D03CF">
        <w:rPr>
          <w:rFonts w:ascii="Verdana" w:hAnsi="Verdana"/>
          <w:bCs/>
          <w:i/>
          <w:spacing w:val="-12"/>
          <w:sz w:val="16"/>
          <w:szCs w:val="16"/>
          <w:lang w:val="es-VE"/>
        </w:rPr>
        <w:t>Lagos del Campo vs. Perú,</w:t>
      </w:r>
      <w:r>
        <w:rPr>
          <w:rFonts w:ascii="Verdana" w:hAnsi="Verdana"/>
          <w:bCs/>
          <w:i/>
          <w:spacing w:val="-12"/>
          <w:sz w:val="16"/>
          <w:szCs w:val="16"/>
          <w:lang w:val="es-VE"/>
        </w:rPr>
        <w:t xml:space="preserve"> supra,</w:t>
      </w:r>
      <w:r w:rsidRPr="002D03CF">
        <w:rPr>
          <w:rFonts w:ascii="Verdana" w:hAnsi="Verdana"/>
          <w:bCs/>
          <w:i/>
          <w:spacing w:val="-12"/>
          <w:sz w:val="16"/>
          <w:szCs w:val="16"/>
          <w:lang w:val="es-VE"/>
        </w:rPr>
        <w:t xml:space="preserve"> </w:t>
      </w:r>
      <w:r w:rsidRPr="002D03CF">
        <w:rPr>
          <w:rFonts w:ascii="Verdana" w:hAnsi="Verdana"/>
          <w:bCs/>
          <w:spacing w:val="-12"/>
          <w:sz w:val="16"/>
          <w:szCs w:val="16"/>
          <w:lang w:val="es-VE"/>
        </w:rPr>
        <w:t>párr. 139.</w:t>
      </w:r>
    </w:p>
  </w:footnote>
  <w:footnote w:id="268">
    <w:p w14:paraId="7EC2EB9A" w14:textId="10950676" w:rsidR="00837BB9" w:rsidRPr="005A4796" w:rsidRDefault="00837BB9" w:rsidP="008349B1">
      <w:pPr>
        <w:autoSpaceDE w:val="0"/>
        <w:autoSpaceDN w:val="0"/>
        <w:adjustRightInd w:val="0"/>
        <w:spacing w:before="120" w:after="120" w:line="240" w:lineRule="auto"/>
        <w:jc w:val="both"/>
        <w:rPr>
          <w:rFonts w:ascii="Verdana" w:hAnsi="Verdana"/>
          <w:sz w:val="16"/>
          <w:szCs w:val="16"/>
        </w:rPr>
      </w:pPr>
      <w:r w:rsidRPr="005A4796">
        <w:rPr>
          <w:rStyle w:val="FootnoteReference"/>
          <w:rFonts w:ascii="Verdana" w:hAnsi="Verdana"/>
          <w:sz w:val="16"/>
          <w:szCs w:val="16"/>
        </w:rPr>
        <w:footnoteRef/>
      </w:r>
      <w:r w:rsidRPr="005A4796">
        <w:rPr>
          <w:rFonts w:ascii="Verdana" w:hAnsi="Verdana"/>
          <w:sz w:val="16"/>
          <w:szCs w:val="16"/>
        </w:rPr>
        <w:t xml:space="preserve"> </w:t>
      </w:r>
      <w:r w:rsidRPr="005A4796">
        <w:rPr>
          <w:rFonts w:ascii="Verdana" w:hAnsi="Verdana"/>
          <w:sz w:val="16"/>
          <w:szCs w:val="16"/>
        </w:rPr>
        <w:tab/>
      </w:r>
      <w:r w:rsidRPr="002D03CF">
        <w:rPr>
          <w:rFonts w:ascii="Verdana" w:eastAsia="Times New Roman" w:hAnsi="Verdana" w:cs="Times New Roman"/>
          <w:bCs/>
          <w:spacing w:val="-12"/>
          <w:sz w:val="16"/>
          <w:szCs w:val="16"/>
          <w:lang w:val="es-VE"/>
        </w:rPr>
        <w:t>El artículo 29 b) y d) de la Convención establece que: “[n]</w:t>
      </w:r>
      <w:proofErr w:type="spellStart"/>
      <w:r w:rsidRPr="002D03CF">
        <w:rPr>
          <w:rFonts w:ascii="Verdana" w:eastAsia="Times New Roman" w:hAnsi="Verdana" w:cs="Times New Roman"/>
          <w:bCs/>
          <w:spacing w:val="-12"/>
          <w:sz w:val="16"/>
          <w:szCs w:val="16"/>
          <w:lang w:val="es-VE"/>
        </w:rPr>
        <w:t>inguna</w:t>
      </w:r>
      <w:proofErr w:type="spellEnd"/>
      <w:r w:rsidRPr="002D03CF">
        <w:rPr>
          <w:rFonts w:ascii="Verdana" w:eastAsia="Times New Roman" w:hAnsi="Verdana" w:cs="Times New Roman"/>
          <w:bCs/>
          <w:spacing w:val="-12"/>
          <w:sz w:val="16"/>
          <w:szCs w:val="16"/>
          <w:lang w:val="es-VE"/>
        </w:rPr>
        <w:t xml:space="preserve"> disposición de la presente Convención puede ser interpretada en el sentido de: […] b) limitar el goce y ejercicio de cualquier derecho o libertad que pueda estar reconocido de acuerdo con las leyes de cualquiera de los Estados Partes o de acuerdo con otra convención en que sea parte uno de dichos Estados; […] d) excluir o limitar el efecto que puedan producir la Declaración Americana de Derechos y Deberes del Hombre y otros actos internacionales de la misma naturaleza”.</w:t>
      </w:r>
      <w:r w:rsidRPr="005A4796">
        <w:rPr>
          <w:rFonts w:ascii="Verdana" w:hAnsi="Verdana"/>
          <w:sz w:val="16"/>
          <w:szCs w:val="16"/>
        </w:rPr>
        <w:t xml:space="preserve"> </w:t>
      </w:r>
    </w:p>
    <w:p w14:paraId="16D56870" w14:textId="77777777" w:rsidR="00837BB9" w:rsidRPr="008E104E" w:rsidRDefault="00837BB9" w:rsidP="008349B1">
      <w:pPr>
        <w:autoSpaceDE w:val="0"/>
        <w:autoSpaceDN w:val="0"/>
        <w:adjustRightInd w:val="0"/>
        <w:spacing w:before="120" w:after="120" w:line="240" w:lineRule="auto"/>
        <w:jc w:val="both"/>
        <w:rPr>
          <w:rFonts w:ascii="Verdana" w:hAnsi="Verdana"/>
          <w:sz w:val="16"/>
          <w:szCs w:val="16"/>
        </w:rPr>
      </w:pPr>
      <w:r w:rsidRPr="002D03CF">
        <w:rPr>
          <w:rFonts w:ascii="Verdana" w:eastAsia="Times New Roman" w:hAnsi="Verdana" w:cs="Times New Roman"/>
          <w:bCs/>
          <w:spacing w:val="-12"/>
          <w:sz w:val="16"/>
          <w:szCs w:val="16"/>
          <w:lang w:val="es-VE"/>
        </w:rPr>
        <w:t xml:space="preserve">Es así que conforme al referido artículo 29, los derechos laborales tal como el derecho a la estabilidad en el trabajo reconocido por la Constitución de Perú de 1979 y 1993, se deben incorporar, para efectos del presente caso, a la interpretación y alcance del derecho tutelado en el artículo 26 de la Convención Americana. </w:t>
      </w:r>
      <w:r w:rsidRPr="002D03CF">
        <w:rPr>
          <w:rFonts w:ascii="Verdana" w:eastAsia="Times New Roman" w:hAnsi="Verdana" w:cs="Times New Roman"/>
          <w:bCs/>
          <w:i/>
          <w:spacing w:val="-12"/>
          <w:sz w:val="16"/>
          <w:szCs w:val="16"/>
          <w:lang w:val="es-VE"/>
        </w:rPr>
        <w:t>Cfr. La Colegiación Obligatoria de Periodistas.</w:t>
      </w:r>
      <w:r w:rsidRPr="002D03CF">
        <w:rPr>
          <w:rFonts w:ascii="Verdana" w:eastAsia="Times New Roman" w:hAnsi="Verdana" w:cs="Times New Roman"/>
          <w:bCs/>
          <w:spacing w:val="-12"/>
          <w:sz w:val="16"/>
          <w:szCs w:val="16"/>
          <w:lang w:val="es-VE"/>
        </w:rPr>
        <w:t xml:space="preserve"> Opinión Consultiva OC-5/85 de 13 de noviembre de 1985, Serie A No. 5, párr. 44.</w:t>
      </w:r>
    </w:p>
  </w:footnote>
  <w:footnote w:id="269">
    <w:p w14:paraId="3F09F35F" w14:textId="059434F5" w:rsidR="00837BB9" w:rsidRPr="005A4796" w:rsidRDefault="00837BB9" w:rsidP="008349B1">
      <w:pPr>
        <w:pStyle w:val="FootnoteText"/>
        <w:jc w:val="both"/>
        <w:rPr>
          <w:lang w:val="es-CR"/>
        </w:rPr>
      </w:pPr>
      <w:r>
        <w:rPr>
          <w:rStyle w:val="FootnoteReference"/>
        </w:rPr>
        <w:footnoteRef/>
      </w:r>
      <w:r>
        <w:t xml:space="preserve"> </w:t>
      </w:r>
      <w:r>
        <w:rPr>
          <w:lang w:val="es-CR"/>
        </w:rPr>
        <w:tab/>
      </w:r>
      <w:r w:rsidRPr="003731F3">
        <w:rPr>
          <w:rFonts w:ascii="Verdana" w:hAnsi="Verdana"/>
          <w:i/>
          <w:spacing w:val="-12"/>
          <w:sz w:val="16"/>
          <w:szCs w:val="16"/>
          <w:lang w:val="es-VE"/>
        </w:rPr>
        <w:t xml:space="preserve">Cfr. Caso </w:t>
      </w:r>
      <w:r>
        <w:rPr>
          <w:rFonts w:ascii="Verdana" w:hAnsi="Verdana"/>
          <w:bCs/>
          <w:i/>
          <w:spacing w:val="-12"/>
          <w:sz w:val="16"/>
          <w:szCs w:val="16"/>
          <w:lang w:val="es-VE"/>
        </w:rPr>
        <w:t>Lagos del Campo Vs. Perú,</w:t>
      </w:r>
      <w:r w:rsidRPr="003731F3">
        <w:rPr>
          <w:rFonts w:ascii="Verdana" w:hAnsi="Verdana"/>
          <w:bCs/>
          <w:i/>
          <w:spacing w:val="-12"/>
          <w:sz w:val="16"/>
          <w:szCs w:val="16"/>
          <w:lang w:val="es-VE"/>
        </w:rPr>
        <w:t xml:space="preserve"> </w:t>
      </w:r>
      <w:r>
        <w:rPr>
          <w:rFonts w:ascii="Verdana" w:hAnsi="Verdana"/>
          <w:bCs/>
          <w:i/>
          <w:spacing w:val="-12"/>
          <w:sz w:val="16"/>
          <w:szCs w:val="16"/>
          <w:lang w:val="es-VE"/>
        </w:rPr>
        <w:t>supra</w:t>
      </w:r>
      <w:r w:rsidRPr="003731F3">
        <w:rPr>
          <w:rFonts w:ascii="Verdana" w:hAnsi="Verdana"/>
          <w:bCs/>
          <w:spacing w:val="-12"/>
          <w:sz w:val="16"/>
          <w:szCs w:val="16"/>
          <w:lang w:val="es-VE"/>
        </w:rPr>
        <w:t xml:space="preserve">, </w:t>
      </w:r>
      <w:proofErr w:type="spellStart"/>
      <w:r w:rsidRPr="003731F3">
        <w:rPr>
          <w:rFonts w:ascii="Verdana" w:hAnsi="Verdana"/>
          <w:bCs/>
          <w:spacing w:val="-12"/>
          <w:sz w:val="16"/>
          <w:szCs w:val="16"/>
          <w:lang w:val="es-VE"/>
        </w:rPr>
        <w:t>párr</w:t>
      </w:r>
      <w:r>
        <w:rPr>
          <w:rFonts w:ascii="Verdana" w:hAnsi="Verdana"/>
          <w:bCs/>
          <w:spacing w:val="-12"/>
          <w:sz w:val="16"/>
          <w:szCs w:val="16"/>
          <w:lang w:val="es-VE"/>
        </w:rPr>
        <w:t>s</w:t>
      </w:r>
      <w:proofErr w:type="spellEnd"/>
      <w:r w:rsidRPr="003731F3">
        <w:rPr>
          <w:rFonts w:ascii="Verdana" w:hAnsi="Verdana"/>
          <w:bCs/>
          <w:spacing w:val="-12"/>
          <w:sz w:val="16"/>
          <w:szCs w:val="16"/>
          <w:lang w:val="es-VE"/>
        </w:rPr>
        <w:t>.</w:t>
      </w:r>
      <w:r>
        <w:rPr>
          <w:rFonts w:ascii="Verdana" w:hAnsi="Verdana"/>
          <w:bCs/>
          <w:spacing w:val="-12"/>
          <w:sz w:val="16"/>
          <w:szCs w:val="16"/>
          <w:lang w:val="es-VE"/>
        </w:rPr>
        <w:t xml:space="preserve"> 141 a 154;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192</w:t>
      </w:r>
      <w:r w:rsidRPr="003731F3">
        <w:rPr>
          <w:rFonts w:ascii="Verdana" w:hAnsi="Verdana"/>
          <w:bCs/>
          <w:spacing w:val="-12"/>
          <w:sz w:val="16"/>
          <w:szCs w:val="16"/>
          <w:lang w:val="es-VE"/>
        </w:rPr>
        <w:t>.</w:t>
      </w:r>
    </w:p>
  </w:footnote>
  <w:footnote w:id="270">
    <w:p w14:paraId="328D2FF7" w14:textId="5FDF9F59" w:rsidR="00837BB9" w:rsidRPr="00E2432F" w:rsidRDefault="00837BB9" w:rsidP="008349B1">
      <w:pPr>
        <w:pStyle w:val="FootnoteText"/>
        <w:jc w:val="both"/>
        <w:rPr>
          <w:lang w:val="es-CR"/>
        </w:rPr>
      </w:pPr>
      <w:r>
        <w:rPr>
          <w:rStyle w:val="FootnoteReference"/>
        </w:rPr>
        <w:footnoteRef/>
      </w:r>
      <w:r>
        <w:t xml:space="preserve"> </w:t>
      </w:r>
      <w:r>
        <w:rPr>
          <w:lang w:val="es-CR"/>
        </w:rPr>
        <w:tab/>
      </w:r>
      <w:r w:rsidRPr="00E2432F">
        <w:rPr>
          <w:rFonts w:ascii="Verdana" w:hAnsi="Verdana"/>
          <w:bCs/>
          <w:i/>
          <w:spacing w:val="-12"/>
          <w:sz w:val="16"/>
          <w:szCs w:val="16"/>
          <w:lang w:val="es-VE"/>
        </w:rPr>
        <w:t>C</w:t>
      </w:r>
      <w:r>
        <w:rPr>
          <w:rFonts w:ascii="Verdana" w:hAnsi="Verdana"/>
          <w:bCs/>
          <w:i/>
          <w:spacing w:val="-12"/>
          <w:sz w:val="16"/>
          <w:szCs w:val="16"/>
          <w:lang w:val="es-VE"/>
        </w:rPr>
        <w:t>fr. C</w:t>
      </w:r>
      <w:r w:rsidRPr="00E2432F">
        <w:rPr>
          <w:rFonts w:ascii="Verdana" w:hAnsi="Verdana"/>
          <w:bCs/>
          <w:i/>
          <w:spacing w:val="-12"/>
          <w:sz w:val="16"/>
          <w:szCs w:val="16"/>
          <w:lang w:val="es-VE"/>
        </w:rPr>
        <w:t>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193.</w:t>
      </w:r>
    </w:p>
  </w:footnote>
  <w:footnote w:id="271">
    <w:p w14:paraId="13ED1859" w14:textId="77777777" w:rsidR="00837BB9" w:rsidRPr="00CF3AED" w:rsidRDefault="00837BB9" w:rsidP="008349B1">
      <w:pPr>
        <w:pStyle w:val="FootnoteText"/>
        <w:spacing w:before="120" w:after="120"/>
        <w:jc w:val="both"/>
        <w:rPr>
          <w:rFonts w:ascii="Verdana" w:hAnsi="Verdana"/>
          <w:spacing w:val="-12"/>
          <w:sz w:val="16"/>
          <w:szCs w:val="16"/>
          <w:lang w:val="es-MX"/>
        </w:rPr>
      </w:pPr>
      <w:r w:rsidRPr="00CF3AED">
        <w:rPr>
          <w:rStyle w:val="FootnoteReference"/>
          <w:rFonts w:ascii="Verdana" w:eastAsia="Calibri" w:hAnsi="Verdana"/>
          <w:spacing w:val="-12"/>
          <w:sz w:val="16"/>
          <w:szCs w:val="16"/>
          <w:lang w:val="es-MX"/>
        </w:rPr>
        <w:footnoteRef/>
      </w:r>
      <w:r w:rsidRPr="00CF3AED">
        <w:rPr>
          <w:rFonts w:ascii="Verdana" w:hAnsi="Verdana"/>
          <w:spacing w:val="-12"/>
          <w:sz w:val="16"/>
          <w:szCs w:val="16"/>
          <w:lang w:val="es-MX"/>
        </w:rPr>
        <w:tab/>
        <w:t>El artículo 63.1 de la Convención Americana establece que: “[c]</w:t>
      </w:r>
      <w:proofErr w:type="spellStart"/>
      <w:r w:rsidRPr="00CF3AED">
        <w:rPr>
          <w:rFonts w:ascii="Verdana" w:hAnsi="Verdana"/>
          <w:spacing w:val="-12"/>
          <w:sz w:val="16"/>
          <w:szCs w:val="16"/>
          <w:lang w:val="es-MX"/>
        </w:rPr>
        <w:t>uando</w:t>
      </w:r>
      <w:proofErr w:type="spellEnd"/>
      <w:r w:rsidRPr="00CF3AED">
        <w:rPr>
          <w:rFonts w:ascii="Verdana" w:hAnsi="Verdana"/>
          <w:spacing w:val="-12"/>
          <w:sz w:val="16"/>
          <w:szCs w:val="16"/>
          <w:lang w:val="es-MX"/>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72">
    <w:p w14:paraId="739A87F7" w14:textId="5B8FEEE9" w:rsidR="00837BB9" w:rsidRPr="006001C8" w:rsidRDefault="00837BB9" w:rsidP="008349B1">
      <w:pPr>
        <w:pStyle w:val="FootnoteText"/>
        <w:spacing w:before="120" w:after="120"/>
        <w:jc w:val="both"/>
        <w:rPr>
          <w:rFonts w:ascii="Verdana" w:hAnsi="Verdana"/>
          <w:spacing w:val="-12"/>
          <w:sz w:val="16"/>
          <w:szCs w:val="16"/>
          <w:lang w:val="es-MX"/>
        </w:rPr>
      </w:pPr>
      <w:r w:rsidRPr="00CF3AED">
        <w:rPr>
          <w:rStyle w:val="FootnoteReference"/>
          <w:rFonts w:ascii="Verdana" w:eastAsia="Calibri" w:hAnsi="Verdana"/>
          <w:spacing w:val="-12"/>
          <w:sz w:val="16"/>
          <w:szCs w:val="16"/>
          <w:lang w:val="es-MX"/>
        </w:rPr>
        <w:footnoteRef/>
      </w:r>
      <w:r w:rsidRPr="006203B0">
        <w:rPr>
          <w:rFonts w:ascii="Verdana" w:hAnsi="Verdana"/>
          <w:spacing w:val="-12"/>
          <w:sz w:val="16"/>
          <w:szCs w:val="16"/>
          <w:lang w:val="es-MX"/>
        </w:rPr>
        <w:tab/>
        <w:t>Sobre la obligación de repa</w:t>
      </w:r>
      <w:r w:rsidRPr="00FC1D38">
        <w:rPr>
          <w:rFonts w:ascii="Verdana" w:hAnsi="Verdana"/>
          <w:spacing w:val="-12"/>
          <w:sz w:val="16"/>
          <w:szCs w:val="16"/>
          <w:lang w:val="es-MX"/>
        </w:rPr>
        <w:t>rar y sus alcances, ver</w:t>
      </w:r>
      <w:r w:rsidRPr="00B34F6C">
        <w:rPr>
          <w:rFonts w:ascii="Verdana" w:hAnsi="Verdana"/>
          <w:i/>
          <w:spacing w:val="-12"/>
          <w:sz w:val="16"/>
          <w:szCs w:val="16"/>
          <w:lang w:val="es-MX"/>
        </w:rPr>
        <w:t xml:space="preserve"> Caso Velásquez Rodríguez Vs. Hondur</w:t>
      </w:r>
      <w:r w:rsidRPr="00B34F6C">
        <w:rPr>
          <w:rFonts w:ascii="Verdana" w:hAnsi="Verdana"/>
          <w:spacing w:val="-12"/>
          <w:sz w:val="16"/>
          <w:szCs w:val="16"/>
          <w:lang w:val="es-MX"/>
        </w:rPr>
        <w:t xml:space="preserve">as. </w:t>
      </w:r>
      <w:r w:rsidRPr="000536CF">
        <w:rPr>
          <w:rFonts w:ascii="Verdana" w:hAnsi="Verdana"/>
          <w:i/>
          <w:spacing w:val="-12"/>
          <w:sz w:val="16"/>
          <w:szCs w:val="16"/>
          <w:lang w:val="es-MX"/>
        </w:rPr>
        <w:t>Reparaciones y Costas</w:t>
      </w:r>
      <w:r w:rsidRPr="000536CF">
        <w:rPr>
          <w:rFonts w:ascii="Verdana" w:hAnsi="Verdana"/>
          <w:spacing w:val="-12"/>
          <w:sz w:val="16"/>
          <w:szCs w:val="16"/>
          <w:lang w:val="es-MX"/>
        </w:rPr>
        <w:t xml:space="preserve">. Sentencia de 21 de julio de 1989. Serie C No. 7, </w:t>
      </w:r>
      <w:proofErr w:type="spellStart"/>
      <w:r w:rsidRPr="000536CF">
        <w:rPr>
          <w:rFonts w:ascii="Verdana" w:hAnsi="Verdana"/>
          <w:spacing w:val="-12"/>
          <w:sz w:val="16"/>
          <w:szCs w:val="16"/>
          <w:lang w:val="es-MX"/>
        </w:rPr>
        <w:t>párrs</w:t>
      </w:r>
      <w:proofErr w:type="spellEnd"/>
      <w:r w:rsidRPr="000536CF">
        <w:rPr>
          <w:rFonts w:ascii="Verdana" w:hAnsi="Verdana"/>
          <w:spacing w:val="-12"/>
          <w:sz w:val="16"/>
          <w:szCs w:val="16"/>
          <w:lang w:val="es-MX"/>
        </w:rPr>
        <w:t xml:space="preserve">. 25 a 27;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194</w:t>
      </w:r>
      <w:r w:rsidRPr="001C16AC">
        <w:rPr>
          <w:rStyle w:val="Strong"/>
          <w:rFonts w:ascii="Verdana" w:hAnsi="Verdana"/>
          <w:b w:val="0"/>
          <w:iCs/>
          <w:color w:val="000000"/>
          <w:spacing w:val="-12"/>
          <w:sz w:val="16"/>
          <w:szCs w:val="16"/>
          <w:shd w:val="clear" w:color="auto" w:fill="FFFFFF"/>
          <w:lang w:val="es-MX"/>
        </w:rPr>
        <w:t>.</w:t>
      </w:r>
    </w:p>
  </w:footnote>
  <w:footnote w:id="273">
    <w:p w14:paraId="7042069A" w14:textId="6F1314AB" w:rsidR="00837BB9" w:rsidRPr="006C24C0" w:rsidRDefault="00837BB9" w:rsidP="008349B1">
      <w:pPr>
        <w:pStyle w:val="2Footnotes"/>
        <w:spacing w:after="120"/>
        <w:rPr>
          <w:rFonts w:cs="Verdana"/>
          <w:spacing w:val="-12"/>
          <w:szCs w:val="16"/>
          <w:lang w:val="es-MX" w:bidi="en-US"/>
        </w:rPr>
      </w:pPr>
      <w:r w:rsidRPr="006001C8">
        <w:rPr>
          <w:rStyle w:val="FootnoteReference"/>
          <w:rFonts w:eastAsia="Batang"/>
          <w:spacing w:val="-12"/>
          <w:szCs w:val="16"/>
          <w:lang w:val="es-EC"/>
        </w:rPr>
        <w:footnoteRef/>
      </w:r>
      <w:r w:rsidRPr="006001C8">
        <w:rPr>
          <w:spacing w:val="-12"/>
          <w:szCs w:val="16"/>
          <w:lang w:val="es-CL"/>
        </w:rPr>
        <w:tab/>
      </w:r>
      <w:r w:rsidRPr="00D55480">
        <w:rPr>
          <w:i/>
          <w:spacing w:val="-12"/>
          <w:szCs w:val="16"/>
          <w:lang w:val="es-MX"/>
        </w:rPr>
        <w:t>Cfr. Caso Ticona Estrada y otros Vs. Bolivia. Fondo, Reparaciones y Costas.</w:t>
      </w:r>
      <w:r w:rsidRPr="009E7E48">
        <w:rPr>
          <w:spacing w:val="-12"/>
          <w:szCs w:val="16"/>
          <w:lang w:val="es-MX"/>
        </w:rPr>
        <w:t xml:space="preserve"> Sentencia de 27 de noviembre de 2008. Serie C No. 191, párr. 110</w:t>
      </w:r>
      <w:r w:rsidRPr="008B6122">
        <w:rPr>
          <w:spacing w:val="-12"/>
          <w:szCs w:val="16"/>
          <w:lang w:val="es-PE"/>
        </w:rPr>
        <w:t xml:space="preserve">, </w:t>
      </w:r>
      <w:r w:rsidRPr="0012407E">
        <w:rPr>
          <w:spacing w:val="-12"/>
          <w:szCs w:val="16"/>
          <w:lang w:val="es-MX" w:bidi="en-US"/>
        </w:rPr>
        <w:t xml:space="preserve">y </w:t>
      </w:r>
      <w:r w:rsidRPr="00E2432F">
        <w:rPr>
          <w:bCs/>
          <w:i/>
          <w:spacing w:val="-12"/>
          <w:szCs w:val="16"/>
          <w:lang w:val="es-VE"/>
        </w:rPr>
        <w:t>Caso Trabajadores Cesado</w:t>
      </w:r>
      <w:r>
        <w:rPr>
          <w:bCs/>
          <w:i/>
          <w:spacing w:val="-12"/>
          <w:szCs w:val="16"/>
          <w:lang w:val="es-VE"/>
        </w:rPr>
        <w:t>s de Petroperú y otros Vs. Perú, supra</w:t>
      </w:r>
      <w:r>
        <w:rPr>
          <w:bCs/>
          <w:spacing w:val="-12"/>
          <w:szCs w:val="16"/>
          <w:lang w:val="es-VE"/>
        </w:rPr>
        <w:t>, párr. 196</w:t>
      </w:r>
      <w:r w:rsidRPr="006C24C0">
        <w:rPr>
          <w:spacing w:val="-12"/>
          <w:szCs w:val="16"/>
          <w:lang w:val="es-MX"/>
        </w:rPr>
        <w:t>.</w:t>
      </w:r>
    </w:p>
  </w:footnote>
  <w:footnote w:id="274">
    <w:p w14:paraId="3004302B" w14:textId="5DC27B3A" w:rsidR="00837BB9" w:rsidRPr="00B8510B" w:rsidRDefault="00837BB9" w:rsidP="008349B1">
      <w:pPr>
        <w:pStyle w:val="2Footnotes"/>
        <w:spacing w:after="120"/>
        <w:rPr>
          <w:bCs/>
          <w:spacing w:val="-12"/>
          <w:szCs w:val="16"/>
          <w:lang w:val="es-MX" w:bidi="en-US"/>
        </w:rPr>
      </w:pPr>
      <w:r w:rsidRPr="003100FE">
        <w:rPr>
          <w:rStyle w:val="FootnoteReference"/>
          <w:rFonts w:eastAsia="MS Mincho"/>
          <w:spacing w:val="-12"/>
          <w:szCs w:val="16"/>
        </w:rPr>
        <w:footnoteRef/>
      </w:r>
      <w:r w:rsidRPr="0003211A">
        <w:rPr>
          <w:spacing w:val="-12"/>
          <w:szCs w:val="16"/>
          <w:lang w:val="es-MX"/>
        </w:rPr>
        <w:t xml:space="preserve"> </w:t>
      </w:r>
      <w:r w:rsidRPr="0003211A">
        <w:rPr>
          <w:spacing w:val="-12"/>
          <w:szCs w:val="16"/>
          <w:lang w:val="es-MX"/>
        </w:rPr>
        <w:tab/>
      </w:r>
      <w:r w:rsidRPr="0003211A">
        <w:rPr>
          <w:i/>
          <w:spacing w:val="-12"/>
          <w:szCs w:val="16"/>
          <w:lang w:val="es-MX"/>
        </w:rPr>
        <w:t xml:space="preserve">Cfr. </w:t>
      </w:r>
      <w:r w:rsidRPr="0003211A">
        <w:rPr>
          <w:i/>
          <w:spacing w:val="-12"/>
          <w:szCs w:val="16"/>
          <w:lang w:val="es-MX" w:bidi="en-US"/>
        </w:rPr>
        <w:t xml:space="preserve">Caso Velásquez Rodríguez Vs. Honduras. </w:t>
      </w:r>
      <w:r w:rsidRPr="0003211A">
        <w:rPr>
          <w:i/>
          <w:spacing w:val="-12"/>
          <w:szCs w:val="16"/>
          <w:lang w:val="es-MX"/>
        </w:rPr>
        <w:t>Reparaciones</w:t>
      </w:r>
      <w:r>
        <w:rPr>
          <w:i/>
          <w:spacing w:val="-12"/>
          <w:szCs w:val="16"/>
          <w:lang w:val="es-MX"/>
        </w:rPr>
        <w:t xml:space="preserve"> y Costas</w:t>
      </w:r>
      <w:r w:rsidRPr="0003211A">
        <w:rPr>
          <w:i/>
          <w:spacing w:val="-12"/>
          <w:szCs w:val="16"/>
          <w:lang w:val="es-MX"/>
        </w:rPr>
        <w:t xml:space="preserve">, </w:t>
      </w:r>
      <w:r w:rsidRPr="0003211A">
        <w:rPr>
          <w:i/>
          <w:spacing w:val="-12"/>
          <w:szCs w:val="16"/>
          <w:lang w:val="es-MX" w:bidi="en-US"/>
        </w:rPr>
        <w:t>supra,</w:t>
      </w:r>
      <w:r w:rsidRPr="0003211A">
        <w:rPr>
          <w:spacing w:val="-12"/>
          <w:szCs w:val="16"/>
          <w:lang w:val="es-MX" w:bidi="en-US"/>
        </w:rPr>
        <w:t xml:space="preserve"> párr. 26, </w:t>
      </w:r>
      <w:r w:rsidRPr="0003211A">
        <w:rPr>
          <w:bCs/>
          <w:spacing w:val="-12"/>
          <w:szCs w:val="16"/>
          <w:lang w:val="es-MX" w:bidi="en-US"/>
        </w:rPr>
        <w:t>y</w:t>
      </w:r>
      <w:r w:rsidRPr="0003211A">
        <w:rPr>
          <w:spacing w:val="-12"/>
          <w:szCs w:val="16"/>
          <w:lang w:val="es-MX" w:bidi="en-US"/>
        </w:rPr>
        <w:t xml:space="preserve"> </w:t>
      </w:r>
      <w:r w:rsidRPr="00E2432F">
        <w:rPr>
          <w:bCs/>
          <w:i/>
          <w:spacing w:val="-12"/>
          <w:szCs w:val="16"/>
          <w:lang w:val="es-VE"/>
        </w:rPr>
        <w:t>Caso Trabajadores Cesado</w:t>
      </w:r>
      <w:r>
        <w:rPr>
          <w:bCs/>
          <w:i/>
          <w:spacing w:val="-12"/>
          <w:szCs w:val="16"/>
          <w:lang w:val="es-VE"/>
        </w:rPr>
        <w:t>s de Petroperú y otros Vs. Perú, supra</w:t>
      </w:r>
      <w:r>
        <w:rPr>
          <w:bCs/>
          <w:spacing w:val="-12"/>
          <w:szCs w:val="16"/>
          <w:lang w:val="es-VE"/>
        </w:rPr>
        <w:t>, párr. 195</w:t>
      </w:r>
      <w:r w:rsidRPr="00773F82">
        <w:rPr>
          <w:spacing w:val="-12"/>
          <w:szCs w:val="16"/>
          <w:lang w:val="es-MX"/>
        </w:rPr>
        <w:t>.</w:t>
      </w:r>
    </w:p>
  </w:footnote>
  <w:footnote w:id="275">
    <w:p w14:paraId="212AB3F0" w14:textId="7FBE64A9" w:rsidR="00837BB9" w:rsidRPr="0003211A" w:rsidRDefault="00837BB9" w:rsidP="00035F47">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lang w:val="es-MX"/>
        </w:rPr>
        <w:tab/>
      </w:r>
      <w:r w:rsidRPr="00C7142E">
        <w:rPr>
          <w:rFonts w:ascii="Verdana" w:hAnsi="Verdana"/>
          <w:i/>
          <w:spacing w:val="-12"/>
          <w:sz w:val="16"/>
          <w:szCs w:val="16"/>
          <w:lang w:val="es-MX"/>
        </w:rPr>
        <w:t>Cfr. Caso Velásquez Rodríguez Vs. Honduras. Reparaciones</w:t>
      </w:r>
      <w:r w:rsidRPr="00C61250">
        <w:rPr>
          <w:rFonts w:asciiTheme="minorHAnsi" w:eastAsiaTheme="minorHAnsi" w:hAnsiTheme="minorHAnsi" w:cstheme="minorBidi"/>
          <w:i/>
          <w:spacing w:val="-12"/>
          <w:sz w:val="22"/>
          <w:szCs w:val="16"/>
          <w:lang w:val="es-MX"/>
        </w:rPr>
        <w:t xml:space="preserve"> </w:t>
      </w:r>
      <w:r w:rsidRPr="00C61250">
        <w:rPr>
          <w:rFonts w:ascii="Verdana" w:hAnsi="Verdana"/>
          <w:i/>
          <w:spacing w:val="-12"/>
          <w:sz w:val="16"/>
          <w:szCs w:val="16"/>
          <w:lang w:val="es-MX"/>
        </w:rPr>
        <w:t>y Costas</w:t>
      </w:r>
      <w:r w:rsidRPr="0069409D">
        <w:rPr>
          <w:rFonts w:ascii="Verdana" w:hAnsi="Verdana"/>
          <w:spacing w:val="-12"/>
          <w:sz w:val="16"/>
          <w:szCs w:val="16"/>
          <w:lang w:val="es-MX"/>
        </w:rPr>
        <w:t xml:space="preserve">, </w:t>
      </w:r>
      <w:r w:rsidRPr="0069409D">
        <w:rPr>
          <w:rFonts w:ascii="Verdana" w:hAnsi="Verdana"/>
          <w:i/>
          <w:spacing w:val="-12"/>
          <w:sz w:val="16"/>
          <w:szCs w:val="16"/>
          <w:lang w:val="es-MX"/>
        </w:rPr>
        <w:t>supra,</w:t>
      </w:r>
      <w:r w:rsidRPr="006C24C0">
        <w:rPr>
          <w:rFonts w:ascii="Verdana" w:hAnsi="Verdana"/>
          <w:spacing w:val="-12"/>
          <w:sz w:val="16"/>
          <w:szCs w:val="16"/>
          <w:lang w:val="es-MX"/>
        </w:rPr>
        <w:t xml:space="preserve"> </w:t>
      </w:r>
      <w:proofErr w:type="spellStart"/>
      <w:r w:rsidRPr="006C24C0">
        <w:rPr>
          <w:rFonts w:ascii="Verdana" w:hAnsi="Verdana"/>
          <w:spacing w:val="-12"/>
          <w:sz w:val="16"/>
          <w:szCs w:val="16"/>
          <w:lang w:val="es-MX"/>
        </w:rPr>
        <w:t>párrs</w:t>
      </w:r>
      <w:proofErr w:type="spellEnd"/>
      <w:r w:rsidRPr="006C24C0">
        <w:rPr>
          <w:rFonts w:ascii="Verdana" w:hAnsi="Verdana"/>
          <w:spacing w:val="-12"/>
          <w:sz w:val="16"/>
          <w:szCs w:val="16"/>
          <w:lang w:val="es-MX"/>
        </w:rPr>
        <w:t xml:space="preserve">. 25 a 27,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w:t>
      </w:r>
      <w:r w:rsidRPr="0003211A">
        <w:rPr>
          <w:rStyle w:val="Strong"/>
          <w:rFonts w:ascii="Verdana" w:hAnsi="Verdana"/>
          <w:b w:val="0"/>
          <w:iCs/>
          <w:color w:val="000000"/>
          <w:spacing w:val="-12"/>
          <w:sz w:val="16"/>
          <w:szCs w:val="16"/>
          <w:shd w:val="clear" w:color="auto" w:fill="FFFFFF"/>
          <w:lang w:val="es-MX"/>
        </w:rPr>
        <w:t xml:space="preserve"> 19</w:t>
      </w:r>
      <w:r>
        <w:rPr>
          <w:rStyle w:val="Strong"/>
          <w:rFonts w:ascii="Verdana" w:hAnsi="Verdana"/>
          <w:b w:val="0"/>
          <w:iCs/>
          <w:color w:val="000000"/>
          <w:spacing w:val="-12"/>
          <w:sz w:val="16"/>
          <w:szCs w:val="16"/>
          <w:shd w:val="clear" w:color="auto" w:fill="FFFFFF"/>
          <w:lang w:val="es-MX"/>
        </w:rPr>
        <w:t>7</w:t>
      </w:r>
      <w:r w:rsidRPr="0003211A">
        <w:rPr>
          <w:rFonts w:ascii="Verdana" w:hAnsi="Verdana"/>
          <w:spacing w:val="-12"/>
          <w:sz w:val="16"/>
          <w:szCs w:val="16"/>
          <w:lang w:val="es-MX"/>
        </w:rPr>
        <w:t>.</w:t>
      </w:r>
    </w:p>
  </w:footnote>
  <w:footnote w:id="276">
    <w:p w14:paraId="76DA8E8A" w14:textId="3D9576DA" w:rsidR="00837BB9" w:rsidRDefault="00837BB9" w:rsidP="008349B1">
      <w:pPr>
        <w:pStyle w:val="FootnoteText"/>
        <w:spacing w:before="120" w:after="120"/>
        <w:jc w:val="both"/>
        <w:rPr>
          <w:rFonts w:ascii="Verdana" w:hAnsi="Verdana"/>
          <w:spacing w:val="-12"/>
          <w:sz w:val="16"/>
          <w:szCs w:val="16"/>
        </w:rPr>
      </w:pPr>
      <w:r>
        <w:rPr>
          <w:rStyle w:val="FootnoteReference"/>
          <w:spacing w:val="-12"/>
          <w:sz w:val="16"/>
          <w:szCs w:val="16"/>
        </w:rPr>
        <w:footnoteRef/>
      </w:r>
      <w:r>
        <w:rPr>
          <w:rFonts w:ascii="Verdana" w:hAnsi="Verdana"/>
          <w:spacing w:val="-12"/>
          <w:sz w:val="16"/>
          <w:szCs w:val="16"/>
        </w:rPr>
        <w:t xml:space="preserve"> </w:t>
      </w:r>
      <w:r>
        <w:rPr>
          <w:rFonts w:ascii="Verdana" w:hAnsi="Verdana"/>
          <w:spacing w:val="-12"/>
          <w:sz w:val="16"/>
          <w:szCs w:val="16"/>
        </w:rPr>
        <w:tab/>
        <w:t>El representante solicitó que se ordene la realización, dentro de un plazo razonable, de los procedimientos administrativos y penales que corresponda, a fin de identificar a los responsables de estos hechos y aplicar las sanciones administrativas, penales o de otro tipo que corresponda, y que sean proporcionales a la extrema gravedad de los hechos cometidos y a los daños causados a la sociedad en general y a las víctimas en este caso en particular.</w:t>
      </w:r>
    </w:p>
  </w:footnote>
  <w:footnote w:id="277">
    <w:p w14:paraId="399B4CCD" w14:textId="77777777" w:rsidR="00837BB9" w:rsidRDefault="00837BB9" w:rsidP="008349B1">
      <w:pPr>
        <w:pStyle w:val="FootnoteText"/>
        <w:spacing w:before="120" w:after="120"/>
        <w:jc w:val="both"/>
        <w:rPr>
          <w:rFonts w:ascii="Verdana" w:hAnsi="Verdana"/>
          <w:spacing w:val="-12"/>
          <w:sz w:val="16"/>
          <w:szCs w:val="16"/>
          <w:lang w:val="es-CR"/>
        </w:rPr>
      </w:pPr>
      <w:r>
        <w:rPr>
          <w:rStyle w:val="FootnoteReference"/>
          <w:spacing w:val="-12"/>
          <w:sz w:val="16"/>
          <w:szCs w:val="16"/>
        </w:rPr>
        <w:footnoteRef/>
      </w:r>
      <w:r>
        <w:rPr>
          <w:rFonts w:ascii="Verdana" w:hAnsi="Verdana"/>
          <w:spacing w:val="-12"/>
          <w:sz w:val="16"/>
          <w:szCs w:val="16"/>
        </w:rPr>
        <w:t xml:space="preserve"> </w:t>
      </w:r>
      <w:r>
        <w:rPr>
          <w:rFonts w:ascii="Verdana" w:hAnsi="Verdana"/>
          <w:spacing w:val="-12"/>
          <w:sz w:val="16"/>
          <w:szCs w:val="16"/>
        </w:rPr>
        <w:tab/>
      </w:r>
      <w:r>
        <w:rPr>
          <w:rFonts w:ascii="Verdana" w:hAnsi="Verdana"/>
          <w:i/>
          <w:spacing w:val="-12"/>
          <w:sz w:val="16"/>
          <w:szCs w:val="16"/>
          <w:lang w:val="es-CR"/>
        </w:rPr>
        <w:t>Cfr. Caso Chinchilla Sandoval y otros Vs. Guatemala. Excepción Preliminar, Fondo, Reparaciones y Costas.</w:t>
      </w:r>
      <w:r>
        <w:rPr>
          <w:rFonts w:ascii="Verdana" w:hAnsi="Verdana"/>
          <w:spacing w:val="-12"/>
          <w:sz w:val="16"/>
          <w:szCs w:val="16"/>
          <w:lang w:val="es-CR"/>
        </w:rPr>
        <w:t xml:space="preserve"> Sentencia de 29 de febrero de 2016. Serie C No. 312. párr. 278; y </w:t>
      </w:r>
      <w:r>
        <w:rPr>
          <w:rFonts w:ascii="Verdana" w:hAnsi="Verdana"/>
          <w:i/>
          <w:spacing w:val="-12"/>
          <w:sz w:val="16"/>
          <w:szCs w:val="16"/>
          <w:lang w:val="es-CR"/>
        </w:rPr>
        <w:t>Caso Acosta y otros Vs. Nicaragua. Excepciones Preliminares, Fondo, Reparaciones y Costas</w:t>
      </w:r>
      <w:r>
        <w:rPr>
          <w:rFonts w:ascii="Verdana" w:hAnsi="Verdana"/>
          <w:spacing w:val="-12"/>
          <w:sz w:val="16"/>
          <w:szCs w:val="16"/>
          <w:lang w:val="es-CR"/>
        </w:rPr>
        <w:t xml:space="preserve">. Sentencia de 25 de marzo de 2017. Serie C No. 334. párr. 214 y. </w:t>
      </w:r>
    </w:p>
  </w:footnote>
  <w:footnote w:id="278">
    <w:p w14:paraId="15DE3A4E" w14:textId="77777777" w:rsidR="00837BB9" w:rsidRDefault="00837BB9" w:rsidP="008349B1">
      <w:pPr>
        <w:pStyle w:val="FootnoteText"/>
        <w:spacing w:before="120" w:after="120"/>
        <w:jc w:val="both"/>
        <w:rPr>
          <w:rFonts w:ascii="Verdana" w:hAnsi="Verdana"/>
          <w:spacing w:val="-12"/>
          <w:sz w:val="16"/>
          <w:szCs w:val="16"/>
          <w:lang w:val="es-CR"/>
        </w:rPr>
      </w:pPr>
      <w:r>
        <w:rPr>
          <w:rStyle w:val="FootnoteReference"/>
          <w:spacing w:val="-12"/>
          <w:sz w:val="16"/>
          <w:szCs w:val="16"/>
        </w:rPr>
        <w:footnoteRef/>
      </w:r>
      <w:r>
        <w:rPr>
          <w:rFonts w:ascii="Verdana" w:hAnsi="Verdana"/>
          <w:spacing w:val="-12"/>
          <w:sz w:val="16"/>
          <w:szCs w:val="16"/>
        </w:rPr>
        <w:t xml:space="preserve"> </w:t>
      </w:r>
      <w:r>
        <w:rPr>
          <w:rFonts w:ascii="Verdana" w:hAnsi="Verdana"/>
          <w:spacing w:val="-12"/>
          <w:sz w:val="16"/>
          <w:szCs w:val="16"/>
        </w:rPr>
        <w:tab/>
      </w:r>
      <w:r>
        <w:rPr>
          <w:rFonts w:ascii="Verdana" w:hAnsi="Verdana"/>
          <w:i/>
          <w:spacing w:val="-12"/>
          <w:sz w:val="16"/>
          <w:szCs w:val="16"/>
        </w:rPr>
        <w:t>Cfr.</w:t>
      </w:r>
      <w:r>
        <w:rPr>
          <w:rFonts w:ascii="Verdana" w:hAnsi="Verdana"/>
          <w:spacing w:val="-12"/>
          <w:sz w:val="16"/>
          <w:szCs w:val="16"/>
        </w:rPr>
        <w:t xml:space="preserve"> </w:t>
      </w:r>
      <w:r>
        <w:rPr>
          <w:rFonts w:ascii="Verdana" w:hAnsi="Verdana"/>
          <w:i/>
          <w:spacing w:val="-12"/>
          <w:sz w:val="16"/>
          <w:szCs w:val="16"/>
        </w:rPr>
        <w:t>Caso Albán Cornejo y otros Vs. Ecuador. Fondo, Reparaciones y Costas</w:t>
      </w:r>
      <w:r>
        <w:rPr>
          <w:rFonts w:ascii="Verdana" w:hAnsi="Verdana"/>
          <w:spacing w:val="-12"/>
          <w:sz w:val="16"/>
          <w:szCs w:val="16"/>
        </w:rPr>
        <w:t xml:space="preserve">. Sentencia de 22 de noviembre de 2007. Serie C No. 171, párr. 111; y </w:t>
      </w:r>
      <w:r>
        <w:rPr>
          <w:rFonts w:ascii="Verdana" w:hAnsi="Verdana"/>
          <w:i/>
          <w:spacing w:val="-12"/>
          <w:sz w:val="16"/>
          <w:szCs w:val="16"/>
          <w:lang w:val="es-CR"/>
        </w:rPr>
        <w:t xml:space="preserve">Caso Acosta y otros Vs. Nicaragua, </w:t>
      </w:r>
      <w:r>
        <w:rPr>
          <w:rFonts w:ascii="Verdana" w:hAnsi="Verdana"/>
          <w:i/>
          <w:spacing w:val="-12"/>
          <w:sz w:val="16"/>
          <w:szCs w:val="16"/>
        </w:rPr>
        <w:t xml:space="preserve">supra, </w:t>
      </w:r>
      <w:r>
        <w:rPr>
          <w:rFonts w:ascii="Verdana" w:hAnsi="Verdana"/>
          <w:spacing w:val="-12"/>
          <w:sz w:val="16"/>
          <w:szCs w:val="16"/>
        </w:rPr>
        <w:t>párr. 214.</w:t>
      </w:r>
    </w:p>
  </w:footnote>
  <w:footnote w:id="279">
    <w:p w14:paraId="096F700C" w14:textId="63E7282A" w:rsidR="00837BB9" w:rsidRDefault="00837BB9" w:rsidP="008349B1">
      <w:pPr>
        <w:pStyle w:val="FootnoteText"/>
        <w:spacing w:before="120" w:after="120"/>
        <w:jc w:val="both"/>
        <w:rPr>
          <w:rFonts w:ascii="Verdana" w:hAnsi="Verdana"/>
          <w:spacing w:val="-12"/>
          <w:sz w:val="16"/>
          <w:szCs w:val="16"/>
          <w:lang w:val="es-CR"/>
        </w:rPr>
      </w:pPr>
      <w:r>
        <w:rPr>
          <w:rStyle w:val="FootnoteReference"/>
          <w:spacing w:val="-12"/>
          <w:sz w:val="16"/>
          <w:szCs w:val="16"/>
        </w:rPr>
        <w:footnoteRef/>
      </w:r>
      <w:r>
        <w:rPr>
          <w:rFonts w:ascii="Verdana" w:hAnsi="Verdana"/>
          <w:spacing w:val="-12"/>
          <w:sz w:val="16"/>
          <w:szCs w:val="16"/>
        </w:rPr>
        <w:t xml:space="preserve"> </w:t>
      </w:r>
      <w:r>
        <w:rPr>
          <w:rFonts w:ascii="Verdana" w:hAnsi="Verdana"/>
          <w:spacing w:val="-12"/>
          <w:sz w:val="16"/>
          <w:szCs w:val="16"/>
        </w:rPr>
        <w:tab/>
      </w:r>
      <w:r>
        <w:rPr>
          <w:rFonts w:ascii="Verdana" w:hAnsi="Verdana"/>
          <w:i/>
          <w:spacing w:val="-12"/>
          <w:sz w:val="16"/>
          <w:szCs w:val="16"/>
        </w:rPr>
        <w:t>Cfr.</w:t>
      </w:r>
      <w:r>
        <w:rPr>
          <w:rFonts w:ascii="Verdana" w:hAnsi="Verdana"/>
          <w:spacing w:val="-12"/>
          <w:sz w:val="16"/>
          <w:szCs w:val="16"/>
        </w:rPr>
        <w:t xml:space="preserve"> </w:t>
      </w:r>
      <w:r>
        <w:rPr>
          <w:rFonts w:ascii="Verdana" w:hAnsi="Verdana"/>
          <w:i/>
          <w:spacing w:val="-12"/>
          <w:sz w:val="16"/>
          <w:szCs w:val="16"/>
        </w:rPr>
        <w:t>Caso García Ibarra y otros Vs. Ecuador, supra</w:t>
      </w:r>
      <w:r>
        <w:rPr>
          <w:rFonts w:ascii="Verdana" w:hAnsi="Verdana"/>
          <w:spacing w:val="-12"/>
          <w:sz w:val="16"/>
          <w:szCs w:val="16"/>
        </w:rPr>
        <w:t xml:space="preserve">, párr. 204; y </w:t>
      </w:r>
      <w:r>
        <w:rPr>
          <w:rFonts w:ascii="Verdana" w:hAnsi="Verdana"/>
          <w:i/>
          <w:spacing w:val="-12"/>
          <w:sz w:val="16"/>
          <w:szCs w:val="16"/>
          <w:lang w:val="es-CR"/>
        </w:rPr>
        <w:t xml:space="preserve">Caso Acosta y otros Vs. Nicaragua, </w:t>
      </w:r>
      <w:r>
        <w:rPr>
          <w:rFonts w:ascii="Verdana" w:hAnsi="Verdana"/>
          <w:i/>
          <w:spacing w:val="-12"/>
          <w:sz w:val="16"/>
          <w:szCs w:val="16"/>
        </w:rPr>
        <w:t xml:space="preserve">supra, </w:t>
      </w:r>
      <w:r>
        <w:rPr>
          <w:rFonts w:ascii="Verdana" w:hAnsi="Verdana"/>
          <w:spacing w:val="-12"/>
          <w:sz w:val="16"/>
          <w:szCs w:val="16"/>
        </w:rPr>
        <w:t>párr. 214.</w:t>
      </w:r>
    </w:p>
  </w:footnote>
  <w:footnote w:id="280">
    <w:p w14:paraId="132A2832" w14:textId="77777777" w:rsidR="00837BB9" w:rsidRDefault="00837BB9" w:rsidP="008349B1">
      <w:pPr>
        <w:pStyle w:val="FootnoteText"/>
        <w:jc w:val="both"/>
        <w:rPr>
          <w:lang w:val="es-CR"/>
        </w:rPr>
      </w:pPr>
      <w:r w:rsidRPr="001D1180">
        <w:rPr>
          <w:rStyle w:val="FootnoteReference"/>
          <w:rFonts w:ascii="Verdana" w:hAnsi="Verdana"/>
          <w:spacing w:val="-12"/>
          <w:sz w:val="16"/>
          <w:szCs w:val="16"/>
        </w:rPr>
        <w:footnoteRef/>
      </w:r>
      <w:r>
        <w:t xml:space="preserve"> </w:t>
      </w:r>
      <w:r>
        <w:rPr>
          <w:lang w:val="es-CR"/>
        </w:rPr>
        <w:tab/>
      </w:r>
      <w:r>
        <w:rPr>
          <w:rFonts w:ascii="Verdana" w:hAnsi="Verdana"/>
          <w:spacing w:val="-12"/>
          <w:sz w:val="16"/>
          <w:szCs w:val="16"/>
          <w:lang w:val="es-CR"/>
        </w:rPr>
        <w:t xml:space="preserve">En este sentido, la eventual determinación de responsabilidad penal no excluye la averiguación de otros tipos de responsabilidades, tales como la administrativa, de ser ello procedente según las circunstancias de cada caso. </w:t>
      </w:r>
      <w:r>
        <w:rPr>
          <w:rFonts w:ascii="Verdana" w:hAnsi="Verdana"/>
          <w:i/>
          <w:spacing w:val="-12"/>
          <w:sz w:val="16"/>
          <w:szCs w:val="16"/>
        </w:rPr>
        <w:t xml:space="preserve">Cfr., mutatis </w:t>
      </w:r>
      <w:proofErr w:type="spellStart"/>
      <w:r>
        <w:rPr>
          <w:rFonts w:ascii="Verdana" w:hAnsi="Verdana"/>
          <w:i/>
          <w:spacing w:val="-12"/>
          <w:sz w:val="16"/>
          <w:szCs w:val="16"/>
        </w:rPr>
        <w:t>mutandi</w:t>
      </w:r>
      <w:proofErr w:type="spellEnd"/>
      <w:r>
        <w:rPr>
          <w:rFonts w:ascii="Verdana" w:hAnsi="Verdana"/>
          <w:i/>
          <w:spacing w:val="-12"/>
          <w:sz w:val="16"/>
          <w:szCs w:val="16"/>
        </w:rPr>
        <w:t>, Caso Mendoza y otros Vs. Argentina</w:t>
      </w:r>
      <w:r>
        <w:rPr>
          <w:rFonts w:ascii="Verdana" w:hAnsi="Verdana"/>
          <w:spacing w:val="-12"/>
          <w:sz w:val="16"/>
          <w:szCs w:val="16"/>
        </w:rPr>
        <w:t xml:space="preserve">, supra, párr. 224; y </w:t>
      </w:r>
      <w:r>
        <w:rPr>
          <w:rFonts w:ascii="Verdana" w:hAnsi="Verdana"/>
          <w:i/>
          <w:spacing w:val="-12"/>
          <w:sz w:val="16"/>
          <w:szCs w:val="16"/>
          <w:lang w:val="es-CR"/>
        </w:rPr>
        <w:t>Caso Chinchilla Sandoval y otros Vs. Guatemala, supra</w:t>
      </w:r>
      <w:r>
        <w:rPr>
          <w:rFonts w:ascii="Verdana" w:hAnsi="Verdana"/>
          <w:spacing w:val="-12"/>
          <w:sz w:val="16"/>
          <w:szCs w:val="16"/>
          <w:lang w:val="es-CR"/>
        </w:rPr>
        <w:t>. párr. 280.</w:t>
      </w:r>
    </w:p>
  </w:footnote>
  <w:footnote w:id="281">
    <w:p w14:paraId="38E316CB" w14:textId="279D0F46" w:rsidR="00837BB9" w:rsidRPr="00E83441" w:rsidRDefault="00837BB9" w:rsidP="008349B1">
      <w:pPr>
        <w:pStyle w:val="FootnoteText"/>
        <w:spacing w:before="120" w:after="120"/>
        <w:jc w:val="both"/>
        <w:rPr>
          <w:rFonts w:ascii="Verdana" w:hAnsi="Verdana"/>
          <w:i/>
          <w:spacing w:val="-12"/>
          <w:sz w:val="16"/>
          <w:szCs w:val="16"/>
        </w:rPr>
      </w:pPr>
      <w:r w:rsidRPr="000536CF">
        <w:rPr>
          <w:rStyle w:val="FootnoteReference"/>
          <w:rFonts w:ascii="Verdana" w:hAnsi="Verdana"/>
          <w:spacing w:val="-12"/>
          <w:sz w:val="16"/>
          <w:szCs w:val="16"/>
        </w:rPr>
        <w:footnoteRef/>
      </w:r>
      <w:r w:rsidRPr="005C7D26">
        <w:rPr>
          <w:rFonts w:ascii="Verdana" w:hAnsi="Verdana"/>
          <w:spacing w:val="-12"/>
          <w:sz w:val="16"/>
          <w:szCs w:val="16"/>
        </w:rPr>
        <w:t xml:space="preserve"> </w:t>
      </w:r>
      <w:r w:rsidRPr="005C7D26">
        <w:rPr>
          <w:rFonts w:ascii="Verdana" w:hAnsi="Verdana"/>
          <w:spacing w:val="-12"/>
          <w:sz w:val="16"/>
          <w:szCs w:val="16"/>
        </w:rPr>
        <w:tab/>
      </w:r>
      <w:r w:rsidRPr="00A556E1">
        <w:rPr>
          <w:rFonts w:ascii="Verdana" w:hAnsi="Verdana"/>
          <w:i/>
          <w:spacing w:val="-12"/>
          <w:sz w:val="16"/>
          <w:szCs w:val="16"/>
        </w:rPr>
        <w:t xml:space="preserve">Cfr. </w:t>
      </w:r>
      <w:r w:rsidRPr="00A556E1">
        <w:rPr>
          <w:rFonts w:ascii="Verdana" w:hAnsi="Verdana"/>
          <w:bCs/>
          <w:i/>
          <w:spacing w:val="-12"/>
          <w:sz w:val="16"/>
          <w:szCs w:val="16"/>
        </w:rPr>
        <w:t xml:space="preserve">Caso </w:t>
      </w:r>
      <w:proofErr w:type="spellStart"/>
      <w:r w:rsidRPr="00A556E1">
        <w:rPr>
          <w:rFonts w:ascii="Verdana" w:hAnsi="Verdana"/>
          <w:bCs/>
          <w:i/>
          <w:spacing w:val="-12"/>
          <w:sz w:val="16"/>
          <w:szCs w:val="16"/>
        </w:rPr>
        <w:t>Chitay</w:t>
      </w:r>
      <w:proofErr w:type="spellEnd"/>
      <w:r w:rsidRPr="00A556E1">
        <w:rPr>
          <w:rFonts w:ascii="Verdana" w:hAnsi="Verdana"/>
          <w:bCs/>
          <w:i/>
          <w:spacing w:val="-12"/>
          <w:sz w:val="16"/>
          <w:szCs w:val="16"/>
        </w:rPr>
        <w:t xml:space="preserve"> </w:t>
      </w:r>
      <w:proofErr w:type="spellStart"/>
      <w:r w:rsidRPr="00A556E1">
        <w:rPr>
          <w:rFonts w:ascii="Verdana" w:hAnsi="Verdana"/>
          <w:bCs/>
          <w:i/>
          <w:spacing w:val="-12"/>
          <w:sz w:val="16"/>
          <w:szCs w:val="16"/>
        </w:rPr>
        <w:t>Nech</w:t>
      </w:r>
      <w:proofErr w:type="spellEnd"/>
      <w:r w:rsidRPr="00A556E1">
        <w:rPr>
          <w:rFonts w:ascii="Verdana" w:hAnsi="Verdana"/>
          <w:bCs/>
          <w:i/>
          <w:spacing w:val="-12"/>
          <w:sz w:val="16"/>
          <w:szCs w:val="16"/>
        </w:rPr>
        <w:t xml:space="preserve"> y otros Vs. Guatemala</w:t>
      </w:r>
      <w:r w:rsidRPr="007C51D0">
        <w:rPr>
          <w:rFonts w:ascii="Verdana" w:hAnsi="Verdana"/>
          <w:bCs/>
          <w:i/>
          <w:spacing w:val="-12"/>
          <w:sz w:val="16"/>
          <w:szCs w:val="16"/>
          <w:lang w:val="es-CR"/>
        </w:rPr>
        <w:t xml:space="preserve">. Excepciones Preliminares, Fondo, Reparaciones y Costas. </w:t>
      </w:r>
      <w:r w:rsidRPr="007C51D0">
        <w:rPr>
          <w:rFonts w:ascii="Verdana" w:hAnsi="Verdana"/>
          <w:bCs/>
          <w:spacing w:val="-12"/>
          <w:sz w:val="16"/>
          <w:szCs w:val="16"/>
          <w:lang w:val="es-CR"/>
        </w:rPr>
        <w:t>Sentencia de 25 de mayo de 2010. Serie C No. 212</w:t>
      </w:r>
      <w:r w:rsidRPr="00A556E1">
        <w:rPr>
          <w:rFonts w:ascii="Verdana" w:hAnsi="Verdana"/>
          <w:bCs/>
          <w:i/>
          <w:spacing w:val="-12"/>
          <w:sz w:val="16"/>
          <w:szCs w:val="16"/>
        </w:rPr>
        <w:t xml:space="preserve">, </w:t>
      </w:r>
      <w:r w:rsidRPr="00D20C97">
        <w:rPr>
          <w:rFonts w:ascii="Verdana" w:hAnsi="Verdana"/>
          <w:bCs/>
          <w:spacing w:val="-12"/>
          <w:sz w:val="16"/>
          <w:szCs w:val="16"/>
        </w:rPr>
        <w:t>p</w:t>
      </w:r>
      <w:r w:rsidRPr="001C16AC">
        <w:rPr>
          <w:rFonts w:ascii="Verdana" w:hAnsi="Verdana"/>
          <w:bCs/>
          <w:spacing w:val="-12"/>
          <w:sz w:val="16"/>
          <w:szCs w:val="16"/>
        </w:rPr>
        <w:t xml:space="preserve">árr. 244;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211</w:t>
      </w:r>
      <w:r w:rsidRPr="009E7E48">
        <w:rPr>
          <w:rStyle w:val="Strong"/>
          <w:rFonts w:ascii="Verdana" w:hAnsi="Verdana"/>
          <w:b w:val="0"/>
          <w:iCs/>
          <w:color w:val="000000"/>
          <w:spacing w:val="-12"/>
          <w:sz w:val="16"/>
          <w:szCs w:val="16"/>
          <w:shd w:val="clear" w:color="auto" w:fill="FFFFFF"/>
          <w:lang w:val="es-MX"/>
        </w:rPr>
        <w:t>.</w:t>
      </w:r>
    </w:p>
  </w:footnote>
  <w:footnote w:id="282">
    <w:p w14:paraId="12293127" w14:textId="0EE93168" w:rsidR="00837BB9" w:rsidRPr="006001C8" w:rsidRDefault="00837BB9" w:rsidP="008349B1">
      <w:pPr>
        <w:pStyle w:val="FootnoteText"/>
        <w:spacing w:before="120" w:after="120"/>
        <w:jc w:val="both"/>
        <w:rPr>
          <w:rFonts w:ascii="Verdana" w:hAnsi="Verdana"/>
          <w:spacing w:val="-12"/>
          <w:sz w:val="16"/>
          <w:szCs w:val="16"/>
          <w:lang w:val="es-CR"/>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lang w:val="es-CR"/>
        </w:rPr>
        <w:tab/>
        <w:t>El representante solicitó la pérdida de ingresos “equivalente al valor de los salarios y demás beneficios laborales dejados de percibir”</w:t>
      </w:r>
      <w:r w:rsidRPr="00FC1D38">
        <w:rPr>
          <w:rFonts w:ascii="Verdana" w:hAnsi="Verdana"/>
          <w:spacing w:val="-12"/>
          <w:sz w:val="16"/>
          <w:szCs w:val="16"/>
          <w:lang w:val="es-CR"/>
        </w:rPr>
        <w:t xml:space="preserve">. En particular, solicitó que se pague a las presuntas víctimas integralmente los salarios, bonos y demás beneficios económicos dejados de percibir desde el momento en que fueron despedidas hasta </w:t>
      </w:r>
      <w:r w:rsidRPr="000536CF">
        <w:rPr>
          <w:rFonts w:ascii="Verdana" w:hAnsi="Verdana"/>
          <w:spacing w:val="-12"/>
          <w:sz w:val="16"/>
          <w:szCs w:val="16"/>
          <w:lang w:val="es-CR"/>
        </w:rPr>
        <w:t>la fecha de la sentencia de la Corte, teniendo en cuenta, para esta liquidación, el salario devengado actualmente por un funcionario de la administración pública venezolana que tenga el mismo rango y nivel que, según su antigüedad y credenciales profesionales, hoy tendrían las víctimas en este caso. Subsidiariamente, el representante solicitó a la Corte que condene al Estado a pagar a las víctimas dichos rubros dejados de percibir que hayan sido devengados por funcionarios del Consejo Nacional de Fronteras, cuyos cargos sean homologables con los que desempeñaban y hoy tendrían las víctimas</w:t>
      </w:r>
      <w:r w:rsidRPr="00A7241B">
        <w:rPr>
          <w:rFonts w:ascii="Verdana" w:hAnsi="Verdana"/>
          <w:spacing w:val="-12"/>
          <w:sz w:val="16"/>
          <w:szCs w:val="16"/>
          <w:lang w:val="es-CR"/>
        </w:rPr>
        <w:t>.</w:t>
      </w:r>
    </w:p>
  </w:footnote>
  <w:footnote w:id="283">
    <w:p w14:paraId="4D46F101" w14:textId="1D95F88E" w:rsidR="00837BB9" w:rsidRPr="00D55480" w:rsidRDefault="00837BB9" w:rsidP="008349B1">
      <w:pPr>
        <w:pStyle w:val="FootnoteText"/>
        <w:spacing w:before="120" w:after="120"/>
        <w:jc w:val="both"/>
        <w:rPr>
          <w:rFonts w:ascii="Verdana" w:hAnsi="Verdana"/>
          <w:spacing w:val="-12"/>
          <w:sz w:val="16"/>
          <w:szCs w:val="16"/>
          <w:lang w:val="es-CR"/>
        </w:rPr>
      </w:pPr>
      <w:r w:rsidRPr="006001C8">
        <w:rPr>
          <w:rStyle w:val="FootnoteReference"/>
          <w:rFonts w:ascii="Verdana" w:hAnsi="Verdana"/>
          <w:spacing w:val="-12"/>
          <w:sz w:val="16"/>
          <w:szCs w:val="16"/>
        </w:rPr>
        <w:footnoteRef/>
      </w:r>
      <w:r w:rsidRPr="006001C8">
        <w:rPr>
          <w:rFonts w:ascii="Verdana" w:hAnsi="Verdana"/>
          <w:spacing w:val="-12"/>
          <w:sz w:val="16"/>
          <w:szCs w:val="16"/>
        </w:rPr>
        <w:t xml:space="preserve"> </w:t>
      </w:r>
      <w:r w:rsidRPr="00D55480">
        <w:rPr>
          <w:rFonts w:ascii="Verdana" w:hAnsi="Verdana"/>
          <w:spacing w:val="-12"/>
          <w:sz w:val="16"/>
          <w:szCs w:val="16"/>
          <w:lang w:val="es-CR"/>
        </w:rPr>
        <w:tab/>
        <w:t xml:space="preserve">El representante </w:t>
      </w:r>
      <w:r>
        <w:rPr>
          <w:rFonts w:ascii="Verdana" w:hAnsi="Verdana"/>
          <w:spacing w:val="-12"/>
          <w:sz w:val="16"/>
          <w:szCs w:val="16"/>
          <w:lang w:val="es-CR"/>
        </w:rPr>
        <w:t>se refirió a</w:t>
      </w:r>
      <w:r w:rsidRPr="00D55480">
        <w:rPr>
          <w:rFonts w:ascii="Verdana" w:hAnsi="Verdana"/>
          <w:spacing w:val="-12"/>
          <w:sz w:val="16"/>
          <w:szCs w:val="16"/>
          <w:lang w:val="es-CR"/>
        </w:rPr>
        <w:t xml:space="preserve">l daño patrimonial familiar como </w:t>
      </w:r>
      <w:r>
        <w:rPr>
          <w:rFonts w:ascii="Verdana" w:hAnsi="Verdana"/>
          <w:spacing w:val="-12"/>
          <w:sz w:val="16"/>
          <w:szCs w:val="16"/>
          <w:lang w:val="es-CR"/>
        </w:rPr>
        <w:t xml:space="preserve">las </w:t>
      </w:r>
      <w:r w:rsidRPr="00D55480">
        <w:rPr>
          <w:rFonts w:ascii="Verdana" w:hAnsi="Verdana"/>
          <w:spacing w:val="-12"/>
          <w:sz w:val="16"/>
          <w:szCs w:val="16"/>
          <w:lang w:val="es-CR"/>
        </w:rPr>
        <w:t>consecuencia</w:t>
      </w:r>
      <w:r>
        <w:rPr>
          <w:rFonts w:ascii="Verdana" w:hAnsi="Verdana"/>
          <w:spacing w:val="-12"/>
          <w:sz w:val="16"/>
          <w:szCs w:val="16"/>
          <w:lang w:val="es-CR"/>
        </w:rPr>
        <w:t>s</w:t>
      </w:r>
      <w:r w:rsidRPr="00D55480">
        <w:rPr>
          <w:rFonts w:ascii="Verdana" w:hAnsi="Verdana"/>
          <w:spacing w:val="-12"/>
          <w:sz w:val="16"/>
          <w:szCs w:val="16"/>
          <w:lang w:val="es-CR"/>
        </w:rPr>
        <w:t xml:space="preserve"> del cambio en sus condiciones de vida y de los gastos en que debieron incurrir para hacer frente a los procesos judiciales en los tribunales internos y a las acciones emprendidas, tanto a nivel nacional como internacional, para reclamar el restablecimiento de sus derechos. </w:t>
      </w:r>
    </w:p>
  </w:footnote>
  <w:footnote w:id="284">
    <w:p w14:paraId="312FF91C" w14:textId="411AB346" w:rsidR="00837BB9" w:rsidRPr="003100FE" w:rsidRDefault="00837BB9" w:rsidP="008349B1">
      <w:pPr>
        <w:pStyle w:val="FootnoteText"/>
        <w:spacing w:before="120" w:after="120"/>
        <w:jc w:val="both"/>
        <w:rPr>
          <w:rFonts w:ascii="Verdana" w:hAnsi="Verdana"/>
          <w:b/>
          <w:spacing w:val="-12"/>
          <w:sz w:val="16"/>
          <w:szCs w:val="16"/>
          <w:lang w:val="es-CR"/>
        </w:rPr>
      </w:pPr>
      <w:r w:rsidRPr="009E7E48">
        <w:rPr>
          <w:rStyle w:val="FootnoteReference"/>
          <w:rFonts w:ascii="Verdana" w:hAnsi="Verdana"/>
          <w:spacing w:val="-12"/>
          <w:sz w:val="16"/>
          <w:szCs w:val="16"/>
        </w:rPr>
        <w:footnoteRef/>
      </w:r>
      <w:r w:rsidRPr="00E83441">
        <w:rPr>
          <w:rFonts w:ascii="Verdana" w:hAnsi="Verdana"/>
          <w:spacing w:val="-12"/>
          <w:sz w:val="16"/>
          <w:szCs w:val="16"/>
        </w:rPr>
        <w:t xml:space="preserve"> </w:t>
      </w:r>
      <w:r w:rsidRPr="00E83441">
        <w:rPr>
          <w:rFonts w:ascii="Verdana" w:hAnsi="Verdana"/>
          <w:spacing w:val="-12"/>
          <w:sz w:val="16"/>
          <w:szCs w:val="16"/>
        </w:rPr>
        <w:tab/>
      </w:r>
      <w:r w:rsidRPr="008B6122">
        <w:rPr>
          <w:rFonts w:ascii="Verdana" w:hAnsi="Verdana"/>
          <w:spacing w:val="-12"/>
          <w:sz w:val="16"/>
          <w:szCs w:val="16"/>
          <w:lang w:val="es-CR"/>
        </w:rPr>
        <w:t>El representante alegó que, “a</w:t>
      </w:r>
      <w:r w:rsidRPr="0012407E">
        <w:rPr>
          <w:rFonts w:ascii="Verdana" w:hAnsi="Verdana"/>
          <w:spacing w:val="-12"/>
          <w:sz w:val="16"/>
          <w:szCs w:val="16"/>
        </w:rPr>
        <w:t>l verse expuestas a una situación injusta, que las discriminó y las estigmatizó ante la sociedad, que las dejó sin empleo y sin un medio de ganarse la vida, las víctimas en este caso sufrieron la angustia de tener que salir a buscar un nuevo empleo, tarea que resultó infructuosa. El sufrimi</w:t>
      </w:r>
      <w:r w:rsidRPr="00C7142E">
        <w:rPr>
          <w:rFonts w:ascii="Verdana" w:hAnsi="Verdana"/>
          <w:spacing w:val="-12"/>
          <w:sz w:val="16"/>
          <w:szCs w:val="16"/>
        </w:rPr>
        <w:t>ento causado por la pérdida repentina de sus ingresos alteró su forma de vida, deterioró las relaciones familiares, y las aisló de lo que, hasta entonces, había sido su círculo social; sus colegas y amigos ya no les llamaban ni les invitaban a sus casas. Esa intensa angustia y ese sufrimiento, causado por el acto discriminatorio y arbitrario del Estado, les ocasionó daños físicos y psicológicos que la Corte tendrá que apreciar y valorar”.</w:t>
      </w:r>
    </w:p>
  </w:footnote>
  <w:footnote w:id="285">
    <w:p w14:paraId="7EDA8230" w14:textId="04F3551E" w:rsidR="00837BB9" w:rsidRPr="0003211A" w:rsidRDefault="00837BB9" w:rsidP="008349B1">
      <w:pPr>
        <w:pStyle w:val="FootnoteText"/>
        <w:spacing w:before="120" w:after="120"/>
        <w:jc w:val="both"/>
        <w:rPr>
          <w:rFonts w:ascii="Verdana" w:hAnsi="Verdana"/>
          <w:spacing w:val="-12"/>
          <w:sz w:val="16"/>
          <w:szCs w:val="16"/>
          <w:lang w:val="es-CR"/>
        </w:rPr>
      </w:pPr>
      <w:r w:rsidRPr="00C7142E">
        <w:rPr>
          <w:rStyle w:val="FootnoteReference"/>
          <w:rFonts w:ascii="Verdana" w:hAnsi="Verdana"/>
          <w:spacing w:val="-12"/>
          <w:sz w:val="16"/>
          <w:szCs w:val="16"/>
        </w:rPr>
        <w:footnoteRef/>
      </w:r>
      <w:r w:rsidRPr="00C7142E">
        <w:rPr>
          <w:rFonts w:ascii="Verdana" w:hAnsi="Verdana"/>
          <w:spacing w:val="-12"/>
          <w:sz w:val="16"/>
          <w:szCs w:val="16"/>
        </w:rPr>
        <w:t xml:space="preserve"> </w:t>
      </w:r>
      <w:r w:rsidRPr="00C7142E">
        <w:rPr>
          <w:rFonts w:ascii="Verdana" w:hAnsi="Verdana"/>
          <w:spacing w:val="-12"/>
          <w:sz w:val="16"/>
          <w:szCs w:val="16"/>
        </w:rPr>
        <w:tab/>
      </w:r>
      <w:r w:rsidRPr="00C7142E">
        <w:rPr>
          <w:rFonts w:ascii="Verdana" w:hAnsi="Verdana"/>
          <w:spacing w:val="-12"/>
          <w:sz w:val="16"/>
          <w:szCs w:val="16"/>
          <w:lang w:val="es-CR"/>
        </w:rPr>
        <w:t>El representante alegó que</w:t>
      </w:r>
      <w:r w:rsidRPr="0069409D">
        <w:rPr>
          <w:rFonts w:ascii="Verdana" w:hAnsi="Verdana"/>
          <w:spacing w:val="-12"/>
          <w:sz w:val="16"/>
          <w:szCs w:val="16"/>
        </w:rPr>
        <w:t xml:space="preserve"> “el ejercicio arbitrario del poder público también alteró los planes y proyectos que, realistamente, las víctimas habían hecho para su futuro. Para ellas, su actividad en el Consejo Nacional de Fronteras no era solamente una forma de ganarse la vida sino que una forma de darle sentido a</w:t>
      </w:r>
      <w:r w:rsidRPr="006C24C0">
        <w:rPr>
          <w:rFonts w:ascii="Verdana" w:hAnsi="Verdana"/>
          <w:spacing w:val="-12"/>
          <w:sz w:val="16"/>
          <w:szCs w:val="16"/>
        </w:rPr>
        <w:t xml:space="preserve"> la vida. Sobre la base de su preparación y de sus credenciales, todas ellas aspiraban a ascender en su empleo, y esa aspiración no era un sueño irrealizable sino una perspectiva realista. En el caso de Rocío San Miguel, desde hacía tiempo ella aspiraba a </w:t>
      </w:r>
      <w:r w:rsidRPr="003100FE">
        <w:rPr>
          <w:rFonts w:ascii="Verdana" w:hAnsi="Verdana"/>
          <w:spacing w:val="-12"/>
          <w:sz w:val="16"/>
          <w:szCs w:val="16"/>
        </w:rPr>
        <w:t>convertirse en asesora jurídica del Consejo Nacional de Fronteras, porque tenía credenciales para ello. Todos esos planes y proyectos se vieron truncados por la decisión arbitraria e inmotivada de poner fin a sus contratos de trabajo”.</w:t>
      </w:r>
    </w:p>
  </w:footnote>
  <w:footnote w:id="286">
    <w:p w14:paraId="6927785C" w14:textId="195C548C" w:rsidR="00837BB9" w:rsidRPr="007C51D0" w:rsidRDefault="00837BB9" w:rsidP="008349B1">
      <w:pPr>
        <w:pStyle w:val="FootnoteText"/>
        <w:spacing w:before="120" w:after="120"/>
        <w:jc w:val="both"/>
        <w:rPr>
          <w:rFonts w:ascii="Verdana" w:hAnsi="Verdana"/>
          <w:spacing w:val="-12"/>
          <w:sz w:val="16"/>
          <w:szCs w:val="16"/>
          <w:lang w:val="es-MX"/>
        </w:rPr>
      </w:pPr>
      <w:r w:rsidRPr="00C7142E">
        <w:rPr>
          <w:rStyle w:val="FootnoteReference"/>
          <w:rFonts w:ascii="Verdana" w:hAnsi="Verdana"/>
          <w:color w:val="000000"/>
          <w:spacing w:val="-12"/>
          <w:sz w:val="16"/>
          <w:szCs w:val="16"/>
        </w:rPr>
        <w:footnoteRef/>
      </w:r>
      <w:r w:rsidRPr="00C7142E">
        <w:rPr>
          <w:rFonts w:ascii="Verdana" w:hAnsi="Verdana"/>
          <w:spacing w:val="-12"/>
          <w:sz w:val="16"/>
          <w:szCs w:val="16"/>
        </w:rPr>
        <w:tab/>
        <w:t xml:space="preserve">Este Tribunal ha establecido que el daño material supone “la pérdida o detrimento de los ingresos de las víctimas, los gastos efectuados con motivo de los hechos y las consecuencias de carácter pecuniario que tengan un nexo causal con los hechos del caso”. </w:t>
      </w:r>
      <w:r w:rsidRPr="007C51D0">
        <w:rPr>
          <w:rFonts w:ascii="Verdana" w:hAnsi="Verdana"/>
          <w:i/>
          <w:spacing w:val="-12"/>
          <w:sz w:val="16"/>
          <w:szCs w:val="16"/>
        </w:rPr>
        <w:t xml:space="preserve">Caso </w:t>
      </w:r>
      <w:proofErr w:type="spellStart"/>
      <w:r w:rsidRPr="007C51D0">
        <w:rPr>
          <w:rFonts w:ascii="Verdana" w:hAnsi="Verdana"/>
          <w:i/>
          <w:spacing w:val="-12"/>
          <w:sz w:val="16"/>
          <w:szCs w:val="16"/>
        </w:rPr>
        <w:t>Bámaca</w:t>
      </w:r>
      <w:proofErr w:type="spellEnd"/>
      <w:r w:rsidRPr="007C51D0">
        <w:rPr>
          <w:rFonts w:ascii="Verdana" w:hAnsi="Verdana"/>
          <w:i/>
          <w:spacing w:val="-12"/>
          <w:sz w:val="16"/>
          <w:szCs w:val="16"/>
        </w:rPr>
        <w:t xml:space="preserve"> Velásquez Vs. Guatemala. Reparaciones y Costas</w:t>
      </w:r>
      <w:r w:rsidRPr="006C24C0">
        <w:rPr>
          <w:rFonts w:ascii="Verdana" w:hAnsi="Verdana"/>
          <w:spacing w:val="-12"/>
          <w:sz w:val="16"/>
          <w:szCs w:val="16"/>
        </w:rPr>
        <w:t xml:space="preserve">. Sentencia de 22 de febrero de 2002. Serie C No. 91, párr. 43,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198</w:t>
      </w:r>
      <w:r w:rsidRPr="002F7180">
        <w:rPr>
          <w:rFonts w:ascii="Verdana" w:hAnsi="Verdana"/>
          <w:spacing w:val="-12"/>
          <w:sz w:val="16"/>
          <w:szCs w:val="16"/>
        </w:rPr>
        <w:t>.</w:t>
      </w:r>
    </w:p>
  </w:footnote>
  <w:footnote w:id="287">
    <w:p w14:paraId="559FC656" w14:textId="7BB851CF" w:rsidR="00837BB9" w:rsidRPr="000536CF" w:rsidRDefault="00837BB9" w:rsidP="008349B1">
      <w:pPr>
        <w:spacing w:before="120" w:after="120" w:line="240" w:lineRule="auto"/>
        <w:contextualSpacing/>
        <w:jc w:val="both"/>
        <w:rPr>
          <w:rFonts w:ascii="Verdana" w:eastAsia="Times New Roman"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lang w:val="es-ES"/>
        </w:rPr>
        <w:t xml:space="preserve">Cfr. Caso </w:t>
      </w:r>
      <w:proofErr w:type="spellStart"/>
      <w:r w:rsidRPr="00CF3AED">
        <w:rPr>
          <w:rFonts w:ascii="Verdana" w:hAnsi="Verdana"/>
          <w:i/>
          <w:spacing w:val="-12"/>
          <w:sz w:val="16"/>
          <w:szCs w:val="16"/>
          <w:lang w:val="es-ES"/>
        </w:rPr>
        <w:t>Suárez</w:t>
      </w:r>
      <w:proofErr w:type="spellEnd"/>
      <w:r w:rsidRPr="00CF3AED">
        <w:rPr>
          <w:rFonts w:ascii="Verdana" w:hAnsi="Verdana"/>
          <w:i/>
          <w:spacing w:val="-12"/>
          <w:sz w:val="16"/>
          <w:szCs w:val="16"/>
          <w:lang w:val="es-ES"/>
        </w:rPr>
        <w:t xml:space="preserve"> Rosero Vs. Ecuador. Reparaciones y Costas</w:t>
      </w:r>
      <w:r w:rsidRPr="00CF3AED">
        <w:rPr>
          <w:rFonts w:ascii="Verdana" w:hAnsi="Verdana"/>
          <w:spacing w:val="-12"/>
          <w:sz w:val="16"/>
          <w:szCs w:val="16"/>
          <w:lang w:val="es-ES"/>
        </w:rPr>
        <w:t xml:space="preserve">. Sentencia de 20 de enero de 1999. Serie C No. 44, párr. 72,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227</w:t>
      </w:r>
      <w:r w:rsidRPr="00FC1D38">
        <w:rPr>
          <w:rFonts w:ascii="Verdana" w:eastAsia="Times New Roman" w:hAnsi="Verdana"/>
          <w:bCs/>
          <w:color w:val="000000"/>
          <w:spacing w:val="-12"/>
          <w:sz w:val="16"/>
          <w:szCs w:val="16"/>
          <w:lang w:val="es-ES"/>
        </w:rPr>
        <w:t>.</w:t>
      </w:r>
    </w:p>
  </w:footnote>
  <w:footnote w:id="288">
    <w:p w14:paraId="09C5A717" w14:textId="77777777" w:rsidR="00837BB9" w:rsidRDefault="00837BB9" w:rsidP="008349B1">
      <w:pPr>
        <w:spacing w:before="120" w:after="120" w:line="240" w:lineRule="auto"/>
        <w:contextualSpacing/>
        <w:jc w:val="both"/>
        <w:rPr>
          <w:rFonts w:ascii="Verdana" w:hAnsi="Verdana"/>
          <w:spacing w:val="-12"/>
          <w:sz w:val="16"/>
          <w:szCs w:val="16"/>
          <w:lang w:val="es-ES"/>
        </w:rPr>
      </w:pPr>
    </w:p>
    <w:p w14:paraId="6D88BA24" w14:textId="7925FD26" w:rsidR="00837BB9" w:rsidRPr="000536CF" w:rsidRDefault="00837BB9" w:rsidP="008349B1">
      <w:pPr>
        <w:spacing w:before="120" w:after="120" w:line="240" w:lineRule="auto"/>
        <w:contextualSpacing/>
        <w:jc w:val="both"/>
        <w:rPr>
          <w:rFonts w:ascii="Verdana" w:eastAsia="Times New Roman" w:hAnsi="Verdana"/>
          <w:spacing w:val="-12"/>
          <w:sz w:val="16"/>
          <w:szCs w:val="16"/>
          <w:lang w:val="es-ES"/>
        </w:rPr>
      </w:pPr>
      <w:r w:rsidRPr="00CF3AED">
        <w:rPr>
          <w:rStyle w:val="FootnoteReference"/>
          <w:rFonts w:ascii="Verdana" w:hAnsi="Verdana"/>
          <w:spacing w:val="-12"/>
          <w:sz w:val="16"/>
          <w:szCs w:val="16"/>
          <w:lang w:val="es-ES"/>
        </w:rPr>
        <w:footnoteRef/>
      </w:r>
      <w:r w:rsidRPr="00CF3AED">
        <w:rPr>
          <w:rFonts w:ascii="Verdana" w:hAnsi="Verdana"/>
          <w:spacing w:val="-12"/>
          <w:sz w:val="16"/>
          <w:szCs w:val="16"/>
          <w:lang w:val="es-ES"/>
        </w:rPr>
        <w:t xml:space="preserve"> </w:t>
      </w:r>
      <w:r w:rsidRPr="00CF3AED">
        <w:rPr>
          <w:rFonts w:ascii="Verdana" w:hAnsi="Verdana"/>
          <w:spacing w:val="-12"/>
          <w:sz w:val="16"/>
          <w:szCs w:val="16"/>
          <w:lang w:val="es-ES"/>
        </w:rPr>
        <w:tab/>
      </w:r>
      <w:r w:rsidRPr="00CF3AED">
        <w:rPr>
          <w:rFonts w:ascii="Verdana" w:hAnsi="Verdana"/>
          <w:i/>
          <w:iCs/>
          <w:spacing w:val="-12"/>
          <w:sz w:val="16"/>
          <w:szCs w:val="16"/>
          <w:lang w:val="es-ES"/>
        </w:rPr>
        <w:t>Cfr. Caso de los “Niños de la Calle” (Villagrán Morales y otros) Vs. Guatemala. Reparaciones y Costas</w:t>
      </w:r>
      <w:r w:rsidRPr="00CF3AED">
        <w:rPr>
          <w:rFonts w:ascii="Verdana" w:hAnsi="Verdana"/>
          <w:spacing w:val="-12"/>
          <w:sz w:val="16"/>
          <w:szCs w:val="16"/>
          <w:lang w:val="es-ES"/>
        </w:rPr>
        <w:t>. Sentencia de 26 de mayo de 2001. Serie C No. 77</w:t>
      </w:r>
      <w:r w:rsidRPr="00CF3AED">
        <w:rPr>
          <w:rFonts w:ascii="Verdana" w:hAnsi="Verdana"/>
          <w:i/>
          <w:iCs/>
          <w:spacing w:val="-12"/>
          <w:sz w:val="16"/>
          <w:szCs w:val="16"/>
          <w:lang w:val="es-ES"/>
        </w:rPr>
        <w:t xml:space="preserve">, </w:t>
      </w:r>
      <w:proofErr w:type="spellStart"/>
      <w:r w:rsidRPr="006203B0">
        <w:rPr>
          <w:rFonts w:ascii="Verdana" w:hAnsi="Verdana"/>
          <w:spacing w:val="-12"/>
          <w:sz w:val="16"/>
          <w:szCs w:val="16"/>
          <w:lang w:val="es-ES"/>
        </w:rPr>
        <w:t>párr</w:t>
      </w:r>
      <w:proofErr w:type="spellEnd"/>
      <w:r w:rsidRPr="006203B0">
        <w:rPr>
          <w:rFonts w:ascii="Verdana" w:hAnsi="Verdana"/>
          <w:spacing w:val="-12"/>
          <w:sz w:val="16"/>
          <w:szCs w:val="16"/>
          <w:lang w:val="es-ES"/>
        </w:rPr>
        <w:t xml:space="preserve">. 84,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227</w:t>
      </w:r>
      <w:r w:rsidRPr="000536CF">
        <w:rPr>
          <w:rFonts w:ascii="Verdana" w:hAnsi="Verdana"/>
          <w:spacing w:val="-12"/>
          <w:sz w:val="16"/>
          <w:szCs w:val="16"/>
          <w:lang w:val="es-ES"/>
        </w:rPr>
        <w:t>.</w:t>
      </w:r>
      <w:r w:rsidRPr="000536CF">
        <w:rPr>
          <w:rFonts w:ascii="Verdana" w:eastAsia="Times New Roman" w:hAnsi="Verdana"/>
          <w:bCs/>
          <w:color w:val="000000"/>
          <w:spacing w:val="-12"/>
          <w:sz w:val="16"/>
          <w:szCs w:val="16"/>
          <w:lang w:val="es-ES"/>
        </w:rPr>
        <w:t xml:space="preserve"> </w:t>
      </w:r>
    </w:p>
  </w:footnote>
  <w:footnote w:id="289">
    <w:p w14:paraId="3159F34F" w14:textId="1C5179E6" w:rsidR="00837BB9" w:rsidRPr="0012407E" w:rsidRDefault="00837BB9" w:rsidP="008349B1">
      <w:pPr>
        <w:pStyle w:val="NormalWeb"/>
        <w:spacing w:before="120" w:beforeAutospacing="0" w:after="120" w:afterAutospacing="0"/>
        <w:contextualSpacing/>
        <w:jc w:val="both"/>
        <w:rPr>
          <w:rFonts w:ascii="Verdana" w:hAnsi="Verdana"/>
          <w:sz w:val="16"/>
          <w:szCs w:val="16"/>
          <w:lang w:val="es-CR"/>
        </w:rPr>
      </w:pPr>
      <w:r w:rsidRPr="001C16AC">
        <w:rPr>
          <w:rStyle w:val="FootnoteReference"/>
          <w:rFonts w:ascii="Verdana" w:hAnsi="Verdana"/>
          <w:spacing w:val="-12"/>
          <w:sz w:val="16"/>
          <w:szCs w:val="16"/>
        </w:rPr>
        <w:footnoteRef/>
      </w:r>
      <w:r w:rsidRPr="006001C8">
        <w:rPr>
          <w:rFonts w:ascii="Verdana" w:hAnsi="Verdana"/>
          <w:spacing w:val="-12"/>
          <w:sz w:val="16"/>
          <w:szCs w:val="16"/>
          <w:lang w:val="es-CR"/>
        </w:rPr>
        <w:t xml:space="preserve"> </w:t>
      </w:r>
      <w:r w:rsidRPr="006001C8">
        <w:rPr>
          <w:rFonts w:ascii="Verdana" w:hAnsi="Verdana"/>
          <w:spacing w:val="-12"/>
          <w:sz w:val="16"/>
          <w:szCs w:val="16"/>
          <w:lang w:val="es-CR"/>
        </w:rPr>
        <w:tab/>
      </w:r>
      <w:r w:rsidRPr="006001C8">
        <w:rPr>
          <w:rFonts w:ascii="Verdana" w:hAnsi="Verdana"/>
          <w:i/>
          <w:iCs/>
          <w:spacing w:val="-12"/>
          <w:sz w:val="16"/>
          <w:szCs w:val="16"/>
          <w:lang w:val="es-CR"/>
        </w:rPr>
        <w:t xml:space="preserve">Cfr. Caso Cantoral Benavides Vs. </w:t>
      </w:r>
      <w:proofErr w:type="spellStart"/>
      <w:r w:rsidRPr="006001C8">
        <w:rPr>
          <w:rFonts w:ascii="Verdana" w:hAnsi="Verdana"/>
          <w:i/>
          <w:iCs/>
          <w:spacing w:val="-12"/>
          <w:sz w:val="16"/>
          <w:szCs w:val="16"/>
          <w:lang w:val="es-CR"/>
        </w:rPr>
        <w:t>Peru</w:t>
      </w:r>
      <w:proofErr w:type="spellEnd"/>
      <w:r w:rsidRPr="006001C8">
        <w:rPr>
          <w:rFonts w:ascii="Verdana" w:hAnsi="Verdana"/>
          <w:i/>
          <w:iCs/>
          <w:spacing w:val="-12"/>
          <w:sz w:val="16"/>
          <w:szCs w:val="16"/>
          <w:lang w:val="es-CR"/>
        </w:rPr>
        <w:t>́. Reparaciones y Costas</w:t>
      </w:r>
      <w:r w:rsidRPr="007C51D0">
        <w:rPr>
          <w:rFonts w:ascii="Verdana" w:hAnsi="Verdana"/>
          <w:bCs/>
          <w:iCs/>
          <w:spacing w:val="-12"/>
          <w:sz w:val="16"/>
          <w:szCs w:val="16"/>
          <w:lang w:val="es-CR"/>
        </w:rPr>
        <w:t>. Sentencia de 3 de diciembre de 2001. Serie C No. 88</w:t>
      </w:r>
      <w:r w:rsidRPr="007C51D0">
        <w:rPr>
          <w:rFonts w:ascii="Verdana" w:hAnsi="Verdana"/>
          <w:iCs/>
          <w:spacing w:val="-12"/>
          <w:sz w:val="16"/>
          <w:szCs w:val="16"/>
          <w:lang w:val="es-CR"/>
        </w:rPr>
        <w:t>,</w:t>
      </w:r>
      <w:r w:rsidRPr="006001C8">
        <w:rPr>
          <w:rFonts w:ascii="Verdana" w:hAnsi="Verdana"/>
          <w:i/>
          <w:iCs/>
          <w:spacing w:val="-12"/>
          <w:sz w:val="16"/>
          <w:szCs w:val="16"/>
          <w:lang w:val="es-CR"/>
        </w:rPr>
        <w:t xml:space="preserve"> </w:t>
      </w:r>
      <w:proofErr w:type="spellStart"/>
      <w:r w:rsidRPr="006001C8">
        <w:rPr>
          <w:rFonts w:ascii="Verdana" w:hAnsi="Verdana"/>
          <w:spacing w:val="-12"/>
          <w:sz w:val="16"/>
          <w:szCs w:val="16"/>
          <w:lang w:val="es-CR"/>
        </w:rPr>
        <w:t>párr</w:t>
      </w:r>
      <w:proofErr w:type="spellEnd"/>
      <w:r w:rsidRPr="006001C8">
        <w:rPr>
          <w:rFonts w:ascii="Verdana" w:hAnsi="Verdana"/>
          <w:spacing w:val="-12"/>
          <w:sz w:val="16"/>
          <w:szCs w:val="16"/>
          <w:lang w:val="es-CR"/>
        </w:rPr>
        <w:t xml:space="preserve">. 53,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227</w:t>
      </w:r>
      <w:r w:rsidRPr="008B6122">
        <w:rPr>
          <w:rFonts w:ascii="Verdana" w:hAnsi="Verdana"/>
          <w:spacing w:val="-12"/>
          <w:sz w:val="16"/>
          <w:szCs w:val="16"/>
          <w:lang w:val="es-ES"/>
        </w:rPr>
        <w:t>.</w:t>
      </w:r>
    </w:p>
  </w:footnote>
  <w:footnote w:id="290">
    <w:p w14:paraId="7F3AD12B" w14:textId="1578A550" w:rsidR="00837BB9" w:rsidRPr="007C51D0" w:rsidRDefault="00837BB9" w:rsidP="008349B1">
      <w:pPr>
        <w:pStyle w:val="FootnoteText"/>
        <w:spacing w:before="120" w:after="120"/>
        <w:jc w:val="both"/>
        <w:rPr>
          <w:rFonts w:ascii="Verdana" w:hAnsi="Verdana"/>
          <w:spacing w:val="-12"/>
          <w:sz w:val="16"/>
          <w:szCs w:val="16"/>
        </w:rPr>
      </w:pPr>
      <w:r w:rsidRPr="007C51D0">
        <w:rPr>
          <w:rStyle w:val="FootnoteReference"/>
          <w:rFonts w:ascii="Verdana" w:hAnsi="Verdana"/>
          <w:spacing w:val="-12"/>
          <w:sz w:val="16"/>
          <w:szCs w:val="16"/>
        </w:rPr>
        <w:footnoteRef/>
      </w:r>
      <w:r w:rsidRPr="00CF3AED">
        <w:rPr>
          <w:rFonts w:ascii="Verdana" w:hAnsi="Verdana"/>
          <w:spacing w:val="-12"/>
          <w:sz w:val="16"/>
          <w:szCs w:val="16"/>
        </w:rPr>
        <w:tab/>
      </w:r>
      <w:r w:rsidRPr="00CF3AED">
        <w:rPr>
          <w:rFonts w:ascii="Verdana" w:hAnsi="Verdana"/>
          <w:i/>
          <w:spacing w:val="-12"/>
          <w:sz w:val="16"/>
          <w:szCs w:val="16"/>
        </w:rPr>
        <w:t>Cfr</w:t>
      </w:r>
      <w:r w:rsidRPr="00CF3AED">
        <w:rPr>
          <w:rFonts w:ascii="Verdana" w:hAnsi="Verdana"/>
          <w:spacing w:val="-12"/>
          <w:sz w:val="16"/>
          <w:szCs w:val="16"/>
        </w:rPr>
        <w:t xml:space="preserve">. </w:t>
      </w:r>
      <w:r>
        <w:rPr>
          <w:rFonts w:ascii="Verdana" w:hAnsi="Verdana"/>
          <w:spacing w:val="-12"/>
          <w:sz w:val="16"/>
          <w:szCs w:val="16"/>
        </w:rPr>
        <w:t>Declaraciones de</w:t>
      </w:r>
      <w:r w:rsidRPr="00CF3AED">
        <w:rPr>
          <w:rFonts w:ascii="Verdana" w:hAnsi="Verdana"/>
          <w:spacing w:val="-12"/>
          <w:sz w:val="16"/>
          <w:szCs w:val="16"/>
        </w:rPr>
        <w:t xml:space="preserve"> Thais Peña</w:t>
      </w:r>
      <w:r>
        <w:rPr>
          <w:rFonts w:ascii="Verdana" w:hAnsi="Verdana"/>
          <w:spacing w:val="-12"/>
          <w:sz w:val="16"/>
          <w:szCs w:val="16"/>
        </w:rPr>
        <w:t xml:space="preserve"> y</w:t>
      </w:r>
      <w:r w:rsidRPr="00FC1D38">
        <w:rPr>
          <w:rFonts w:ascii="Verdana" w:hAnsi="Verdana"/>
          <w:spacing w:val="-12"/>
          <w:sz w:val="16"/>
          <w:szCs w:val="16"/>
        </w:rPr>
        <w:t xml:space="preserve"> </w:t>
      </w:r>
      <w:r>
        <w:rPr>
          <w:rFonts w:ascii="Verdana" w:hAnsi="Verdana"/>
          <w:spacing w:val="-12"/>
          <w:sz w:val="16"/>
          <w:szCs w:val="16"/>
        </w:rPr>
        <w:t xml:space="preserve">de </w:t>
      </w:r>
      <w:proofErr w:type="spellStart"/>
      <w:r w:rsidRPr="00FC1D38">
        <w:rPr>
          <w:rFonts w:ascii="Verdana" w:hAnsi="Verdana"/>
          <w:spacing w:val="-12"/>
          <w:sz w:val="16"/>
          <w:szCs w:val="16"/>
        </w:rPr>
        <w:t>Magal</w:t>
      </w:r>
      <w:r>
        <w:rPr>
          <w:rFonts w:ascii="Verdana" w:hAnsi="Verdana"/>
          <w:spacing w:val="-12"/>
          <w:sz w:val="16"/>
          <w:szCs w:val="16"/>
        </w:rPr>
        <w:t>l</w:t>
      </w:r>
      <w:r w:rsidRPr="00FC1D38">
        <w:rPr>
          <w:rFonts w:ascii="Verdana" w:hAnsi="Verdana"/>
          <w:spacing w:val="-12"/>
          <w:sz w:val="16"/>
          <w:szCs w:val="16"/>
        </w:rPr>
        <w:t>y</w:t>
      </w:r>
      <w:proofErr w:type="spellEnd"/>
      <w:r w:rsidRPr="00FC1D38">
        <w:rPr>
          <w:rFonts w:ascii="Verdana" w:hAnsi="Verdana"/>
          <w:spacing w:val="-12"/>
          <w:sz w:val="16"/>
          <w:szCs w:val="16"/>
        </w:rPr>
        <w:t xml:space="preserve"> Chang (</w:t>
      </w:r>
      <w:proofErr w:type="spellStart"/>
      <w:r w:rsidRPr="000536CF">
        <w:rPr>
          <w:rFonts w:ascii="Verdana" w:hAnsi="Verdana"/>
          <w:spacing w:val="-12"/>
          <w:sz w:val="16"/>
          <w:szCs w:val="16"/>
        </w:rPr>
        <w:t>exp</w:t>
      </w:r>
      <w:proofErr w:type="spellEnd"/>
      <w:r w:rsidRPr="000536CF">
        <w:rPr>
          <w:rFonts w:ascii="Verdana" w:hAnsi="Verdana"/>
          <w:spacing w:val="-12"/>
          <w:sz w:val="16"/>
          <w:szCs w:val="16"/>
        </w:rPr>
        <w:t xml:space="preserve">. prueba, </w:t>
      </w:r>
      <w:r>
        <w:rPr>
          <w:rFonts w:ascii="Verdana" w:hAnsi="Verdana"/>
          <w:spacing w:val="-12"/>
          <w:sz w:val="16"/>
          <w:szCs w:val="16"/>
        </w:rPr>
        <w:t>folios 3095 y</w:t>
      </w:r>
      <w:r w:rsidRPr="000536CF">
        <w:rPr>
          <w:rFonts w:ascii="Verdana" w:hAnsi="Verdana"/>
          <w:spacing w:val="-12"/>
          <w:sz w:val="16"/>
          <w:szCs w:val="16"/>
        </w:rPr>
        <w:t xml:space="preserve"> 3101) y declaración de Rocí</w:t>
      </w:r>
      <w:r w:rsidRPr="005C7D26">
        <w:rPr>
          <w:rFonts w:ascii="Verdana" w:hAnsi="Verdana"/>
          <w:spacing w:val="-12"/>
          <w:sz w:val="16"/>
          <w:szCs w:val="16"/>
        </w:rPr>
        <w:t>o San Miguel durante la audiencia</w:t>
      </w:r>
      <w:r>
        <w:rPr>
          <w:rFonts w:ascii="Verdana" w:hAnsi="Verdana"/>
          <w:spacing w:val="-12"/>
          <w:sz w:val="16"/>
          <w:szCs w:val="16"/>
        </w:rPr>
        <w:t xml:space="preserve"> pública celebrada en este caso</w:t>
      </w:r>
      <w:r w:rsidRPr="005C7D26">
        <w:rPr>
          <w:rFonts w:ascii="Verdana" w:hAnsi="Verdana"/>
          <w:spacing w:val="-12"/>
          <w:sz w:val="16"/>
          <w:szCs w:val="16"/>
        </w:rPr>
        <w:t>.</w:t>
      </w:r>
      <w:r w:rsidRPr="007C51D0">
        <w:rPr>
          <w:rFonts w:ascii="Verdana" w:hAnsi="Verdana"/>
          <w:spacing w:val="-12"/>
          <w:sz w:val="16"/>
          <w:szCs w:val="16"/>
        </w:rPr>
        <w:t xml:space="preserve"> </w:t>
      </w:r>
    </w:p>
  </w:footnote>
  <w:footnote w:id="291">
    <w:p w14:paraId="32C64357" w14:textId="7963889E" w:rsidR="00837BB9" w:rsidRPr="001C16AC" w:rsidRDefault="00837BB9" w:rsidP="008349B1">
      <w:pPr>
        <w:pStyle w:val="FootnoteText"/>
        <w:spacing w:before="120" w:after="120"/>
        <w:jc w:val="both"/>
        <w:rPr>
          <w:rFonts w:ascii="Verdana" w:hAnsi="Verdana"/>
          <w:spacing w:val="-12"/>
          <w:sz w:val="16"/>
          <w:szCs w:val="16"/>
        </w:rPr>
      </w:pPr>
      <w:r w:rsidRPr="00CF3AED">
        <w:rPr>
          <w:rStyle w:val="FootnoteReference"/>
          <w:rFonts w:ascii="Verdana" w:hAnsi="Verdana"/>
          <w:spacing w:val="-12"/>
          <w:sz w:val="16"/>
          <w:szCs w:val="16"/>
        </w:rPr>
        <w:footnoteRef/>
      </w:r>
      <w:r w:rsidRPr="00CF3AED">
        <w:rPr>
          <w:rFonts w:ascii="Verdana" w:hAnsi="Verdana"/>
          <w:spacing w:val="-12"/>
          <w:sz w:val="16"/>
          <w:szCs w:val="16"/>
        </w:rPr>
        <w:t xml:space="preserve"> </w:t>
      </w:r>
      <w:r w:rsidRPr="00CF3AED">
        <w:rPr>
          <w:rFonts w:ascii="Verdana" w:hAnsi="Verdana"/>
          <w:spacing w:val="-12"/>
          <w:sz w:val="16"/>
          <w:szCs w:val="16"/>
        </w:rPr>
        <w:tab/>
      </w:r>
      <w:r w:rsidRPr="00CF3AED">
        <w:rPr>
          <w:rFonts w:ascii="Verdana" w:hAnsi="Verdana"/>
          <w:i/>
          <w:spacing w:val="-12"/>
          <w:sz w:val="16"/>
          <w:szCs w:val="16"/>
        </w:rPr>
        <w:t xml:space="preserve">Cfr. </w:t>
      </w:r>
      <w:r>
        <w:rPr>
          <w:rFonts w:ascii="Verdana" w:hAnsi="Verdana"/>
          <w:spacing w:val="-12"/>
          <w:sz w:val="16"/>
          <w:szCs w:val="16"/>
        </w:rPr>
        <w:t>Dictámenes rendidos por escrito</w:t>
      </w:r>
      <w:r w:rsidRPr="00CF3AED">
        <w:rPr>
          <w:rFonts w:ascii="Verdana" w:hAnsi="Verdana"/>
          <w:spacing w:val="-12"/>
          <w:sz w:val="16"/>
          <w:szCs w:val="16"/>
        </w:rPr>
        <w:t xml:space="preserve"> por el señor </w:t>
      </w:r>
      <w:r w:rsidRPr="006203B0">
        <w:rPr>
          <w:rFonts w:ascii="Verdana" w:hAnsi="Verdana"/>
          <w:spacing w:val="-12"/>
          <w:sz w:val="16"/>
          <w:szCs w:val="16"/>
          <w:lang w:val="es-CR"/>
        </w:rPr>
        <w:t xml:space="preserve">Manuel Gerardo </w:t>
      </w:r>
      <w:proofErr w:type="spellStart"/>
      <w:r w:rsidRPr="006203B0">
        <w:rPr>
          <w:rFonts w:ascii="Verdana" w:hAnsi="Verdana"/>
          <w:spacing w:val="-12"/>
          <w:sz w:val="16"/>
          <w:szCs w:val="16"/>
          <w:lang w:val="es-CR"/>
        </w:rPr>
        <w:t>Réquiz</w:t>
      </w:r>
      <w:proofErr w:type="spellEnd"/>
      <w:r w:rsidRPr="006203B0">
        <w:rPr>
          <w:rFonts w:ascii="Verdana" w:hAnsi="Verdana"/>
          <w:spacing w:val="-12"/>
          <w:sz w:val="16"/>
          <w:szCs w:val="16"/>
          <w:lang w:val="es-CR"/>
        </w:rPr>
        <w:t xml:space="preserve"> </w:t>
      </w:r>
      <w:r w:rsidRPr="00FC1D38">
        <w:rPr>
          <w:rFonts w:ascii="Verdana" w:hAnsi="Verdana"/>
          <w:spacing w:val="-12"/>
          <w:sz w:val="16"/>
          <w:szCs w:val="16"/>
          <w:lang w:val="es-CR"/>
        </w:rPr>
        <w:t xml:space="preserve">Cordero </w:t>
      </w:r>
      <w:r w:rsidRPr="000536CF">
        <w:rPr>
          <w:rFonts w:ascii="Verdana" w:hAnsi="Verdana"/>
          <w:spacing w:val="-12"/>
          <w:sz w:val="16"/>
          <w:szCs w:val="16"/>
        </w:rPr>
        <w:t>(</w:t>
      </w:r>
      <w:proofErr w:type="spellStart"/>
      <w:r w:rsidRPr="000536CF">
        <w:rPr>
          <w:rFonts w:ascii="Verdana" w:hAnsi="Verdana"/>
          <w:spacing w:val="-12"/>
          <w:sz w:val="16"/>
          <w:szCs w:val="16"/>
        </w:rPr>
        <w:t>exp</w:t>
      </w:r>
      <w:proofErr w:type="spellEnd"/>
      <w:r>
        <w:rPr>
          <w:rFonts w:ascii="Verdana" w:hAnsi="Verdana"/>
          <w:spacing w:val="-12"/>
          <w:sz w:val="16"/>
          <w:szCs w:val="16"/>
        </w:rPr>
        <w:t>.</w:t>
      </w:r>
      <w:r w:rsidRPr="000536CF">
        <w:rPr>
          <w:rFonts w:ascii="Verdana" w:hAnsi="Verdana"/>
          <w:spacing w:val="-12"/>
          <w:sz w:val="16"/>
          <w:szCs w:val="16"/>
        </w:rPr>
        <w:t xml:space="preserve"> </w:t>
      </w:r>
      <w:r>
        <w:rPr>
          <w:rFonts w:ascii="Verdana" w:hAnsi="Verdana"/>
          <w:spacing w:val="-12"/>
          <w:sz w:val="16"/>
          <w:szCs w:val="16"/>
        </w:rPr>
        <w:t>prueba</w:t>
      </w:r>
      <w:r w:rsidRPr="000536CF">
        <w:rPr>
          <w:rFonts w:ascii="Verdana" w:hAnsi="Verdana"/>
          <w:spacing w:val="-12"/>
          <w:sz w:val="16"/>
          <w:szCs w:val="16"/>
        </w:rPr>
        <w:t>, folio</w:t>
      </w:r>
      <w:r>
        <w:rPr>
          <w:rFonts w:ascii="Verdana" w:hAnsi="Verdana"/>
          <w:spacing w:val="-12"/>
          <w:sz w:val="16"/>
          <w:szCs w:val="16"/>
        </w:rPr>
        <w:t>s</w:t>
      </w:r>
      <w:r w:rsidRPr="000536CF">
        <w:rPr>
          <w:rFonts w:ascii="Verdana" w:hAnsi="Verdana"/>
          <w:spacing w:val="-12"/>
          <w:sz w:val="16"/>
          <w:szCs w:val="16"/>
        </w:rPr>
        <w:t xml:space="preserve"> 3257 a 3260); el señor Sergio </w:t>
      </w:r>
      <w:proofErr w:type="spellStart"/>
      <w:r w:rsidRPr="000536CF">
        <w:rPr>
          <w:rFonts w:ascii="Verdana" w:hAnsi="Verdana"/>
          <w:spacing w:val="-12"/>
          <w:sz w:val="16"/>
          <w:szCs w:val="16"/>
        </w:rPr>
        <w:t>Garroni</w:t>
      </w:r>
      <w:proofErr w:type="spellEnd"/>
      <w:r w:rsidRPr="000536CF">
        <w:rPr>
          <w:rFonts w:ascii="Verdana" w:hAnsi="Verdana"/>
          <w:spacing w:val="-12"/>
          <w:sz w:val="16"/>
          <w:szCs w:val="16"/>
        </w:rPr>
        <w:t xml:space="preserve"> Calatrava (</w:t>
      </w:r>
      <w:proofErr w:type="spellStart"/>
      <w:r w:rsidRPr="000536CF">
        <w:rPr>
          <w:rFonts w:ascii="Verdana" w:hAnsi="Verdana"/>
          <w:spacing w:val="-12"/>
          <w:sz w:val="16"/>
          <w:szCs w:val="16"/>
        </w:rPr>
        <w:t>exp</w:t>
      </w:r>
      <w:proofErr w:type="spellEnd"/>
      <w:r>
        <w:rPr>
          <w:rFonts w:ascii="Verdana" w:hAnsi="Verdana"/>
          <w:spacing w:val="-12"/>
          <w:sz w:val="16"/>
          <w:szCs w:val="16"/>
        </w:rPr>
        <w:t>.</w:t>
      </w:r>
      <w:r w:rsidRPr="000536CF">
        <w:rPr>
          <w:rFonts w:ascii="Verdana" w:hAnsi="Verdana"/>
          <w:spacing w:val="-12"/>
          <w:sz w:val="16"/>
          <w:szCs w:val="16"/>
        </w:rPr>
        <w:t xml:space="preserve"> </w:t>
      </w:r>
      <w:r>
        <w:rPr>
          <w:rFonts w:ascii="Verdana" w:hAnsi="Verdana"/>
          <w:spacing w:val="-12"/>
          <w:sz w:val="16"/>
          <w:szCs w:val="16"/>
        </w:rPr>
        <w:t>prueba</w:t>
      </w:r>
      <w:r w:rsidRPr="000536CF">
        <w:rPr>
          <w:rFonts w:ascii="Verdana" w:hAnsi="Verdana"/>
          <w:spacing w:val="-12"/>
          <w:sz w:val="16"/>
          <w:szCs w:val="16"/>
        </w:rPr>
        <w:t>, folio</w:t>
      </w:r>
      <w:r>
        <w:rPr>
          <w:rFonts w:ascii="Verdana" w:hAnsi="Verdana"/>
          <w:spacing w:val="-12"/>
          <w:sz w:val="16"/>
          <w:szCs w:val="16"/>
        </w:rPr>
        <w:t>s 3263 a 3266)</w:t>
      </w:r>
      <w:proofErr w:type="gramStart"/>
      <w:r>
        <w:rPr>
          <w:rFonts w:ascii="Verdana" w:hAnsi="Verdana"/>
          <w:spacing w:val="-12"/>
          <w:sz w:val="16"/>
          <w:szCs w:val="16"/>
        </w:rPr>
        <w:t>; )</w:t>
      </w:r>
      <w:proofErr w:type="gramEnd"/>
      <w:r>
        <w:rPr>
          <w:rFonts w:ascii="Verdana" w:hAnsi="Verdana"/>
          <w:spacing w:val="-12"/>
          <w:sz w:val="16"/>
          <w:szCs w:val="16"/>
        </w:rPr>
        <w:t xml:space="preserve"> y </w:t>
      </w:r>
      <w:r w:rsidRPr="000536CF">
        <w:rPr>
          <w:rFonts w:ascii="Verdana" w:hAnsi="Verdana"/>
          <w:spacing w:val="-12"/>
          <w:sz w:val="16"/>
          <w:szCs w:val="16"/>
        </w:rPr>
        <w:t xml:space="preserve">por la señora </w:t>
      </w:r>
      <w:r w:rsidRPr="000536CF">
        <w:rPr>
          <w:rFonts w:ascii="Verdana" w:hAnsi="Verdana"/>
          <w:spacing w:val="-12"/>
          <w:sz w:val="16"/>
          <w:szCs w:val="16"/>
          <w:lang w:val="es-CR"/>
        </w:rPr>
        <w:t>Elsa Cristina González Pérez</w:t>
      </w:r>
      <w:r w:rsidRPr="005C7D26">
        <w:rPr>
          <w:rFonts w:ascii="Verdana" w:hAnsi="Verdana"/>
          <w:spacing w:val="-12"/>
          <w:sz w:val="16"/>
          <w:szCs w:val="16"/>
        </w:rPr>
        <w:t xml:space="preserve"> (</w:t>
      </w:r>
      <w:proofErr w:type="spellStart"/>
      <w:r w:rsidRPr="005C7D26">
        <w:rPr>
          <w:rFonts w:ascii="Verdana" w:hAnsi="Verdana"/>
          <w:spacing w:val="-12"/>
          <w:sz w:val="16"/>
          <w:szCs w:val="16"/>
        </w:rPr>
        <w:t>exp</w:t>
      </w:r>
      <w:proofErr w:type="spellEnd"/>
      <w:r>
        <w:rPr>
          <w:rFonts w:ascii="Verdana" w:hAnsi="Verdana"/>
          <w:spacing w:val="-12"/>
          <w:sz w:val="16"/>
          <w:szCs w:val="16"/>
        </w:rPr>
        <w:t>.</w:t>
      </w:r>
      <w:r w:rsidRPr="001C16AC">
        <w:rPr>
          <w:rFonts w:ascii="Verdana" w:hAnsi="Verdana"/>
          <w:spacing w:val="-12"/>
          <w:sz w:val="16"/>
          <w:szCs w:val="16"/>
        </w:rPr>
        <w:t xml:space="preserve"> </w:t>
      </w:r>
      <w:r>
        <w:rPr>
          <w:rFonts w:ascii="Verdana" w:hAnsi="Verdana"/>
          <w:spacing w:val="-12"/>
          <w:sz w:val="16"/>
          <w:szCs w:val="16"/>
        </w:rPr>
        <w:t>prueba</w:t>
      </w:r>
      <w:r w:rsidRPr="001C16AC">
        <w:rPr>
          <w:rFonts w:ascii="Verdana" w:hAnsi="Verdana"/>
          <w:spacing w:val="-12"/>
          <w:sz w:val="16"/>
          <w:szCs w:val="16"/>
        </w:rPr>
        <w:t>, folio</w:t>
      </w:r>
      <w:r>
        <w:rPr>
          <w:rFonts w:ascii="Verdana" w:hAnsi="Verdana"/>
          <w:spacing w:val="-12"/>
          <w:sz w:val="16"/>
          <w:szCs w:val="16"/>
        </w:rPr>
        <w:t>s</w:t>
      </w:r>
      <w:r w:rsidRPr="001C16AC">
        <w:rPr>
          <w:rFonts w:ascii="Verdana" w:hAnsi="Verdana"/>
          <w:spacing w:val="-12"/>
          <w:sz w:val="16"/>
          <w:szCs w:val="16"/>
        </w:rPr>
        <w:t xml:space="preserve"> 3270 a 3273)</w:t>
      </w:r>
      <w:r>
        <w:rPr>
          <w:rFonts w:ascii="Verdana" w:hAnsi="Verdana"/>
          <w:spacing w:val="-12"/>
          <w:sz w:val="16"/>
          <w:szCs w:val="16"/>
        </w:rPr>
        <w:t>.</w:t>
      </w:r>
      <w:r w:rsidRPr="001C16AC">
        <w:rPr>
          <w:rFonts w:ascii="Verdana" w:hAnsi="Verdana"/>
          <w:spacing w:val="-12"/>
          <w:sz w:val="16"/>
          <w:szCs w:val="16"/>
        </w:rPr>
        <w:t xml:space="preserve"> </w:t>
      </w:r>
    </w:p>
  </w:footnote>
  <w:footnote w:id="292">
    <w:p w14:paraId="5F2428DE" w14:textId="77777777" w:rsidR="00837BB9" w:rsidRPr="007C51D0" w:rsidRDefault="00837BB9" w:rsidP="008349B1">
      <w:pPr>
        <w:pStyle w:val="FootnoteText"/>
        <w:spacing w:before="120" w:after="120"/>
        <w:jc w:val="both"/>
        <w:rPr>
          <w:rFonts w:ascii="Verdana" w:hAnsi="Verdana"/>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rPr>
        <w:t xml:space="preserve"> </w:t>
      </w:r>
      <w:r w:rsidRPr="00CF3AED">
        <w:rPr>
          <w:rFonts w:ascii="Verdana" w:hAnsi="Verdana"/>
          <w:spacing w:val="-12"/>
          <w:sz w:val="16"/>
          <w:szCs w:val="16"/>
          <w:lang w:val="es-CR"/>
        </w:rPr>
        <w:tab/>
        <w:t>La Comisión solicitó la realización de programas de capacitación: i) a funcionarios públicos de todos los niveles sobre la prohibición de discriminación con base en la opinión política; y ii) a operadores jurídicos llamados a conocer posibles denuncias de discriminación encubierta o desviación de poder. El representante solicitó la realización de cursos y programas de capacitación de los funcionarios del Consejo Nacional Electoral, de la Fiscalía General de la República, del Poder Judicial y de la Defensoría del Pueblo, en todos sus niveles, sobre la prohibición de la discriminación por motivos políticos.</w:t>
      </w:r>
    </w:p>
  </w:footnote>
  <w:footnote w:id="293">
    <w:p w14:paraId="68529397" w14:textId="3C8381F7" w:rsidR="00837BB9" w:rsidRPr="001C16AC" w:rsidRDefault="00837BB9" w:rsidP="008349B1">
      <w:pPr>
        <w:spacing w:before="120" w:after="120" w:line="240" w:lineRule="auto"/>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r>
      <w:r w:rsidRPr="00CF3AED">
        <w:rPr>
          <w:rFonts w:ascii="Verdana" w:hAnsi="Verdana"/>
          <w:i/>
          <w:spacing w:val="-12"/>
          <w:sz w:val="16"/>
          <w:szCs w:val="16"/>
          <w:lang w:val="es-MX"/>
        </w:rPr>
        <w:t>Cfr</w:t>
      </w:r>
      <w:r w:rsidRPr="00CF3AED">
        <w:rPr>
          <w:rFonts w:ascii="Verdana" w:hAnsi="Verdana"/>
          <w:spacing w:val="-12"/>
          <w:sz w:val="16"/>
          <w:szCs w:val="16"/>
          <w:lang w:val="es-MX"/>
        </w:rPr>
        <w:t xml:space="preserve">. </w:t>
      </w:r>
      <w:r w:rsidRPr="00CF3AED">
        <w:rPr>
          <w:rFonts w:ascii="Verdana" w:eastAsia="Times New Roman" w:hAnsi="Verdana" w:cs="Times New Roman"/>
          <w:bCs/>
          <w:i/>
          <w:color w:val="000000"/>
          <w:spacing w:val="-12"/>
          <w:sz w:val="16"/>
          <w:szCs w:val="16"/>
          <w:lang w:val="es-MX"/>
        </w:rPr>
        <w:t xml:space="preserve">Caso García Ibarra y otros Vs. Ecuador, supra, </w:t>
      </w:r>
      <w:r w:rsidRPr="006203B0">
        <w:rPr>
          <w:rFonts w:ascii="Verdana" w:eastAsia="Times New Roman" w:hAnsi="Verdana" w:cs="Times New Roman"/>
          <w:bCs/>
          <w:color w:val="000000"/>
          <w:spacing w:val="-12"/>
          <w:sz w:val="16"/>
          <w:szCs w:val="16"/>
          <w:lang w:val="es-MX"/>
        </w:rPr>
        <w:t xml:space="preserve">párr. 205; </w:t>
      </w:r>
      <w:r>
        <w:rPr>
          <w:rFonts w:ascii="Verdana" w:eastAsia="Times New Roman" w:hAnsi="Verdana" w:cs="Times New Roman"/>
          <w:bCs/>
          <w:color w:val="000000"/>
          <w:spacing w:val="-12"/>
          <w:sz w:val="16"/>
          <w:szCs w:val="16"/>
          <w:lang w:val="es-MX"/>
        </w:rPr>
        <w:t>y</w:t>
      </w:r>
      <w:r w:rsidRPr="005C7D26">
        <w:rPr>
          <w:rFonts w:ascii="Verdana" w:eastAsia="Times New Roman" w:hAnsi="Verdana" w:cs="Times New Roman"/>
          <w:bCs/>
          <w:color w:val="000000"/>
          <w:spacing w:val="-12"/>
          <w:sz w:val="16"/>
          <w:szCs w:val="16"/>
          <w:lang w:val="es-MX"/>
        </w:rPr>
        <w:t xml:space="preserve"> </w:t>
      </w:r>
      <w:r w:rsidRPr="007C51D0">
        <w:rPr>
          <w:rFonts w:ascii="Verdana" w:eastAsia="Times New Roman" w:hAnsi="Verdana" w:cs="Times New Roman"/>
          <w:bCs/>
          <w:i/>
          <w:color w:val="000000"/>
          <w:spacing w:val="-12"/>
          <w:sz w:val="16"/>
          <w:szCs w:val="16"/>
        </w:rPr>
        <w:t>Caso Acosta y otros Vs. Nicaragua</w:t>
      </w:r>
      <w:r>
        <w:rPr>
          <w:rFonts w:ascii="Verdana" w:eastAsia="Times New Roman" w:hAnsi="Verdana" w:cs="Times New Roman"/>
          <w:bCs/>
          <w:i/>
          <w:color w:val="000000"/>
          <w:spacing w:val="-12"/>
          <w:sz w:val="16"/>
          <w:szCs w:val="16"/>
        </w:rPr>
        <w:t>, supra,</w:t>
      </w:r>
      <w:r w:rsidRPr="005C7D26">
        <w:rPr>
          <w:rFonts w:ascii="Verdana" w:eastAsia="Times New Roman" w:hAnsi="Verdana" w:cs="Times New Roman"/>
          <w:bCs/>
          <w:color w:val="000000"/>
          <w:spacing w:val="-12"/>
          <w:sz w:val="16"/>
          <w:szCs w:val="16"/>
          <w:lang w:val="es-MX"/>
        </w:rPr>
        <w:t xml:space="preserve"> </w:t>
      </w:r>
      <w:r>
        <w:rPr>
          <w:rFonts w:ascii="Verdana" w:eastAsia="Times New Roman" w:hAnsi="Verdana" w:cs="Times New Roman"/>
          <w:bCs/>
          <w:color w:val="000000"/>
          <w:spacing w:val="-12"/>
          <w:sz w:val="16"/>
          <w:szCs w:val="16"/>
          <w:lang w:val="es-MX"/>
        </w:rPr>
        <w:t>párr. 2</w:t>
      </w:r>
      <w:r w:rsidRPr="005C7D26">
        <w:rPr>
          <w:rFonts w:ascii="Verdana" w:eastAsia="Times New Roman" w:hAnsi="Verdana" w:cs="Times New Roman"/>
          <w:bCs/>
          <w:color w:val="000000"/>
          <w:spacing w:val="-12"/>
          <w:sz w:val="16"/>
          <w:szCs w:val="16"/>
          <w:lang w:val="es-MX"/>
        </w:rPr>
        <w:t>26</w:t>
      </w:r>
      <w:r>
        <w:rPr>
          <w:rFonts w:ascii="Verdana" w:eastAsia="Times New Roman" w:hAnsi="Verdana" w:cs="Times New Roman"/>
          <w:bCs/>
          <w:color w:val="000000"/>
          <w:spacing w:val="-12"/>
          <w:sz w:val="16"/>
          <w:szCs w:val="16"/>
          <w:lang w:val="es-MX"/>
        </w:rPr>
        <w:t>.</w:t>
      </w:r>
    </w:p>
  </w:footnote>
  <w:footnote w:id="294">
    <w:p w14:paraId="1840B694" w14:textId="6D33952D" w:rsidR="00837BB9" w:rsidRPr="007C51D0" w:rsidRDefault="00837BB9" w:rsidP="008349B1">
      <w:pPr>
        <w:pStyle w:val="FootnoteText"/>
        <w:spacing w:before="120" w:after="120"/>
        <w:jc w:val="both"/>
        <w:rPr>
          <w:rFonts w:ascii="Verdana" w:hAnsi="Verdana"/>
          <w:b/>
          <w:bCs/>
          <w:spacing w:val="-12"/>
          <w:sz w:val="16"/>
          <w:szCs w:val="16"/>
          <w:lang w:val="es-CR"/>
        </w:rPr>
      </w:pPr>
      <w:r w:rsidRPr="007C51D0">
        <w:rPr>
          <w:rStyle w:val="FootnoteReference"/>
          <w:rFonts w:ascii="Verdana" w:hAnsi="Verdana"/>
          <w:spacing w:val="-12"/>
          <w:sz w:val="16"/>
          <w:szCs w:val="16"/>
        </w:rPr>
        <w:footnoteRef/>
      </w:r>
      <w:r w:rsidRPr="007C51D0">
        <w:rPr>
          <w:rFonts w:ascii="Verdana" w:hAnsi="Verdana"/>
          <w:spacing w:val="-12"/>
          <w:sz w:val="16"/>
          <w:szCs w:val="16"/>
          <w:lang w:val="es-MX"/>
        </w:rPr>
        <w:t xml:space="preserve"> </w:t>
      </w:r>
      <w:r w:rsidRPr="00CF3AED">
        <w:rPr>
          <w:rFonts w:ascii="Verdana" w:hAnsi="Verdana"/>
          <w:bCs/>
          <w:i/>
          <w:color w:val="000000"/>
          <w:spacing w:val="-12"/>
          <w:sz w:val="16"/>
          <w:szCs w:val="16"/>
          <w:lang w:val="es-MX"/>
        </w:rPr>
        <w:tab/>
        <w:t xml:space="preserve">Cfr. Caso Velásquez Rodríguez Vs. Honduras. Reparaciones, supra, </w:t>
      </w:r>
      <w:r w:rsidRPr="00CF3AED">
        <w:rPr>
          <w:rFonts w:ascii="Verdana" w:hAnsi="Verdana"/>
          <w:bCs/>
          <w:color w:val="000000"/>
          <w:spacing w:val="-12"/>
          <w:sz w:val="16"/>
          <w:szCs w:val="16"/>
          <w:lang w:val="es-MX"/>
        </w:rPr>
        <w:t xml:space="preserve">párr. 42,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242</w:t>
      </w:r>
      <w:r w:rsidRPr="001C16AC">
        <w:rPr>
          <w:rStyle w:val="Strong"/>
          <w:rFonts w:ascii="Verdana" w:hAnsi="Verdana"/>
          <w:b w:val="0"/>
          <w:iCs/>
          <w:color w:val="000000"/>
          <w:spacing w:val="-12"/>
          <w:sz w:val="16"/>
          <w:szCs w:val="16"/>
          <w:shd w:val="clear" w:color="auto" w:fill="FFFFFF"/>
          <w:lang w:val="es-MX"/>
        </w:rPr>
        <w:t>.</w:t>
      </w:r>
      <w:r w:rsidRPr="001C16AC">
        <w:rPr>
          <w:rStyle w:val="Strong"/>
          <w:rFonts w:ascii="Verdana" w:hAnsi="Verdana"/>
          <w:iCs/>
          <w:color w:val="000000"/>
          <w:spacing w:val="-12"/>
          <w:sz w:val="16"/>
          <w:szCs w:val="16"/>
          <w:shd w:val="clear" w:color="auto" w:fill="FFFFFF"/>
          <w:lang w:val="es-MX"/>
        </w:rPr>
        <w:t xml:space="preserve"> </w:t>
      </w:r>
    </w:p>
  </w:footnote>
  <w:footnote w:id="295">
    <w:p w14:paraId="525AFD7F" w14:textId="74D7295B" w:rsidR="00837BB9" w:rsidRPr="006001C8" w:rsidRDefault="00837BB9" w:rsidP="008349B1">
      <w:pPr>
        <w:pStyle w:val="FootnoteText"/>
        <w:spacing w:before="120" w:after="120"/>
        <w:jc w:val="both"/>
        <w:rPr>
          <w:rFonts w:ascii="Verdana" w:hAnsi="Verdana"/>
          <w:spacing w:val="-12"/>
          <w:sz w:val="16"/>
          <w:szCs w:val="16"/>
          <w:lang w:val="es-MX"/>
        </w:rPr>
      </w:pPr>
      <w:r w:rsidRPr="00CF3AED">
        <w:rPr>
          <w:rStyle w:val="FootnoteReference"/>
          <w:rFonts w:ascii="Verdana" w:hAnsi="Verdana"/>
          <w:spacing w:val="-12"/>
          <w:sz w:val="16"/>
          <w:szCs w:val="16"/>
          <w:lang w:val="es-MX"/>
        </w:rPr>
        <w:footnoteRef/>
      </w:r>
      <w:r w:rsidRPr="00CF3AED">
        <w:rPr>
          <w:rFonts w:ascii="Verdana" w:hAnsi="Verdana"/>
          <w:spacing w:val="-12"/>
          <w:sz w:val="16"/>
          <w:szCs w:val="16"/>
          <w:lang w:val="es-MX"/>
        </w:rPr>
        <w:t xml:space="preserve"> </w:t>
      </w:r>
      <w:r w:rsidRPr="00CF3AED">
        <w:rPr>
          <w:rFonts w:ascii="Verdana" w:hAnsi="Verdana"/>
          <w:spacing w:val="-12"/>
          <w:sz w:val="16"/>
          <w:szCs w:val="16"/>
          <w:lang w:val="es-MX"/>
        </w:rPr>
        <w:tab/>
        <w:t>Además, la Corte ha establecido que las pretensiones de las víctimas o sus representantes en materia de costas y gastos, y las pruebas que las sustentan, deben presentarse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 No es suficiente la remisión de documentos probatorios, sino que se requiere que las partes hagan una argumentación que relacione la prueba con el hecho que se considera representado, y que, al tratarse de a</w:t>
      </w:r>
      <w:r w:rsidRPr="006203B0">
        <w:rPr>
          <w:rFonts w:ascii="Verdana" w:hAnsi="Verdana"/>
          <w:spacing w:val="-12"/>
          <w:sz w:val="16"/>
          <w:szCs w:val="16"/>
          <w:lang w:val="es-MX"/>
        </w:rPr>
        <w:t xml:space="preserve">legados desembolsos económicos, se establezcan con claridad los rubros y la justificación de los mismos. </w:t>
      </w:r>
      <w:r w:rsidRPr="00FC1D38">
        <w:rPr>
          <w:rFonts w:ascii="Verdana" w:eastAsia="Verdana" w:hAnsi="Verdana" w:cs="Verdana"/>
          <w:i/>
          <w:spacing w:val="-12"/>
          <w:sz w:val="16"/>
          <w:szCs w:val="16"/>
          <w:lang w:val="es-MX"/>
        </w:rPr>
        <w:t xml:space="preserve">Caso Garrido y </w:t>
      </w:r>
      <w:proofErr w:type="spellStart"/>
      <w:r w:rsidRPr="00FC1D38">
        <w:rPr>
          <w:rFonts w:ascii="Verdana" w:eastAsia="Verdana" w:hAnsi="Verdana" w:cs="Verdana"/>
          <w:i/>
          <w:spacing w:val="-12"/>
          <w:sz w:val="16"/>
          <w:szCs w:val="16"/>
          <w:lang w:val="es-MX"/>
        </w:rPr>
        <w:t>Baigorria</w:t>
      </w:r>
      <w:proofErr w:type="spellEnd"/>
      <w:r w:rsidRPr="00FC1D38">
        <w:rPr>
          <w:rFonts w:ascii="Verdana" w:eastAsia="Verdana" w:hAnsi="Verdana" w:cs="Verdana"/>
          <w:i/>
          <w:spacing w:val="-12"/>
          <w:sz w:val="16"/>
          <w:szCs w:val="16"/>
          <w:lang w:val="es-MX"/>
        </w:rPr>
        <w:t xml:space="preserve"> Vs. Argentina. Reparaciones y Costas</w:t>
      </w:r>
      <w:r w:rsidRPr="000536CF">
        <w:rPr>
          <w:rFonts w:ascii="Verdana" w:eastAsia="Verdana" w:hAnsi="Verdana" w:cs="Verdana"/>
          <w:spacing w:val="-12"/>
          <w:sz w:val="16"/>
          <w:szCs w:val="16"/>
          <w:lang w:val="es-MX"/>
        </w:rPr>
        <w:t xml:space="preserve">, </w:t>
      </w:r>
      <w:r w:rsidRPr="000536CF">
        <w:rPr>
          <w:rFonts w:ascii="Verdana" w:eastAsia="Verdana" w:hAnsi="Verdana" w:cs="Verdana"/>
          <w:bCs/>
          <w:spacing w:val="-12"/>
          <w:sz w:val="16"/>
          <w:szCs w:val="16"/>
          <w:lang w:val="es-MX"/>
        </w:rPr>
        <w:t>Sentencia de 27 de agosto de 1998. Serie C No. 39.</w:t>
      </w:r>
      <w:r w:rsidRPr="000536CF">
        <w:rPr>
          <w:rFonts w:ascii="Verdana" w:eastAsia="Verdana" w:hAnsi="Verdana" w:cs="Verdana"/>
          <w:spacing w:val="-12"/>
          <w:sz w:val="16"/>
          <w:szCs w:val="16"/>
          <w:lang w:val="es-MX"/>
        </w:rPr>
        <w:t xml:space="preserve"> párr. </w:t>
      </w:r>
      <w:r>
        <w:rPr>
          <w:rFonts w:ascii="Verdana" w:eastAsia="Verdana" w:hAnsi="Verdana" w:cs="Verdana"/>
          <w:spacing w:val="-12"/>
          <w:sz w:val="16"/>
          <w:szCs w:val="16"/>
          <w:lang w:val="es-MX"/>
        </w:rPr>
        <w:t>82</w:t>
      </w:r>
      <w:r w:rsidRPr="000536CF">
        <w:rPr>
          <w:rFonts w:ascii="Verdana" w:eastAsia="Verdana" w:hAnsi="Verdana" w:cs="Verdana"/>
          <w:spacing w:val="-12"/>
          <w:sz w:val="16"/>
          <w:szCs w:val="16"/>
          <w:lang w:val="es-MX"/>
        </w:rPr>
        <w:t xml:space="preserve">, y </w:t>
      </w:r>
      <w:r w:rsidRPr="00E2432F">
        <w:rPr>
          <w:rFonts w:ascii="Verdana" w:hAnsi="Verdana"/>
          <w:bCs/>
          <w:i/>
          <w:spacing w:val="-12"/>
          <w:sz w:val="16"/>
          <w:szCs w:val="16"/>
          <w:lang w:val="es-VE"/>
        </w:rPr>
        <w:t>Caso Trabajadores Cesado</w:t>
      </w:r>
      <w:r>
        <w:rPr>
          <w:rFonts w:ascii="Verdana" w:hAnsi="Verdana"/>
          <w:bCs/>
          <w:i/>
          <w:spacing w:val="-12"/>
          <w:sz w:val="16"/>
          <w:szCs w:val="16"/>
          <w:lang w:val="es-VE"/>
        </w:rPr>
        <w:t>s de Petroperú y otros Vs. Perú, supra</w:t>
      </w:r>
      <w:r>
        <w:rPr>
          <w:rFonts w:ascii="Verdana" w:hAnsi="Verdana"/>
          <w:bCs/>
          <w:spacing w:val="-12"/>
          <w:sz w:val="16"/>
          <w:szCs w:val="16"/>
          <w:lang w:val="es-VE"/>
        </w:rPr>
        <w:t>, párr. 243</w:t>
      </w:r>
      <w:r w:rsidRPr="001C16AC">
        <w:rPr>
          <w:rFonts w:ascii="Verdana" w:hAnsi="Verdana"/>
          <w:iCs/>
          <w:spacing w:val="-12"/>
          <w:sz w:val="16"/>
          <w:szCs w:val="16"/>
          <w:lang w:val="es-MX"/>
        </w:rPr>
        <w:t>.</w:t>
      </w:r>
    </w:p>
  </w:footnote>
  <w:footnote w:id="296">
    <w:p w14:paraId="70C32EE1" w14:textId="1F19C6D0" w:rsidR="00837BB9" w:rsidRPr="007C51D0" w:rsidRDefault="00837BB9" w:rsidP="008349B1">
      <w:pPr>
        <w:pStyle w:val="FootnoteText"/>
        <w:jc w:val="both"/>
        <w:rPr>
          <w:rFonts w:ascii="Verdana" w:hAnsi="Verdana"/>
          <w:sz w:val="16"/>
          <w:szCs w:val="16"/>
          <w:lang w:val="es-CR"/>
        </w:rPr>
      </w:pPr>
      <w:r w:rsidRPr="007C51D0">
        <w:rPr>
          <w:rStyle w:val="FootnoteReference"/>
          <w:rFonts w:ascii="Verdana" w:hAnsi="Verdana"/>
          <w:sz w:val="16"/>
          <w:szCs w:val="16"/>
        </w:rPr>
        <w:footnoteRef/>
      </w:r>
      <w:r w:rsidRPr="007C51D0">
        <w:rPr>
          <w:rFonts w:ascii="Verdana" w:hAnsi="Verdana"/>
          <w:sz w:val="16"/>
          <w:szCs w:val="16"/>
        </w:rPr>
        <w:t xml:space="preserve"> </w:t>
      </w:r>
      <w:r w:rsidRPr="00CF3AED">
        <w:rPr>
          <w:rFonts w:ascii="Verdana" w:hAnsi="Verdana"/>
          <w:spacing w:val="-12"/>
          <w:sz w:val="16"/>
          <w:szCs w:val="16"/>
          <w:lang w:val="es-MX"/>
        </w:rPr>
        <w:tab/>
      </w:r>
      <w:r w:rsidRPr="00CF3AED">
        <w:rPr>
          <w:rFonts w:ascii="Verdana" w:hAnsi="Verdana"/>
          <w:i/>
          <w:spacing w:val="-12"/>
          <w:sz w:val="16"/>
          <w:szCs w:val="16"/>
          <w:lang w:val="es-MX"/>
        </w:rPr>
        <w:t>Cfr. Caso Ortiz Hernández y otros Vs. Venezuela</w:t>
      </w:r>
      <w:r w:rsidRPr="006203B0">
        <w:rPr>
          <w:rFonts w:ascii="Verdana" w:hAnsi="Verdana"/>
          <w:spacing w:val="-12"/>
          <w:sz w:val="16"/>
          <w:szCs w:val="16"/>
          <w:lang w:val="es-MX"/>
        </w:rPr>
        <w:t>,</w:t>
      </w:r>
      <w:r w:rsidRPr="00FC1D38">
        <w:rPr>
          <w:rFonts w:ascii="Verdana" w:hAnsi="Verdana"/>
          <w:spacing w:val="-12"/>
          <w:sz w:val="16"/>
          <w:szCs w:val="16"/>
          <w:lang w:val="es-MX"/>
        </w:rPr>
        <w:t xml:space="preserve"> </w:t>
      </w:r>
      <w:r w:rsidRPr="000536CF">
        <w:rPr>
          <w:rFonts w:ascii="Verdana" w:hAnsi="Verdana"/>
          <w:i/>
          <w:spacing w:val="-12"/>
          <w:sz w:val="16"/>
          <w:szCs w:val="16"/>
          <w:lang w:val="es-MX"/>
        </w:rPr>
        <w:t>supra,</w:t>
      </w:r>
      <w:r w:rsidRPr="000536CF">
        <w:rPr>
          <w:rFonts w:ascii="Verdana" w:hAnsi="Verdana"/>
          <w:spacing w:val="-12"/>
          <w:sz w:val="16"/>
          <w:szCs w:val="16"/>
          <w:lang w:val="es-MX"/>
        </w:rPr>
        <w:t xml:space="preserve"> párr. 262.</w:t>
      </w:r>
    </w:p>
  </w:footnote>
  <w:footnote w:id="297">
    <w:p w14:paraId="259E3A5D" w14:textId="6C78EAA9" w:rsidR="00837BB9" w:rsidRPr="00E97DDD" w:rsidRDefault="00837BB9" w:rsidP="00E97DDD">
      <w:pPr>
        <w:spacing w:line="240" w:lineRule="auto"/>
        <w:jc w:val="both"/>
        <w:rPr>
          <w:rFonts w:ascii="Verdana" w:eastAsia="Times New Roman" w:hAnsi="Verdana" w:cs="Times New Roman"/>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xml:space="preserve">. Sentencia de 31 de agosto de 2017. Serie C No. 340. </w:t>
      </w:r>
    </w:p>
  </w:footnote>
  <w:footnote w:id="298">
    <w:p w14:paraId="090091A2" w14:textId="75CF4DCD" w:rsidR="00837BB9" w:rsidRPr="00E97DDD" w:rsidRDefault="00837BB9" w:rsidP="00E97DDD">
      <w:pPr>
        <w:spacing w:line="240" w:lineRule="auto"/>
        <w:jc w:val="both"/>
        <w:rPr>
          <w:rFonts w:ascii="Verdana" w:eastAsia="Times New Roman" w:hAnsi="Verdana" w:cs="Times New Roman"/>
          <w:bCs/>
          <w:color w:val="000000"/>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eastAsia="Times New Roman" w:hAnsi="Verdana" w:cs="Times New Roman"/>
          <w:bCs/>
          <w:i/>
          <w:color w:val="000000"/>
          <w:sz w:val="16"/>
          <w:szCs w:val="16"/>
          <w:lang w:val="es-MX"/>
        </w:rPr>
        <w:t>Caso Trabajadores Cesados de Petroperú y otros Vs. Perú. Excepciones Preliminares, Fondo, Reparaciones y Costas.</w:t>
      </w:r>
      <w:r w:rsidRPr="001D32B8">
        <w:rPr>
          <w:rFonts w:ascii="Verdana" w:eastAsia="Times New Roman" w:hAnsi="Verdana" w:cs="Times New Roman"/>
          <w:bCs/>
          <w:color w:val="000000"/>
          <w:sz w:val="16"/>
          <w:szCs w:val="16"/>
          <w:lang w:val="es-MX"/>
        </w:rPr>
        <w:t xml:space="preserve"> Sentencia de 23 de noviembre 2017. Serie C No. 344. </w:t>
      </w:r>
    </w:p>
  </w:footnote>
  <w:footnote w:id="299">
    <w:p w14:paraId="75DFBBDB" w14:textId="77777777" w:rsidR="00837BB9" w:rsidRPr="001D32B8" w:rsidRDefault="00837BB9" w:rsidP="00E97DDD">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221. </w:t>
      </w:r>
    </w:p>
    <w:p w14:paraId="2336AFC1" w14:textId="77777777" w:rsidR="00837BB9" w:rsidRPr="001D32B8" w:rsidRDefault="00837BB9" w:rsidP="0027007E">
      <w:pPr>
        <w:pStyle w:val="FootnoteText"/>
        <w:jc w:val="both"/>
        <w:rPr>
          <w:rFonts w:ascii="Verdana" w:hAnsi="Verdana"/>
          <w:sz w:val="16"/>
          <w:szCs w:val="16"/>
        </w:rPr>
      </w:pPr>
    </w:p>
  </w:footnote>
  <w:footnote w:id="300">
    <w:p w14:paraId="040147DF"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Al respecto</w:t>
      </w:r>
      <w:r>
        <w:rPr>
          <w:rFonts w:ascii="Verdana" w:hAnsi="Verdana"/>
          <w:sz w:val="16"/>
          <w:szCs w:val="16"/>
        </w:rPr>
        <w:t>,</w:t>
      </w:r>
      <w:r w:rsidRPr="001D32B8">
        <w:rPr>
          <w:rFonts w:ascii="Verdana" w:hAnsi="Verdana"/>
          <w:sz w:val="16"/>
          <w:szCs w:val="16"/>
        </w:rPr>
        <w:t xml:space="preserve"> el punto resolutivo 7 establece: “El Estado no es responsable por la alegada violación del derecho a las garantías judiciales, específicamente a ser oído por un juez independiente y en un plazo razonable, reconocido en el artículo 8.1 de la Convención Americana sobre Derechos Humanos, por las razones señaladas en los párrafos 197 y 201 a 210 de esta Sentencia”. </w:t>
      </w:r>
    </w:p>
    <w:p w14:paraId="402EF7CD" w14:textId="77777777" w:rsidR="00837BB9" w:rsidRPr="001D32B8" w:rsidRDefault="00837BB9" w:rsidP="0027007E">
      <w:pPr>
        <w:pStyle w:val="FootnoteText"/>
        <w:jc w:val="both"/>
        <w:rPr>
          <w:rFonts w:ascii="Verdana" w:hAnsi="Verdana"/>
          <w:sz w:val="16"/>
          <w:szCs w:val="16"/>
        </w:rPr>
      </w:pPr>
    </w:p>
  </w:footnote>
  <w:footnote w:id="301">
    <w:p w14:paraId="64E53961"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210. </w:t>
      </w:r>
    </w:p>
    <w:p w14:paraId="48D72A23" w14:textId="77777777" w:rsidR="00837BB9" w:rsidRPr="001D32B8" w:rsidRDefault="00837BB9" w:rsidP="0027007E">
      <w:pPr>
        <w:pStyle w:val="FootnoteText"/>
        <w:jc w:val="both"/>
        <w:rPr>
          <w:rFonts w:ascii="Verdana" w:hAnsi="Verdana"/>
          <w:sz w:val="16"/>
          <w:szCs w:val="16"/>
        </w:rPr>
      </w:pPr>
    </w:p>
  </w:footnote>
  <w:footnote w:id="302">
    <w:p w14:paraId="017849C6" w14:textId="77777777" w:rsidR="00837BB9" w:rsidRPr="001D32B8" w:rsidRDefault="00837BB9" w:rsidP="0027007E">
      <w:pPr>
        <w:widowControl w:val="0"/>
        <w:autoSpaceDE w:val="0"/>
        <w:autoSpaceDN w:val="0"/>
        <w:adjustRightInd w:val="0"/>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1.  </w:t>
      </w:r>
    </w:p>
    <w:p w14:paraId="7EB2E839" w14:textId="77777777" w:rsidR="00837BB9" w:rsidRPr="001D32B8" w:rsidRDefault="00837BB9" w:rsidP="0027007E">
      <w:pPr>
        <w:pStyle w:val="FootnoteText"/>
        <w:jc w:val="both"/>
        <w:rPr>
          <w:rFonts w:ascii="Verdana" w:hAnsi="Verdana"/>
          <w:sz w:val="16"/>
          <w:szCs w:val="16"/>
        </w:rPr>
      </w:pPr>
    </w:p>
  </w:footnote>
  <w:footnote w:id="303">
    <w:p w14:paraId="3083D4DC"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6. </w:t>
      </w:r>
    </w:p>
    <w:p w14:paraId="4C89CE6B" w14:textId="77777777" w:rsidR="00837BB9" w:rsidRPr="001D32B8" w:rsidRDefault="00837BB9" w:rsidP="0027007E">
      <w:pPr>
        <w:pStyle w:val="FootnoteText"/>
        <w:jc w:val="both"/>
        <w:rPr>
          <w:rFonts w:ascii="Verdana" w:hAnsi="Verdana"/>
          <w:sz w:val="16"/>
          <w:szCs w:val="16"/>
        </w:rPr>
      </w:pPr>
    </w:p>
  </w:footnote>
  <w:footnote w:id="304">
    <w:p w14:paraId="5DC0B82F"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19. </w:t>
      </w:r>
    </w:p>
    <w:p w14:paraId="4566D0B2" w14:textId="77777777" w:rsidR="00837BB9" w:rsidRPr="001D32B8" w:rsidRDefault="00837BB9" w:rsidP="0027007E">
      <w:pPr>
        <w:pStyle w:val="FootnoteText"/>
        <w:jc w:val="both"/>
        <w:rPr>
          <w:rFonts w:ascii="Verdana" w:hAnsi="Verdana"/>
          <w:sz w:val="16"/>
          <w:szCs w:val="16"/>
        </w:rPr>
      </w:pPr>
    </w:p>
  </w:footnote>
  <w:footnote w:id="305">
    <w:p w14:paraId="14610C8A"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2. </w:t>
      </w:r>
    </w:p>
    <w:p w14:paraId="6A2AD5BC" w14:textId="77777777" w:rsidR="00837BB9" w:rsidRPr="001D32B8" w:rsidRDefault="00837BB9" w:rsidP="0027007E">
      <w:pPr>
        <w:pStyle w:val="FootnoteText"/>
        <w:jc w:val="both"/>
        <w:rPr>
          <w:rFonts w:ascii="Verdana" w:hAnsi="Verdana"/>
          <w:sz w:val="16"/>
          <w:szCs w:val="16"/>
        </w:rPr>
      </w:pPr>
    </w:p>
  </w:footnote>
  <w:footnote w:id="306">
    <w:p w14:paraId="085671B4"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 xml:space="preserve">Cfr. </w:t>
      </w:r>
      <w:r>
        <w:rPr>
          <w:rFonts w:ascii="Verdana" w:hAnsi="Verdana"/>
          <w:sz w:val="16"/>
          <w:szCs w:val="16"/>
        </w:rPr>
        <w:t xml:space="preserve">ONU, </w:t>
      </w:r>
      <w:r w:rsidRPr="001D32B8">
        <w:rPr>
          <w:rFonts w:ascii="Verdana" w:hAnsi="Verdana"/>
          <w:sz w:val="16"/>
          <w:szCs w:val="16"/>
        </w:rPr>
        <w:t xml:space="preserve">Comité </w:t>
      </w:r>
      <w:r>
        <w:rPr>
          <w:rFonts w:ascii="Verdana" w:hAnsi="Verdana"/>
          <w:sz w:val="16"/>
          <w:szCs w:val="16"/>
        </w:rPr>
        <w:t>DESC</w:t>
      </w:r>
      <w:r w:rsidRPr="001D32B8">
        <w:rPr>
          <w:rFonts w:ascii="Verdana" w:hAnsi="Verdana"/>
          <w:sz w:val="16"/>
          <w:szCs w:val="16"/>
        </w:rPr>
        <w:t xml:space="preserve">, Observación General No. 20, </w:t>
      </w:r>
      <w:r w:rsidRPr="001D32B8">
        <w:rPr>
          <w:rFonts w:ascii="Verdana" w:hAnsi="Verdana"/>
          <w:i/>
          <w:sz w:val="16"/>
          <w:szCs w:val="16"/>
        </w:rPr>
        <w:t>La no discriminación y los derechos económicos, sociales y culturales (artículo 2, párrafo 2 del Pacto Internacional de los Derechos Económicos, Sociales y Culturales)</w:t>
      </w:r>
      <w:r w:rsidRPr="001D32B8">
        <w:rPr>
          <w:rFonts w:ascii="Verdana" w:hAnsi="Verdana"/>
          <w:sz w:val="16"/>
          <w:szCs w:val="16"/>
        </w:rPr>
        <w:t xml:space="preserve">, 2 de julio de 2009, E/C.12/GC/20, </w:t>
      </w:r>
      <w:r w:rsidRPr="001D32B8">
        <w:rPr>
          <w:rFonts w:ascii="Verdana" w:hAnsi="Verdana" w:cs="Times"/>
          <w:sz w:val="16"/>
          <w:szCs w:val="16"/>
          <w:lang w:val="es-ES"/>
        </w:rPr>
        <w:t xml:space="preserve">párr. 23. </w:t>
      </w:r>
    </w:p>
    <w:p w14:paraId="7754C926" w14:textId="77777777" w:rsidR="00837BB9" w:rsidRPr="001D32B8" w:rsidRDefault="00837BB9" w:rsidP="0027007E">
      <w:pPr>
        <w:pStyle w:val="FootnoteText"/>
        <w:jc w:val="both"/>
        <w:rPr>
          <w:rFonts w:ascii="Verdana" w:hAnsi="Verdana"/>
          <w:sz w:val="16"/>
          <w:szCs w:val="16"/>
        </w:rPr>
      </w:pPr>
    </w:p>
  </w:footnote>
  <w:footnote w:id="307">
    <w:p w14:paraId="0AB5B0F1"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33. </w:t>
      </w:r>
    </w:p>
    <w:p w14:paraId="7751C3DF" w14:textId="77777777" w:rsidR="00837BB9" w:rsidRPr="001D32B8" w:rsidRDefault="00837BB9" w:rsidP="0027007E">
      <w:pPr>
        <w:pStyle w:val="FootnoteText"/>
        <w:jc w:val="both"/>
        <w:rPr>
          <w:rFonts w:ascii="Verdana" w:hAnsi="Verdana"/>
          <w:sz w:val="16"/>
          <w:szCs w:val="16"/>
        </w:rPr>
      </w:pPr>
    </w:p>
  </w:footnote>
  <w:footnote w:id="308">
    <w:p w14:paraId="16D4364E"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48. </w:t>
      </w:r>
    </w:p>
    <w:p w14:paraId="6633FE37" w14:textId="77777777" w:rsidR="00837BB9" w:rsidRPr="001D32B8" w:rsidRDefault="00837BB9" w:rsidP="0027007E">
      <w:pPr>
        <w:pStyle w:val="FootnoteText"/>
        <w:jc w:val="both"/>
        <w:rPr>
          <w:rFonts w:ascii="Verdana" w:hAnsi="Verdana"/>
          <w:sz w:val="16"/>
          <w:szCs w:val="16"/>
        </w:rPr>
      </w:pPr>
    </w:p>
  </w:footnote>
  <w:footnote w:id="309">
    <w:p w14:paraId="73AC6070" w14:textId="77777777" w:rsidR="00837BB9" w:rsidRPr="001D32B8" w:rsidRDefault="00837BB9" w:rsidP="0027007E">
      <w:pPr>
        <w:pStyle w:val="FootnoteText"/>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ONU, Comité DESC, Observación General No. 18, </w:t>
      </w:r>
      <w:r w:rsidRPr="001D32B8">
        <w:rPr>
          <w:rFonts w:ascii="Verdana" w:hAnsi="Verdana"/>
          <w:i/>
          <w:sz w:val="16"/>
          <w:szCs w:val="16"/>
        </w:rPr>
        <w:t>El Derecho al Trabajo, Artículo 6 del Pacto Internacional de Derecho Económicos, Sociales y Culturales,</w:t>
      </w:r>
      <w:r w:rsidRPr="001D32B8">
        <w:rPr>
          <w:rFonts w:ascii="Verdana" w:hAnsi="Verdana"/>
          <w:sz w:val="16"/>
          <w:szCs w:val="16"/>
        </w:rPr>
        <w:t xml:space="preserve"> </w:t>
      </w:r>
      <w:r w:rsidRPr="001D32B8">
        <w:rPr>
          <w:rFonts w:ascii="Verdana" w:hAnsi="Verdana" w:cs="Times"/>
          <w:sz w:val="16"/>
          <w:szCs w:val="16"/>
          <w:lang w:val="es-ES"/>
        </w:rPr>
        <w:t xml:space="preserve">E/C.12/GC/18, 6 de febrero de 2006, párr. 50. </w:t>
      </w:r>
    </w:p>
    <w:p w14:paraId="36FCAE6F" w14:textId="77777777" w:rsidR="00837BB9" w:rsidRPr="001D32B8" w:rsidRDefault="00837BB9" w:rsidP="0027007E">
      <w:pPr>
        <w:pStyle w:val="FootnoteText"/>
        <w:jc w:val="both"/>
        <w:rPr>
          <w:rFonts w:ascii="Verdana" w:hAnsi="Verdana"/>
          <w:sz w:val="16"/>
          <w:szCs w:val="16"/>
        </w:rPr>
      </w:pPr>
    </w:p>
  </w:footnote>
  <w:footnote w:id="310">
    <w:p w14:paraId="16BCBB02" w14:textId="77777777" w:rsidR="00837BB9" w:rsidRPr="001D32B8" w:rsidRDefault="00837BB9" w:rsidP="0027007E">
      <w:pPr>
        <w:jc w:val="both"/>
        <w:rPr>
          <w:rFonts w:ascii="Verdana" w:eastAsia="Times New Roman" w:hAnsi="Verdana" w:cs="Times New Roman"/>
          <w:b/>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Me refiero a lo decidido en los casos </w:t>
      </w:r>
      <w:r w:rsidRPr="001D32B8">
        <w:rPr>
          <w:rFonts w:ascii="Verdana" w:hAnsi="Verdana"/>
          <w:i/>
          <w:sz w:val="16"/>
          <w:szCs w:val="16"/>
        </w:rPr>
        <w:t>Lagos del Campo Vs. Perú</w:t>
      </w:r>
      <w:r w:rsidRPr="001D32B8">
        <w:rPr>
          <w:rFonts w:ascii="Verdana" w:hAnsi="Verdana"/>
          <w:sz w:val="16"/>
          <w:szCs w:val="16"/>
        </w:rPr>
        <w:t xml:space="preserve"> y </w:t>
      </w:r>
      <w:r w:rsidRPr="001D32B8">
        <w:rPr>
          <w:rFonts w:ascii="Verdana" w:hAnsi="Verdana"/>
          <w:i/>
          <w:sz w:val="16"/>
          <w:szCs w:val="16"/>
        </w:rPr>
        <w:t>Trabajadores Cesados del Petroperú</w:t>
      </w:r>
      <w:r w:rsidRPr="001D32B8">
        <w:rPr>
          <w:rFonts w:ascii="Verdana" w:hAnsi="Verdana"/>
          <w:sz w:val="16"/>
          <w:szCs w:val="16"/>
        </w:rPr>
        <w:t xml:space="preserve"> en lo relativo al derecho al trabajo; por otra parte también hay que tener en consideración lo considerado por la Corte IDH en la Opinión Consultiva No. 23 sobre la </w:t>
      </w:r>
      <w:proofErr w:type="spellStart"/>
      <w:r w:rsidRPr="001D32B8">
        <w:rPr>
          <w:rFonts w:ascii="Verdana" w:hAnsi="Verdana"/>
          <w:sz w:val="16"/>
          <w:szCs w:val="16"/>
        </w:rPr>
        <w:t>justiciabilidad</w:t>
      </w:r>
      <w:proofErr w:type="spellEnd"/>
      <w:r w:rsidRPr="001D32B8">
        <w:rPr>
          <w:rFonts w:ascii="Verdana" w:hAnsi="Verdana"/>
          <w:sz w:val="16"/>
          <w:szCs w:val="16"/>
        </w:rPr>
        <w:t xml:space="preserve"> del derecho al medio ambiente sano protegido por el artículo 26 de la Convención Americana. </w:t>
      </w:r>
      <w:r w:rsidRPr="001D32B8">
        <w:rPr>
          <w:rFonts w:ascii="Verdana" w:hAnsi="Verdana"/>
          <w:i/>
          <w:sz w:val="16"/>
          <w:szCs w:val="16"/>
        </w:rPr>
        <w:t>Cfr.</w:t>
      </w:r>
      <w:r w:rsidRPr="001D32B8">
        <w:rPr>
          <w:rFonts w:ascii="Verdana" w:hAnsi="Verdana"/>
          <w:sz w:val="16"/>
          <w:szCs w:val="16"/>
        </w:rPr>
        <w:t xml:space="preserve"> </w:t>
      </w:r>
      <w:r w:rsidRPr="005270BB">
        <w:rPr>
          <w:rFonts w:ascii="Verdana" w:eastAsia="Times New Roman" w:hAnsi="Verdana" w:cs="Times New Roman"/>
          <w:bCs/>
          <w:i/>
          <w:color w:val="000000"/>
          <w:sz w:val="16"/>
          <w:szCs w:val="16"/>
          <w:lang w:val="es-MX"/>
        </w:rPr>
        <w:t>M</w:t>
      </w:r>
      <w:r w:rsidRPr="001D32B8">
        <w:rPr>
          <w:rFonts w:ascii="Verdana" w:eastAsia="Times New Roman" w:hAnsi="Verdana" w:cs="Times New Roman"/>
          <w:bCs/>
          <w:i/>
          <w:color w:val="000000"/>
          <w:sz w:val="16"/>
          <w:szCs w:val="16"/>
          <w:lang w:val="es-MX"/>
        </w:rPr>
        <w:t>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1D32B8">
        <w:rPr>
          <w:rFonts w:ascii="Verdana" w:eastAsia="Times New Roman" w:hAnsi="Verdana" w:cs="Times New Roman"/>
          <w:bCs/>
          <w:color w:val="000000"/>
          <w:sz w:val="16"/>
          <w:szCs w:val="16"/>
          <w:lang w:val="es-MX"/>
        </w:rPr>
        <w:t>. Opinión Consultiva OC-23/17 de 15 de noviembre de 2017. Serie A No. 23.</w:t>
      </w:r>
    </w:p>
    <w:p w14:paraId="615EF7AB" w14:textId="77777777" w:rsidR="00837BB9" w:rsidRPr="001D32B8" w:rsidRDefault="00837BB9" w:rsidP="0027007E">
      <w:pPr>
        <w:pStyle w:val="FootnoteText"/>
        <w:jc w:val="both"/>
        <w:rPr>
          <w:rFonts w:ascii="Verdana" w:hAnsi="Verdana"/>
          <w:sz w:val="16"/>
          <w:szCs w:val="16"/>
        </w:rPr>
      </w:pPr>
    </w:p>
  </w:footnote>
  <w:footnote w:id="311">
    <w:p w14:paraId="135040F4"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Por ejemplo, </w:t>
      </w:r>
      <w:r>
        <w:rPr>
          <w:rFonts w:ascii="Verdana" w:hAnsi="Verdana"/>
          <w:sz w:val="16"/>
          <w:szCs w:val="16"/>
        </w:rPr>
        <w:t>los derechos a</w:t>
      </w:r>
      <w:r w:rsidRPr="001D32B8">
        <w:rPr>
          <w:rFonts w:ascii="Verdana" w:hAnsi="Verdana"/>
          <w:sz w:val="16"/>
          <w:szCs w:val="16"/>
        </w:rPr>
        <w:t xml:space="preserve"> la salud, alimentación, cultura, vivienda, medio ambiente, educación, seguridad social, sindica</w:t>
      </w:r>
      <w:r>
        <w:rPr>
          <w:rFonts w:ascii="Verdana" w:hAnsi="Verdana"/>
          <w:sz w:val="16"/>
          <w:szCs w:val="16"/>
        </w:rPr>
        <w:t>liza</w:t>
      </w:r>
      <w:r w:rsidRPr="001D32B8">
        <w:rPr>
          <w:rFonts w:ascii="Verdana" w:hAnsi="Verdana"/>
          <w:sz w:val="16"/>
          <w:szCs w:val="16"/>
        </w:rPr>
        <w:t xml:space="preserve">ción. </w:t>
      </w:r>
    </w:p>
    <w:p w14:paraId="08D87E5A" w14:textId="77777777" w:rsidR="00837BB9" w:rsidRPr="001D32B8" w:rsidRDefault="00837BB9" w:rsidP="0027007E">
      <w:pPr>
        <w:pStyle w:val="FootnoteText"/>
        <w:jc w:val="both"/>
        <w:rPr>
          <w:rFonts w:ascii="Verdana" w:hAnsi="Verdana"/>
          <w:sz w:val="16"/>
          <w:szCs w:val="16"/>
        </w:rPr>
      </w:pPr>
    </w:p>
  </w:footnote>
  <w:footnote w:id="312">
    <w:p w14:paraId="7473EE87"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ab/>
        <w:t xml:space="preserve">Véase: </w:t>
      </w:r>
      <w:r w:rsidRPr="001D32B8">
        <w:rPr>
          <w:rFonts w:ascii="Verdana" w:hAnsi="Verdana"/>
          <w:bCs/>
          <w:i/>
          <w:color w:val="000000"/>
          <w:sz w:val="16"/>
          <w:szCs w:val="16"/>
          <w:lang w:val="es-MX"/>
        </w:rPr>
        <w:t>Caso Lagos del Campo Vs. Perú. Excepciones Preliminares, Fondo, Reparaciones y Costas</w:t>
      </w:r>
      <w:r w:rsidRPr="001D32B8">
        <w:rPr>
          <w:rFonts w:ascii="Verdana" w:hAnsi="Verdana"/>
          <w:bCs/>
          <w:color w:val="000000"/>
          <w:sz w:val="16"/>
          <w:szCs w:val="16"/>
          <w:lang w:val="es-MX"/>
        </w:rPr>
        <w:t xml:space="preserve">. Sentencia de 31 de agosto de 2017. Serie C No. 340, párr. 166 y </w:t>
      </w:r>
      <w:r w:rsidRPr="001D32B8">
        <w:rPr>
          <w:rFonts w:ascii="Verdana" w:hAnsi="Verdana"/>
          <w:bCs/>
          <w:i/>
          <w:color w:val="000000"/>
          <w:sz w:val="16"/>
          <w:szCs w:val="16"/>
          <w:lang w:val="es-MX"/>
        </w:rPr>
        <w:t>Caso Trabajadores Cesados de Petroperú y otros Vs. Perú. Excepciones Preliminares, Fondo, Reparaciones y Costas.</w:t>
      </w:r>
      <w:r w:rsidRPr="001D32B8">
        <w:rPr>
          <w:rFonts w:ascii="Verdana" w:hAnsi="Verdana"/>
          <w:bCs/>
          <w:color w:val="000000"/>
          <w:sz w:val="16"/>
          <w:szCs w:val="16"/>
          <w:lang w:val="es-MX"/>
        </w:rPr>
        <w:t xml:space="preserve"> Sentencia de 23 de noviembre 2017. Serie C No. 344, párr. 193. </w:t>
      </w:r>
    </w:p>
    <w:p w14:paraId="1E9294DA" w14:textId="77777777" w:rsidR="00837BB9" w:rsidRPr="001D32B8" w:rsidRDefault="00837BB9" w:rsidP="0027007E">
      <w:pPr>
        <w:pStyle w:val="FootnoteText"/>
        <w:jc w:val="both"/>
        <w:rPr>
          <w:rFonts w:ascii="Verdana" w:hAnsi="Verdana"/>
          <w:sz w:val="16"/>
          <w:szCs w:val="16"/>
        </w:rPr>
      </w:pPr>
    </w:p>
  </w:footnote>
  <w:footnote w:id="313">
    <w:p w14:paraId="78652092"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La Corte IDH ha tenido la oportunidad de analizar el despido injustificado o arbitrario, estabilidad laboral y el derecho de asociación laboral para la defensa y promoción de los intereses de los trabajadores. </w:t>
      </w:r>
    </w:p>
    <w:p w14:paraId="5A9F75C7" w14:textId="77777777" w:rsidR="00837BB9" w:rsidRPr="001D32B8" w:rsidRDefault="00837BB9" w:rsidP="0027007E">
      <w:pPr>
        <w:pStyle w:val="FootnoteText"/>
        <w:jc w:val="both"/>
        <w:rPr>
          <w:rFonts w:ascii="Verdana" w:hAnsi="Verdana"/>
          <w:sz w:val="16"/>
          <w:szCs w:val="16"/>
        </w:rPr>
      </w:pPr>
    </w:p>
  </w:footnote>
  <w:footnote w:id="314">
    <w:p w14:paraId="32762CFC"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220. </w:t>
      </w:r>
    </w:p>
    <w:p w14:paraId="7AA88347" w14:textId="77777777" w:rsidR="00837BB9" w:rsidRPr="001D32B8" w:rsidRDefault="00837BB9" w:rsidP="0027007E">
      <w:pPr>
        <w:pStyle w:val="FootnoteText"/>
        <w:jc w:val="both"/>
        <w:rPr>
          <w:rFonts w:ascii="Verdana" w:hAnsi="Verdana"/>
          <w:sz w:val="16"/>
          <w:szCs w:val="16"/>
        </w:rPr>
      </w:pPr>
    </w:p>
  </w:footnote>
  <w:footnote w:id="315">
    <w:p w14:paraId="2DC142CA" w14:textId="77777777" w:rsidR="00837BB9" w:rsidRPr="001D32B8" w:rsidRDefault="00837BB9" w:rsidP="0027007E">
      <w:pPr>
        <w:contextualSpacing/>
        <w:jc w:val="both"/>
        <w:rPr>
          <w:rFonts w:ascii="Verdana" w:eastAsia="Times New Roman" w:hAnsi="Verdana" w:cs="Times New Roman"/>
          <w:bCs/>
          <w:color w:val="000000"/>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“143. Respecto a los derechos laborales específicos protegidos por el artículo 26 de la Convención Americana, la Corte observa que los términos del mismo indican que son aquellos derechos que se derivan de las normas económicas, sociales y sobre educación, ciencia y cultura contenidas en la Carta de la OEA. Ahora bien, los artículos 45.b y c, 46 y 34.g de la Carta establecen que “[e]l trabajo es un derecho y un deber social” y que ese debe prestarse con “salarios justos, oportunidades de empleo y condiciones de trabajo aceptables para todos”. Asimismo, señalan que el derecho de los trabajadores y trabajadoras a “asociarse libremente para la defensa y promoción de sus intereses”. Además, indican que los Estados deben “armonizar la legislación social” para la protección de tales derechos. Desde su Opinión Consultiva OC-10/89, la Corte señaló que: […] Los Estados Miembros han entendido que la Declaración contiene y define aquellos derechos humanos esenciales a los que la Carta se refiere, de manera que no se puede interpretar y aplicar la Carta de la Organización en materia de derechos humanos, sin integrar las normas pertinentes de ella con las correspondientes disposiciones de la Declaración, como resulta de la práctica seguida por los órganos de la OEA”. </w:t>
      </w:r>
      <w:r w:rsidRPr="001D32B8">
        <w:rPr>
          <w:rFonts w:ascii="Verdana" w:hAnsi="Verdana"/>
          <w:i/>
          <w:sz w:val="16"/>
          <w:szCs w:val="16"/>
        </w:rPr>
        <w:t xml:space="preserve">Cfr. </w:t>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Sentencia de 31 de agosto de 2017. Serie C No. 340.</w:t>
      </w:r>
    </w:p>
    <w:p w14:paraId="6A2C0CEE" w14:textId="77777777" w:rsidR="00837BB9" w:rsidRPr="001D32B8" w:rsidRDefault="00837BB9" w:rsidP="0027007E">
      <w:pPr>
        <w:pStyle w:val="FootnoteText"/>
        <w:jc w:val="both"/>
        <w:rPr>
          <w:rFonts w:ascii="Verdana" w:hAnsi="Verdana"/>
          <w:sz w:val="16"/>
          <w:szCs w:val="16"/>
        </w:rPr>
      </w:pPr>
    </w:p>
  </w:footnote>
  <w:footnote w:id="316">
    <w:p w14:paraId="36F90697" w14:textId="77777777" w:rsidR="00837BB9" w:rsidRPr="001D32B8" w:rsidRDefault="00837BB9" w:rsidP="00837BB9">
      <w:pPr>
        <w:spacing w:after="0"/>
        <w:contextualSpacing/>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“144. En este sentido, el artículo XIV de la Declaración Americana dispone que “[t]oda persona tiene derecho al trabajo en condiciones dignas y a seguir libremente su vocación […]”. Tal disposición resulta relevante para definir el alcance del artículo 26, dado que “la Declaración Americana, constituye, en lo pertinente y en relación con la Carta de la Organización, una fuente de obligaciones internacionales”. Asimismo, el artículo 29.d de la Convención Americana dispone expresamente que “[n]</w:t>
      </w:r>
      <w:proofErr w:type="spellStart"/>
      <w:r w:rsidRPr="001D32B8">
        <w:rPr>
          <w:rFonts w:ascii="Verdana" w:hAnsi="Verdana"/>
          <w:sz w:val="16"/>
          <w:szCs w:val="16"/>
        </w:rPr>
        <w:t>inguna</w:t>
      </w:r>
      <w:proofErr w:type="spellEnd"/>
      <w:r w:rsidRPr="001D32B8">
        <w:rPr>
          <w:rFonts w:ascii="Verdana" w:hAnsi="Verdana"/>
          <w:sz w:val="16"/>
          <w:szCs w:val="16"/>
        </w:rPr>
        <w:t xml:space="preserve"> disposición de la presente Convención puede ser interpretada en el sentido de: […] d) excluir o limitar el efecto que puedan producir la Declaración Americana de Derechos y Deberes del Hombre y otros actos internacionales de la misma naturaleza”. </w:t>
      </w:r>
      <w:r w:rsidRPr="001D32B8">
        <w:rPr>
          <w:rFonts w:ascii="Verdana" w:hAnsi="Verdana"/>
          <w:i/>
          <w:sz w:val="16"/>
          <w:szCs w:val="16"/>
        </w:rPr>
        <w:t xml:space="preserve">Cfr. </w:t>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Sentencia de 31 de agosto de 2017. Serie C No. 340.</w:t>
      </w:r>
    </w:p>
    <w:p w14:paraId="0A7E9990" w14:textId="77777777" w:rsidR="00837BB9" w:rsidRPr="001D32B8" w:rsidRDefault="00837BB9" w:rsidP="00837BB9">
      <w:pPr>
        <w:pStyle w:val="FootnoteText"/>
        <w:jc w:val="both"/>
        <w:rPr>
          <w:rFonts w:ascii="Verdana" w:hAnsi="Verdana"/>
          <w:sz w:val="16"/>
          <w:szCs w:val="16"/>
        </w:rPr>
      </w:pPr>
    </w:p>
  </w:footnote>
  <w:footnote w:id="317">
    <w:p w14:paraId="35D5E076" w14:textId="77777777" w:rsidR="00837BB9" w:rsidRPr="001D32B8" w:rsidRDefault="00837BB9" w:rsidP="00837BB9">
      <w:pPr>
        <w:spacing w:after="0"/>
        <w:contextualSpacing/>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ab/>
        <w:t xml:space="preserve">“145. Además de la derivación del derecho al trabajo a partir de una interpretación del artículo 26 en relación con la Carta de la OEA, junto con la Declaración Americana, el derecho al trabajo está reconocido explícitamente en diversas leyes internas de los Estados de la región, así como </w:t>
      </w:r>
      <w:r>
        <w:rPr>
          <w:rFonts w:ascii="Verdana" w:hAnsi="Verdana"/>
          <w:sz w:val="16"/>
          <w:szCs w:val="16"/>
        </w:rPr>
        <w:t xml:space="preserve">en </w:t>
      </w:r>
      <w:r w:rsidRPr="001D32B8">
        <w:rPr>
          <w:rFonts w:ascii="Verdana" w:hAnsi="Verdana"/>
          <w:sz w:val="16"/>
          <w:szCs w:val="16"/>
        </w:rPr>
        <w:t xml:space="preserve">un vasto </w:t>
      </w:r>
      <w:r w:rsidRPr="001D32B8">
        <w:rPr>
          <w:rFonts w:ascii="Verdana" w:hAnsi="Verdana"/>
          <w:i/>
          <w:sz w:val="16"/>
          <w:szCs w:val="16"/>
        </w:rPr>
        <w:t>corpus iuris</w:t>
      </w:r>
      <w:r w:rsidRPr="001D32B8">
        <w:rPr>
          <w:rFonts w:ascii="Verdana" w:hAnsi="Verdana"/>
          <w:sz w:val="16"/>
          <w:szCs w:val="16"/>
        </w:rPr>
        <w:t xml:space="preserve"> internacional; </w:t>
      </w:r>
      <w:r w:rsidRPr="001D32B8">
        <w:rPr>
          <w:rFonts w:ascii="Verdana" w:hAnsi="Verdana"/>
          <w:i/>
          <w:sz w:val="16"/>
          <w:szCs w:val="16"/>
        </w:rPr>
        <w:t xml:space="preserve">inter </w:t>
      </w:r>
      <w:proofErr w:type="spellStart"/>
      <w:r w:rsidRPr="001D32B8">
        <w:rPr>
          <w:rFonts w:ascii="Verdana" w:hAnsi="Verdana"/>
          <w:i/>
          <w:sz w:val="16"/>
          <w:szCs w:val="16"/>
        </w:rPr>
        <w:t>alia</w:t>
      </w:r>
      <w:proofErr w:type="spellEnd"/>
      <w:r w:rsidRPr="001D32B8">
        <w:rPr>
          <w:rFonts w:ascii="Verdana" w:hAnsi="Verdana"/>
          <w:sz w:val="16"/>
          <w:szCs w:val="16"/>
        </w:rPr>
        <w:t xml:space="preserve">: el artículo 6 del Pacto Internacional de Derechos Económicos, Sociales y Culturales, el artículo 23 de la Declaración Universal de Derechos Humanos, los artículos 7 y 8 de la Carta Social de las Américas, los artículos 6 y 7 del Protocolo Adicional a la Convención Americana sobre Derechos Económicos, Sociales y Culturales, el artículo 11 de la Convención sobre la Eliminación de Todas las Formas de Discriminación contra la Mujer, el artículo 32.1 de la Convención sobre los Derechos del Niño, así como el artículo 1 de la Carta Social Europea y el artículo 15 de la Carta Africana sobre los Derechos Humanos y de los Pueblos”. </w:t>
      </w:r>
      <w:r w:rsidRPr="001D32B8">
        <w:rPr>
          <w:rFonts w:ascii="Verdana" w:hAnsi="Verdana"/>
          <w:i/>
          <w:sz w:val="16"/>
          <w:szCs w:val="16"/>
        </w:rPr>
        <w:t xml:space="preserve">Cfr. </w:t>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Sentencia de 31 de agosto de 2017. Serie C No. 340.</w:t>
      </w:r>
    </w:p>
    <w:p w14:paraId="6910DCB7" w14:textId="77777777" w:rsidR="00837BB9" w:rsidRPr="001D32B8" w:rsidRDefault="00837BB9" w:rsidP="00837BB9">
      <w:pPr>
        <w:pStyle w:val="FootnoteText"/>
        <w:jc w:val="both"/>
        <w:rPr>
          <w:rFonts w:ascii="Verdana" w:hAnsi="Verdana"/>
          <w:sz w:val="16"/>
          <w:szCs w:val="16"/>
        </w:rPr>
      </w:pPr>
    </w:p>
  </w:footnote>
  <w:footnote w:id="318">
    <w:p w14:paraId="46F04E1E" w14:textId="77777777" w:rsidR="00837BB9" w:rsidRPr="001D32B8" w:rsidRDefault="00837BB9" w:rsidP="00837BB9">
      <w:pPr>
        <w:pStyle w:val="FootnoteText"/>
        <w:jc w:val="both"/>
        <w:rPr>
          <w:rFonts w:ascii="Verdana" w:hAnsi="Verdana"/>
          <w:sz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bCs/>
          <w:i/>
          <w:sz w:val="16"/>
          <w:szCs w:val="16"/>
          <w:lang w:val="es-VE"/>
        </w:rPr>
        <w:t xml:space="preserve">Cfr., inter </w:t>
      </w:r>
      <w:proofErr w:type="spellStart"/>
      <w:r w:rsidRPr="001D32B8">
        <w:rPr>
          <w:rFonts w:ascii="Verdana" w:hAnsi="Verdana"/>
          <w:bCs/>
          <w:i/>
          <w:sz w:val="16"/>
          <w:szCs w:val="16"/>
          <w:lang w:val="es-VE"/>
        </w:rPr>
        <w:t>alia</w:t>
      </w:r>
      <w:proofErr w:type="spellEnd"/>
      <w:r w:rsidRPr="001D32B8">
        <w:rPr>
          <w:rFonts w:ascii="Verdana" w:hAnsi="Verdana"/>
          <w:bCs/>
          <w:i/>
          <w:sz w:val="16"/>
          <w:szCs w:val="16"/>
          <w:lang w:val="es-VE"/>
        </w:rPr>
        <w:t>, Caso Velásquez Rodríguez Vs. Honduras. Fondo</w:t>
      </w:r>
      <w:r>
        <w:rPr>
          <w:rFonts w:ascii="Verdana" w:hAnsi="Verdana"/>
          <w:bCs/>
          <w:i/>
          <w:sz w:val="16"/>
          <w:szCs w:val="16"/>
          <w:lang w:val="es-VE"/>
        </w:rPr>
        <w:t xml:space="preserve">. </w:t>
      </w:r>
      <w:r w:rsidRPr="005E1DEB">
        <w:rPr>
          <w:rFonts w:ascii="Verdana" w:hAnsi="Verdana"/>
          <w:bCs/>
          <w:sz w:val="16"/>
          <w:szCs w:val="16"/>
          <w:lang w:val="es-VE"/>
        </w:rPr>
        <w:t>Sentencia de 29 de julio de 1988. Serie C No.4</w:t>
      </w:r>
      <w:r w:rsidRPr="001D32B8">
        <w:rPr>
          <w:rFonts w:ascii="Verdana" w:hAnsi="Verdana"/>
          <w:bCs/>
          <w:i/>
          <w:sz w:val="16"/>
          <w:szCs w:val="16"/>
          <w:lang w:val="es-VE"/>
        </w:rPr>
        <w:t xml:space="preserve">, </w:t>
      </w:r>
      <w:r w:rsidRPr="001D32B8">
        <w:rPr>
          <w:rFonts w:ascii="Verdana" w:hAnsi="Verdana"/>
          <w:bCs/>
          <w:sz w:val="16"/>
          <w:szCs w:val="16"/>
          <w:lang w:val="es-VE"/>
        </w:rPr>
        <w:t xml:space="preserve">párr. 163; </w:t>
      </w:r>
      <w:r w:rsidRPr="001D32B8">
        <w:rPr>
          <w:rFonts w:ascii="Verdana" w:hAnsi="Verdana"/>
          <w:bCs/>
          <w:i/>
          <w:sz w:val="16"/>
          <w:szCs w:val="16"/>
          <w:lang w:val="es-VE"/>
        </w:rPr>
        <w:t>Caso Acosta y otros Vs. Nicaragua</w:t>
      </w:r>
      <w:r>
        <w:rPr>
          <w:rFonts w:ascii="Verdana" w:hAnsi="Verdana"/>
          <w:bCs/>
          <w:i/>
          <w:sz w:val="16"/>
          <w:szCs w:val="16"/>
          <w:lang w:val="es-VE"/>
        </w:rPr>
        <w:t xml:space="preserve">. </w:t>
      </w:r>
      <w:r w:rsidRPr="005E1DEB">
        <w:rPr>
          <w:rFonts w:ascii="Verdana" w:hAnsi="Verdana"/>
          <w:bCs/>
          <w:i/>
          <w:sz w:val="16"/>
          <w:szCs w:val="16"/>
          <w:lang w:val="es-VE"/>
        </w:rPr>
        <w:t>Excepciones Preliminares, Fondo, Reparaciones y Costas</w:t>
      </w:r>
      <w:r w:rsidRPr="005E1DEB">
        <w:rPr>
          <w:rFonts w:ascii="Verdana" w:hAnsi="Verdana"/>
          <w:bCs/>
          <w:sz w:val="16"/>
          <w:szCs w:val="16"/>
          <w:lang w:val="es-VE"/>
        </w:rPr>
        <w:t>. Sentencia de 25 de marzo de 2017. Serie C No. 334</w:t>
      </w:r>
      <w:r w:rsidRPr="001D32B8">
        <w:rPr>
          <w:rFonts w:ascii="Verdana" w:hAnsi="Verdana"/>
          <w:bCs/>
          <w:i/>
          <w:sz w:val="16"/>
          <w:szCs w:val="16"/>
          <w:lang w:val="es-VE"/>
        </w:rPr>
        <w:t xml:space="preserve">, </w:t>
      </w:r>
      <w:r w:rsidRPr="001D32B8">
        <w:rPr>
          <w:rFonts w:ascii="Verdana" w:hAnsi="Verdana"/>
          <w:bCs/>
          <w:sz w:val="16"/>
          <w:szCs w:val="16"/>
          <w:lang w:val="es-VE"/>
        </w:rPr>
        <w:t>párr. 189; y</w:t>
      </w:r>
      <w:r w:rsidRPr="001D32B8">
        <w:rPr>
          <w:rFonts w:ascii="Verdana" w:hAnsi="Verdana"/>
          <w:bCs/>
          <w:i/>
          <w:sz w:val="16"/>
          <w:szCs w:val="16"/>
          <w:lang w:val="es-VE"/>
        </w:rPr>
        <w:t xml:space="preserve"> Caso Lagos del Campo vs. Perú, supra, </w:t>
      </w:r>
      <w:r w:rsidRPr="001D32B8">
        <w:rPr>
          <w:rFonts w:ascii="Verdana" w:hAnsi="Verdana"/>
          <w:bCs/>
          <w:sz w:val="16"/>
          <w:szCs w:val="16"/>
          <w:lang w:val="es-VE"/>
        </w:rPr>
        <w:t xml:space="preserve">párr. 139.  Ver también TPJI, </w:t>
      </w:r>
      <w:r w:rsidRPr="001D32B8">
        <w:rPr>
          <w:rFonts w:ascii="Verdana" w:hAnsi="Verdana"/>
          <w:bCs/>
          <w:i/>
          <w:sz w:val="16"/>
          <w:szCs w:val="16"/>
          <w:lang w:val="es-VE"/>
        </w:rPr>
        <w:t>Caso del Vapor “Lotus” (Francia Vs. Turquía).</w:t>
      </w:r>
      <w:r w:rsidRPr="001D32B8">
        <w:rPr>
          <w:rFonts w:ascii="Verdana" w:hAnsi="Verdana"/>
          <w:bCs/>
          <w:sz w:val="16"/>
          <w:szCs w:val="16"/>
          <w:lang w:val="es-VE"/>
        </w:rPr>
        <w:t xml:space="preserve"> Sentencia No. 9, 7 de septiembre de 1927. Serie A; TPJI, </w:t>
      </w:r>
      <w:r w:rsidRPr="001D32B8">
        <w:rPr>
          <w:rFonts w:ascii="Verdana" w:hAnsi="Verdana"/>
          <w:bCs/>
          <w:i/>
          <w:sz w:val="16"/>
          <w:szCs w:val="16"/>
          <w:lang w:val="es-VE"/>
        </w:rPr>
        <w:t xml:space="preserve">Caso relativo a la competencia territorial de la Comisión internacional del río </w:t>
      </w:r>
      <w:proofErr w:type="spellStart"/>
      <w:r w:rsidRPr="001D32B8">
        <w:rPr>
          <w:rFonts w:ascii="Verdana" w:hAnsi="Verdana"/>
          <w:bCs/>
          <w:i/>
          <w:sz w:val="16"/>
          <w:szCs w:val="16"/>
          <w:lang w:val="es-VE"/>
        </w:rPr>
        <w:t>Oder</w:t>
      </w:r>
      <w:proofErr w:type="spellEnd"/>
      <w:r w:rsidRPr="001D32B8">
        <w:rPr>
          <w:rFonts w:ascii="Verdana" w:hAnsi="Verdana"/>
          <w:bCs/>
          <w:i/>
          <w:sz w:val="16"/>
          <w:szCs w:val="16"/>
          <w:lang w:val="es-VE"/>
        </w:rPr>
        <w:t xml:space="preserve"> (Gran Bretaña, Checoeslovaquia, Dinamarca, Francia, Alemania, Suecia; Polonia)</w:t>
      </w:r>
      <w:r w:rsidRPr="001D32B8">
        <w:rPr>
          <w:rFonts w:ascii="Verdana" w:hAnsi="Verdana"/>
          <w:bCs/>
          <w:sz w:val="16"/>
          <w:szCs w:val="16"/>
          <w:lang w:val="es-VE"/>
        </w:rPr>
        <w:t xml:space="preserve">. Sentencia No. 23, 10 de septiembre de 1929. Serie A; TPJI, </w:t>
      </w:r>
      <w:r w:rsidRPr="001D32B8">
        <w:rPr>
          <w:rFonts w:ascii="Verdana" w:hAnsi="Verdana"/>
          <w:bCs/>
          <w:i/>
          <w:sz w:val="16"/>
          <w:szCs w:val="16"/>
          <w:lang w:val="es-VE"/>
        </w:rPr>
        <w:t xml:space="preserve">Caso relativo a las Zonas francas de la Alta Saboya y del País de </w:t>
      </w:r>
      <w:proofErr w:type="spellStart"/>
      <w:r w:rsidRPr="001D32B8">
        <w:rPr>
          <w:rFonts w:ascii="Verdana" w:hAnsi="Verdana"/>
          <w:bCs/>
          <w:i/>
          <w:sz w:val="16"/>
          <w:szCs w:val="16"/>
          <w:lang w:val="es-VE"/>
        </w:rPr>
        <w:t>Gex</w:t>
      </w:r>
      <w:proofErr w:type="spellEnd"/>
      <w:r w:rsidRPr="001D32B8">
        <w:rPr>
          <w:rFonts w:ascii="Verdana" w:hAnsi="Verdana"/>
          <w:bCs/>
          <w:i/>
          <w:sz w:val="16"/>
          <w:szCs w:val="16"/>
          <w:lang w:val="es-VE"/>
        </w:rPr>
        <w:t xml:space="preserve"> (Francia Vs. Suiza). </w:t>
      </w:r>
      <w:r w:rsidRPr="001D32B8">
        <w:rPr>
          <w:rFonts w:ascii="Verdana" w:hAnsi="Verdana"/>
          <w:bCs/>
          <w:sz w:val="16"/>
          <w:szCs w:val="16"/>
          <w:lang w:val="es-VE"/>
        </w:rPr>
        <w:t xml:space="preserve">Sentencia No. 46, 7 de junio de 1932. Serie A/B; TEDH, </w:t>
      </w:r>
      <w:r w:rsidRPr="001D32B8">
        <w:rPr>
          <w:rFonts w:ascii="Verdana" w:hAnsi="Verdana"/>
          <w:bCs/>
          <w:i/>
          <w:sz w:val="16"/>
          <w:szCs w:val="16"/>
          <w:lang w:val="es-VE"/>
        </w:rPr>
        <w:t>Caso de Guerra y otros Vs. Italia</w:t>
      </w:r>
      <w:r w:rsidRPr="001D32B8">
        <w:rPr>
          <w:rFonts w:ascii="Verdana" w:hAnsi="Verdana"/>
          <w:bCs/>
          <w:sz w:val="16"/>
          <w:szCs w:val="16"/>
          <w:lang w:val="es-VE"/>
        </w:rPr>
        <w:t xml:space="preserve">. No. 14967/89. Sentencia de 19 de febrero de 1998, párr. 45; </w:t>
      </w:r>
      <w:r w:rsidRPr="001D32B8">
        <w:rPr>
          <w:rFonts w:ascii="Verdana" w:hAnsi="Verdana"/>
          <w:bCs/>
          <w:i/>
          <w:sz w:val="16"/>
          <w:szCs w:val="16"/>
          <w:lang w:val="es-VE"/>
        </w:rPr>
        <w:t xml:space="preserve">Caso de </w:t>
      </w:r>
      <w:proofErr w:type="spellStart"/>
      <w:r w:rsidRPr="001D32B8">
        <w:rPr>
          <w:rFonts w:ascii="Verdana" w:hAnsi="Verdana"/>
          <w:bCs/>
          <w:i/>
          <w:sz w:val="16"/>
          <w:szCs w:val="16"/>
          <w:lang w:val="es-VE"/>
        </w:rPr>
        <w:t>Handyside</w:t>
      </w:r>
      <w:proofErr w:type="spellEnd"/>
      <w:r w:rsidRPr="001D32B8">
        <w:rPr>
          <w:rFonts w:ascii="Verdana" w:hAnsi="Verdana"/>
          <w:bCs/>
          <w:i/>
          <w:sz w:val="16"/>
          <w:szCs w:val="16"/>
          <w:lang w:val="es-VE"/>
        </w:rPr>
        <w:t xml:space="preserve"> Vs. Reino Unido</w:t>
      </w:r>
      <w:r w:rsidRPr="001D32B8">
        <w:rPr>
          <w:rFonts w:ascii="Verdana" w:hAnsi="Verdana"/>
          <w:bCs/>
          <w:sz w:val="16"/>
          <w:szCs w:val="16"/>
          <w:lang w:val="es-VE"/>
        </w:rPr>
        <w:t xml:space="preserve">. No. 5493/72. Sentencia de 7 de diciembre de 1976, párr. 41, y </w:t>
      </w:r>
      <w:r w:rsidRPr="001D32B8">
        <w:rPr>
          <w:rFonts w:ascii="Verdana" w:hAnsi="Verdana"/>
          <w:bCs/>
          <w:i/>
          <w:sz w:val="16"/>
          <w:szCs w:val="16"/>
          <w:lang w:val="es-VE"/>
        </w:rPr>
        <w:t xml:space="preserve">Caso de </w:t>
      </w:r>
      <w:proofErr w:type="spellStart"/>
      <w:r w:rsidRPr="001D32B8">
        <w:rPr>
          <w:rFonts w:ascii="Verdana" w:hAnsi="Verdana"/>
          <w:bCs/>
          <w:i/>
          <w:sz w:val="16"/>
          <w:szCs w:val="16"/>
          <w:lang w:val="es-VE"/>
        </w:rPr>
        <w:t>Philis</w:t>
      </w:r>
      <w:proofErr w:type="spellEnd"/>
      <w:r w:rsidRPr="001D32B8">
        <w:rPr>
          <w:rFonts w:ascii="Verdana" w:hAnsi="Verdana"/>
          <w:bCs/>
          <w:i/>
          <w:sz w:val="16"/>
          <w:szCs w:val="16"/>
          <w:lang w:val="es-VE"/>
        </w:rPr>
        <w:t xml:space="preserve"> Vs. Grecia</w:t>
      </w:r>
      <w:r w:rsidRPr="001D32B8">
        <w:rPr>
          <w:rFonts w:ascii="Verdana" w:hAnsi="Verdana"/>
          <w:bCs/>
          <w:sz w:val="16"/>
          <w:szCs w:val="16"/>
          <w:lang w:val="es-VE"/>
        </w:rPr>
        <w:t>. Nos. 12750/87, 13780/88 y 14003/88. Sentencia de 27 de agosto de 1991, párr. 56.</w:t>
      </w:r>
    </w:p>
    <w:p w14:paraId="0BF1B57C" w14:textId="77777777" w:rsidR="00837BB9" w:rsidRPr="001D32B8" w:rsidRDefault="00837BB9" w:rsidP="00837BB9">
      <w:pPr>
        <w:pStyle w:val="FootnoteText"/>
        <w:jc w:val="both"/>
        <w:rPr>
          <w:rFonts w:ascii="Verdana" w:hAnsi="Verdana"/>
          <w:sz w:val="16"/>
          <w:szCs w:val="16"/>
        </w:rPr>
      </w:pPr>
    </w:p>
  </w:footnote>
  <w:footnote w:id="319">
    <w:p w14:paraId="52CC0EB1" w14:textId="77777777" w:rsidR="00837BB9" w:rsidRPr="001D32B8" w:rsidRDefault="00837BB9" w:rsidP="00837BB9">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xml:space="preserve">. 211 a 215. </w:t>
      </w:r>
    </w:p>
    <w:p w14:paraId="795C826D" w14:textId="77777777" w:rsidR="00837BB9" w:rsidRPr="001D32B8" w:rsidRDefault="00837BB9" w:rsidP="0027007E">
      <w:pPr>
        <w:pStyle w:val="FootnoteText"/>
        <w:jc w:val="both"/>
        <w:rPr>
          <w:rFonts w:ascii="Verdana" w:hAnsi="Verdana"/>
          <w:sz w:val="16"/>
          <w:szCs w:val="16"/>
        </w:rPr>
      </w:pPr>
    </w:p>
  </w:footnote>
  <w:footnote w:id="320">
    <w:p w14:paraId="6D047F8A"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Hay que destacar que el representante no alegó la violación del artículo 26 de la Convención o del derecho al trabajo en su escrito de solicitudes y argumentos. Sin embargo, alegó que “la causa de los despidos” fue el ejercicio de sus derechos políticos, incluido el “derecho de todos los ciudadanos a tener acceso, en condiciones de igualdad, a las funciones públicas de su país”, el cual, según alegó, estaría reconocido en el art. 23.1.c) de la Convención y comprende la garantía de permanecer en su puesto mientras no cambien las circunstancias que justificaron el ingreso de ese ciudadano a la administración pública. Por ello, alegó que si se acepta el alegato del Estado, en cuanto a que la terminación del contrato de trabajo era una facultad discrecional suya cuando lo considerara conveniente sin tener que expresar motivo alguno, implicaría la anulación de ese derecho.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215.</w:t>
      </w:r>
    </w:p>
    <w:p w14:paraId="609DB935" w14:textId="77777777" w:rsidR="00837BB9" w:rsidRPr="001D32B8" w:rsidRDefault="00837BB9" w:rsidP="0027007E">
      <w:pPr>
        <w:pStyle w:val="FootnoteText"/>
        <w:jc w:val="both"/>
        <w:rPr>
          <w:rFonts w:ascii="Verdana" w:hAnsi="Verdana"/>
          <w:sz w:val="16"/>
          <w:szCs w:val="16"/>
        </w:rPr>
      </w:pPr>
    </w:p>
  </w:footnote>
  <w:footnote w:id="321">
    <w:p w14:paraId="1DD70BA2" w14:textId="77777777" w:rsidR="00837BB9" w:rsidRPr="001D32B8" w:rsidRDefault="00837BB9" w:rsidP="0027007E">
      <w:pPr>
        <w:pStyle w:val="FootnoteText"/>
        <w:jc w:val="both"/>
        <w:rPr>
          <w:rFonts w:ascii="Verdana" w:hAnsi="Verdana"/>
          <w:sz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En efecto, del marco fáctico contenido en el Informe de Fondo No. 75/15 de la Comisión Interamericana se advierte lo siguiente: según información de público conocimiento, con posterioridad a la publicación de la Lista </w:t>
      </w:r>
      <w:proofErr w:type="spellStart"/>
      <w:r w:rsidRPr="001D32B8">
        <w:rPr>
          <w:rFonts w:ascii="Verdana" w:hAnsi="Verdana"/>
          <w:sz w:val="16"/>
          <w:szCs w:val="16"/>
        </w:rPr>
        <w:t>Tascón</w:t>
      </w:r>
      <w:proofErr w:type="spellEnd"/>
      <w:r w:rsidRPr="001D32B8">
        <w:rPr>
          <w:rFonts w:ascii="Verdana" w:hAnsi="Verdana"/>
          <w:sz w:val="16"/>
          <w:szCs w:val="16"/>
        </w:rPr>
        <w:t xml:space="preserve"> los medios de comunicación se refirieron a denuncias sobre despidos de trabajadores públicos como represalia a su firma en el referendo revocatorio presidencial; algunos de los despidos fueron precedidos de declaraciones de funcionarios públicos acusando a los firmantes de traición; organizaciones no gubernamentales internacionales y venezolana documentaron una serie de casos de supuestos despidos motivados en la participación de funcionarios en la solicitud de referendo revocatorio; en abril de 2005 el Fiscal General de la República ordenó abrir una investigación tomando en cuenta las denuncias consignadas en diversos medios de comunicación respecto de discriminación política y despidos de funcionarios públicos como alegada represalia a su aparición en las listas de firmantes; las víctimas laboraron en el Consejo Nacional de Fronteras, mediante la suscripción continuada de contratos temporales de servicios, entre 1996, 1997 o 2000 y abril de 2004, cuando su relación laboral fue terminada por medio de comunicación fechada 12 de marzo de 2004 suscrita por el Presidente del Consejo Nacional de Fronteras. </w:t>
      </w:r>
      <w:r w:rsidRPr="001D32B8">
        <w:rPr>
          <w:rFonts w:ascii="Verdana" w:hAnsi="Verdana"/>
          <w:i/>
          <w:sz w:val="16"/>
          <w:szCs w:val="16"/>
        </w:rPr>
        <w:t xml:space="preserve">Cfr. </w:t>
      </w:r>
      <w:r w:rsidRPr="001D32B8">
        <w:rPr>
          <w:rFonts w:ascii="Verdana" w:hAnsi="Verdana"/>
          <w:sz w:val="16"/>
          <w:szCs w:val="16"/>
        </w:rPr>
        <w:t xml:space="preserve">CIDH, Informe No.  75/15, Caso 12.923. Fondo. Rocío San Miguel Sosa y otras. Venezuela. 28 de octubre de 2015, </w:t>
      </w:r>
      <w:proofErr w:type="spellStart"/>
      <w:r w:rsidRPr="001D32B8">
        <w:rPr>
          <w:rFonts w:ascii="Verdana" w:hAnsi="Verdana"/>
          <w:sz w:val="16"/>
          <w:szCs w:val="16"/>
        </w:rPr>
        <w:t>párrs</w:t>
      </w:r>
      <w:proofErr w:type="spellEnd"/>
      <w:r w:rsidRPr="001D32B8">
        <w:rPr>
          <w:rFonts w:ascii="Verdana" w:hAnsi="Verdana"/>
          <w:sz w:val="16"/>
          <w:szCs w:val="16"/>
        </w:rPr>
        <w:t>. 77, 81 y 86</w:t>
      </w:r>
      <w:r>
        <w:rPr>
          <w:rFonts w:ascii="Verdana" w:hAnsi="Verdana"/>
          <w:sz w:val="16"/>
          <w:szCs w:val="16"/>
        </w:rPr>
        <w:t>.</w:t>
      </w:r>
      <w:r w:rsidRPr="001D32B8">
        <w:rPr>
          <w:rFonts w:ascii="Verdana" w:hAnsi="Verdana"/>
          <w:sz w:val="16"/>
          <w:szCs w:val="16"/>
        </w:rPr>
        <w:t xml:space="preserve"> </w:t>
      </w:r>
    </w:p>
    <w:p w14:paraId="5DE61679" w14:textId="77777777" w:rsidR="00837BB9" w:rsidRPr="001D32B8" w:rsidRDefault="00837BB9" w:rsidP="0027007E">
      <w:pPr>
        <w:pStyle w:val="FootnoteText"/>
        <w:jc w:val="both"/>
        <w:rPr>
          <w:rFonts w:ascii="Verdana" w:hAnsi="Verdana"/>
          <w:sz w:val="16"/>
          <w:szCs w:val="16"/>
        </w:rPr>
      </w:pPr>
    </w:p>
  </w:footnote>
  <w:footnote w:id="322">
    <w:p w14:paraId="13233B4C" w14:textId="63F3B579" w:rsidR="00837BB9" w:rsidRPr="001D32B8" w:rsidRDefault="00837BB9" w:rsidP="00837BB9">
      <w:pPr>
        <w:autoSpaceDE w:val="0"/>
        <w:autoSpaceDN w:val="0"/>
        <w:adjustRightInd w:val="0"/>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 </w:t>
      </w:r>
      <w:r w:rsidRPr="001D32B8">
        <w:rPr>
          <w:rFonts w:ascii="Verdana" w:hAnsi="Verdana"/>
          <w:i/>
          <w:sz w:val="16"/>
          <w:szCs w:val="16"/>
        </w:rPr>
        <w:t>Cfr.</w:t>
      </w:r>
      <w:r w:rsidRPr="001D32B8">
        <w:rPr>
          <w:rFonts w:ascii="Verdana" w:hAnsi="Verdana"/>
          <w:sz w:val="16"/>
          <w:szCs w:val="16"/>
        </w:rPr>
        <w:t xml:space="preserve"> Denuncia por violación de derechos humanos en la persona de Rocío San Miguel Sosa y otras. Venezuela. 7 de marzo de 2006. Expediente</w:t>
      </w:r>
      <w:r>
        <w:rPr>
          <w:rFonts w:ascii="Verdana" w:hAnsi="Verdana"/>
          <w:sz w:val="16"/>
          <w:szCs w:val="16"/>
        </w:rPr>
        <w:t xml:space="preserve"> del caso ante la Comisión IDH</w:t>
      </w:r>
      <w:r w:rsidRPr="001D32B8">
        <w:rPr>
          <w:rFonts w:ascii="Verdana" w:hAnsi="Verdana"/>
          <w:sz w:val="16"/>
          <w:szCs w:val="16"/>
        </w:rPr>
        <w:t xml:space="preserve">, Folios 1198 a 1203. </w:t>
      </w:r>
      <w:r w:rsidRPr="001D32B8">
        <w:rPr>
          <w:rFonts w:ascii="Verdana" w:hAnsi="Verdana"/>
          <w:sz w:val="16"/>
          <w:szCs w:val="16"/>
        </w:rPr>
        <w:tab/>
      </w:r>
    </w:p>
  </w:footnote>
  <w:footnote w:id="323">
    <w:p w14:paraId="49A6991E" w14:textId="77777777" w:rsidR="00837BB9" w:rsidRPr="00776CDA" w:rsidRDefault="00837BB9" w:rsidP="0027007E">
      <w:pPr>
        <w:spacing w:before="120" w:after="120"/>
        <w:jc w:val="both"/>
        <w:rPr>
          <w:rFonts w:ascii="Verdana" w:hAnsi="Verdana"/>
          <w:spacing w:val="-12"/>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Pr>
          <w:rFonts w:ascii="Verdana" w:hAnsi="Verdana"/>
          <w:sz w:val="16"/>
          <w:szCs w:val="16"/>
        </w:rPr>
        <w:t xml:space="preserve">Ver </w:t>
      </w:r>
      <w:r w:rsidRPr="001D32B8">
        <w:rPr>
          <w:rFonts w:ascii="Verdana" w:hAnsi="Verdana"/>
          <w:sz w:val="16"/>
          <w:szCs w:val="16"/>
        </w:rPr>
        <w:t xml:space="preserve">Audiencia Pública, Alegatos Finales Orales de los Representantes de las Víctimas, </w:t>
      </w:r>
      <w:r w:rsidRPr="006D17A2">
        <w:rPr>
          <w:rFonts w:ascii="Verdana" w:hAnsi="Verdana"/>
          <w:sz w:val="16"/>
          <w:szCs w:val="16"/>
        </w:rPr>
        <w:t>Video disponible en:</w:t>
      </w:r>
      <w:r w:rsidRPr="0069409D">
        <w:rPr>
          <w:rFonts w:ascii="Verdana" w:hAnsi="Verdana" w:cs="Arial"/>
          <w:spacing w:val="-12"/>
          <w:sz w:val="16"/>
          <w:szCs w:val="16"/>
          <w:lang w:val="es-MX"/>
        </w:rPr>
        <w:t xml:space="preserve"> </w:t>
      </w:r>
      <w:hyperlink r:id="rId35" w:history="1">
        <w:r w:rsidRPr="00776CDA">
          <w:rPr>
            <w:rStyle w:val="Hyperlink"/>
            <w:rFonts w:ascii="Verdana" w:hAnsi="Verdana" w:cs="Arial"/>
            <w:spacing w:val="-12"/>
            <w:sz w:val="16"/>
            <w:szCs w:val="16"/>
            <w:lang w:val="es-MX"/>
          </w:rPr>
          <w:t>https://vimeopro.com/corteidh/caso-san-miguel-sosa-y-otros-vs-venezuela</w:t>
        </w:r>
      </w:hyperlink>
      <w:r w:rsidRPr="00776CDA">
        <w:rPr>
          <w:rStyle w:val="Hyperlink"/>
          <w:rFonts w:ascii="Verdana" w:hAnsi="Verdana" w:cs="Arial"/>
          <w:spacing w:val="-12"/>
          <w:sz w:val="16"/>
          <w:szCs w:val="16"/>
          <w:lang w:val="es-MX"/>
        </w:rPr>
        <w:t xml:space="preserve"> </w:t>
      </w:r>
    </w:p>
    <w:p w14:paraId="174CEAD1" w14:textId="77777777" w:rsidR="00837BB9" w:rsidRPr="001D32B8" w:rsidRDefault="00837BB9" w:rsidP="0027007E">
      <w:pPr>
        <w:pStyle w:val="FootnoteText"/>
        <w:jc w:val="both"/>
        <w:rPr>
          <w:rFonts w:ascii="Verdana" w:hAnsi="Verdana"/>
          <w:sz w:val="16"/>
          <w:szCs w:val="16"/>
        </w:rPr>
      </w:pPr>
    </w:p>
  </w:footnote>
  <w:footnote w:id="324">
    <w:p w14:paraId="7CD9225F"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 xml:space="preserve">Cfr. </w:t>
      </w:r>
      <w:r w:rsidRPr="001D32B8">
        <w:rPr>
          <w:rFonts w:ascii="Verdana" w:hAnsi="Verdana"/>
          <w:sz w:val="16"/>
          <w:szCs w:val="16"/>
        </w:rPr>
        <w:t>Escrito de Argumentos Finales de la Representación de las Víctimas, Caso San Miguel Sosa y otras Vs. Venezuela. Expediente</w:t>
      </w:r>
      <w:r>
        <w:rPr>
          <w:rFonts w:ascii="Verdana" w:hAnsi="Verdana"/>
          <w:sz w:val="16"/>
          <w:szCs w:val="16"/>
        </w:rPr>
        <w:t>,</w:t>
      </w:r>
      <w:r w:rsidRPr="001D32B8">
        <w:rPr>
          <w:rFonts w:ascii="Verdana" w:hAnsi="Verdana"/>
          <w:sz w:val="16"/>
          <w:szCs w:val="16"/>
        </w:rPr>
        <w:t xml:space="preserve"> Folio 1065.</w:t>
      </w:r>
    </w:p>
    <w:p w14:paraId="31089D89" w14:textId="77777777" w:rsidR="00837BB9" w:rsidRPr="001D32B8" w:rsidRDefault="00837BB9" w:rsidP="0027007E">
      <w:pPr>
        <w:pStyle w:val="FootnoteText"/>
        <w:jc w:val="both"/>
        <w:rPr>
          <w:rFonts w:ascii="Verdana" w:hAnsi="Verdana"/>
          <w:sz w:val="16"/>
          <w:szCs w:val="16"/>
        </w:rPr>
      </w:pPr>
    </w:p>
  </w:footnote>
  <w:footnote w:id="325">
    <w:p w14:paraId="32905063"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eastAsiaTheme="minorHAnsi" w:hAnsi="Verdana"/>
          <w:sz w:val="16"/>
          <w:szCs w:val="16"/>
          <w:lang w:val="es-CR"/>
        </w:rPr>
        <w:t xml:space="preserve">En la acción de amparo alegaron la violación de los derechos al trabajo y a la estabilidad laboral. </w:t>
      </w:r>
      <w:r w:rsidRPr="001D32B8">
        <w:rPr>
          <w:rFonts w:ascii="Verdana" w:hAnsi="Verdana"/>
          <w:sz w:val="16"/>
          <w:szCs w:val="16"/>
          <w:lang w:val="es-VE"/>
        </w:rPr>
        <w:t>En cuanto a los hechos, las demandantes señalaron que fueron despedidas sin causa justificada, a pesar de cumplir con las labores encomendadas, no contar con amonestación o sanción alguna en sus expedientes laborales por incumplir labores u horarios, y no existir un proceso de reorganización en el órgano que ameritara reducción de personal. Alegaron que, antes del despido, se hicieron frecuentes anuncios informales o bromas, por sujetos con influencia política, de que quien participare en procesos contra el Presidente ser</w:t>
      </w:r>
      <w:r>
        <w:rPr>
          <w:rFonts w:ascii="Verdana" w:hAnsi="Verdana"/>
          <w:sz w:val="16"/>
          <w:szCs w:val="16"/>
          <w:lang w:val="es-VE"/>
        </w:rPr>
        <w:t>í</w:t>
      </w:r>
      <w:r w:rsidRPr="001D32B8">
        <w:rPr>
          <w:rFonts w:ascii="Verdana" w:hAnsi="Verdana"/>
          <w:sz w:val="16"/>
          <w:szCs w:val="16"/>
          <w:lang w:val="es-VE"/>
        </w:rPr>
        <w:t>a despedido. Señalaron una serie de hechos de contexto e indicios que consideraron relevantes. Alegaron la violación del “derecho constitucional a la igualdad ante la ley[, …] la garantía a no ser discriminadas así como los derechos al trabajo y a la estabilidad laboral [… por una] actuación contraria a los artículo</w:t>
      </w:r>
      <w:r>
        <w:rPr>
          <w:rFonts w:ascii="Verdana" w:hAnsi="Verdana"/>
          <w:sz w:val="16"/>
          <w:szCs w:val="16"/>
          <w:lang w:val="es-VE"/>
        </w:rPr>
        <w:t>s</w:t>
      </w:r>
      <w:r w:rsidRPr="001D32B8">
        <w:rPr>
          <w:rFonts w:ascii="Verdana" w:hAnsi="Verdana"/>
          <w:sz w:val="16"/>
          <w:szCs w:val="16"/>
          <w:lang w:val="es-VE"/>
        </w:rPr>
        <w:t xml:space="preserve"> 21, 87, 89 y 93 de la Constitución Política de la República Bolivariana de Venezuela y los artículos 24 de la Convención Americana[, …] 2.2 y 6.1 del Pacto Internacional de Derechos Económicos, Sociales y Culturales y el artículo 26 del Pacto Internacional de Derechos Civiles y Políticos […], así como del artículo 26 de la Ley Orgánica del Trabajo y el literal E del artículo 8 del Reglamento de la Ley Orgánica del Trabajo [y que </w:t>
      </w:r>
      <w:proofErr w:type="spellStart"/>
      <w:r w:rsidRPr="001D32B8">
        <w:rPr>
          <w:rFonts w:ascii="Verdana" w:hAnsi="Verdana"/>
          <w:sz w:val="16"/>
          <w:szCs w:val="16"/>
          <w:lang w:val="es-VE"/>
        </w:rPr>
        <w:t>e</w:t>
      </w:r>
      <w:proofErr w:type="spellEnd"/>
      <w:r w:rsidRPr="001D32B8">
        <w:rPr>
          <w:rFonts w:ascii="Verdana" w:hAnsi="Verdana"/>
          <w:sz w:val="16"/>
          <w:szCs w:val="16"/>
          <w:lang w:val="es-VE"/>
        </w:rPr>
        <w:t xml:space="preserve">]l acto de discriminación condujo igualmente a la violación del derecho de participación política normado en el artículo 70 de la Constitución”. </w:t>
      </w:r>
      <w:r w:rsidRPr="001D32B8">
        <w:rPr>
          <w:rFonts w:ascii="Verdana" w:hAnsi="Verdana"/>
          <w:i/>
          <w:sz w:val="16"/>
          <w:szCs w:val="16"/>
          <w:lang w:val="es-VE"/>
        </w:rPr>
        <w:t>Cfr.</w:t>
      </w:r>
      <w:r w:rsidRPr="001D32B8">
        <w:rPr>
          <w:rFonts w:ascii="Verdana" w:hAnsi="Verdana"/>
          <w:sz w:val="16"/>
          <w:szCs w:val="16"/>
          <w:lang w:val="es-VE"/>
        </w:rPr>
        <w:t xml:space="preserve"> Demanda de amparo constitucional, 22 de julio de 2004.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nota al pie 142.</w:t>
      </w:r>
    </w:p>
    <w:p w14:paraId="6568A19B" w14:textId="77777777" w:rsidR="00837BB9" w:rsidRPr="001D32B8" w:rsidRDefault="00837BB9" w:rsidP="0027007E">
      <w:pPr>
        <w:pStyle w:val="FootnoteText"/>
        <w:jc w:val="both"/>
        <w:rPr>
          <w:rFonts w:ascii="Verdana" w:hAnsi="Verdana"/>
          <w:sz w:val="16"/>
          <w:szCs w:val="16"/>
        </w:rPr>
      </w:pPr>
    </w:p>
  </w:footnote>
  <w:footnote w:id="326">
    <w:p w14:paraId="7A0CA79F"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219. </w:t>
      </w:r>
    </w:p>
    <w:p w14:paraId="528789AE" w14:textId="77777777" w:rsidR="00837BB9" w:rsidRPr="001D32B8" w:rsidRDefault="00837BB9" w:rsidP="0027007E">
      <w:pPr>
        <w:pStyle w:val="FootnoteText"/>
        <w:jc w:val="both"/>
        <w:rPr>
          <w:rFonts w:ascii="Verdana" w:hAnsi="Verdana"/>
          <w:sz w:val="16"/>
          <w:szCs w:val="16"/>
        </w:rPr>
      </w:pPr>
    </w:p>
  </w:footnote>
  <w:footnote w:id="327">
    <w:p w14:paraId="34B9A8E9"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xml:space="preserve"> 151, 160 y 200. </w:t>
      </w:r>
    </w:p>
    <w:p w14:paraId="5191BE2C" w14:textId="77777777" w:rsidR="00837BB9" w:rsidRPr="001D32B8" w:rsidRDefault="00837BB9" w:rsidP="0027007E">
      <w:pPr>
        <w:pStyle w:val="FootnoteText"/>
        <w:jc w:val="both"/>
        <w:rPr>
          <w:rFonts w:ascii="Verdana" w:hAnsi="Verdana"/>
          <w:sz w:val="16"/>
          <w:szCs w:val="16"/>
        </w:rPr>
      </w:pPr>
    </w:p>
  </w:footnote>
  <w:footnote w:id="328">
    <w:p w14:paraId="5F397B6B"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222. </w:t>
      </w:r>
    </w:p>
    <w:p w14:paraId="3B40A51E" w14:textId="77777777" w:rsidR="00837BB9" w:rsidRPr="001D32B8" w:rsidRDefault="00837BB9" w:rsidP="0027007E">
      <w:pPr>
        <w:pStyle w:val="FootnoteText"/>
        <w:jc w:val="both"/>
        <w:rPr>
          <w:rFonts w:ascii="Verdana" w:hAnsi="Verdana"/>
          <w:sz w:val="16"/>
          <w:szCs w:val="16"/>
        </w:rPr>
      </w:pPr>
    </w:p>
  </w:footnote>
  <w:footnote w:id="329">
    <w:p w14:paraId="3A0B434B" w14:textId="77777777" w:rsidR="00837BB9" w:rsidRPr="001D32B8" w:rsidRDefault="00837BB9" w:rsidP="00837BB9">
      <w:pPr>
        <w:pBdr>
          <w:top w:val="nil"/>
        </w:pBdr>
        <w:spacing w:line="240" w:lineRule="auto"/>
        <w:ind w:right="48"/>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Al respecto, en la Sentencia se considera que: “108. La Corte hace notar que la Comisión y el representante sustentan las alegadas violaciones de derechos en un mismo hecho generador: la terminación de los contratos de las presuntas víctimas por haber firmado la solicitud de convocatoria a referendo revocatorio. Es decir, consideraron que tal acto de firma constituyó tanto el ejercicio de un derecho político como “un acto motivado por la opinión política expresada a través de la firma” y, a la vez, que tal acto estaría protegido por un principio de no discriminación (como una categoría prohibida o “sospechosa”) y por el derecho a igualdad ante la ley, pues el despido habría constituido un acto de discriminación con base en la opinión política”.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108. </w:t>
      </w:r>
    </w:p>
    <w:p w14:paraId="5D217474" w14:textId="77777777" w:rsidR="00837BB9" w:rsidRPr="001D32B8" w:rsidRDefault="00837BB9" w:rsidP="0027007E">
      <w:pPr>
        <w:pStyle w:val="FootnoteText"/>
        <w:jc w:val="both"/>
        <w:rPr>
          <w:rFonts w:ascii="Verdana" w:hAnsi="Verdana"/>
          <w:sz w:val="16"/>
          <w:szCs w:val="16"/>
        </w:rPr>
      </w:pPr>
    </w:p>
  </w:footnote>
  <w:footnote w:id="330">
    <w:p w14:paraId="677D68AB"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149 y 150.</w:t>
      </w:r>
    </w:p>
    <w:p w14:paraId="512562DA" w14:textId="77777777" w:rsidR="00837BB9" w:rsidRPr="001D32B8" w:rsidRDefault="00837BB9" w:rsidP="0027007E">
      <w:pPr>
        <w:pStyle w:val="FootnoteText"/>
        <w:jc w:val="both"/>
        <w:rPr>
          <w:rFonts w:ascii="Verdana" w:hAnsi="Verdana"/>
          <w:sz w:val="16"/>
          <w:szCs w:val="16"/>
        </w:rPr>
      </w:pPr>
    </w:p>
  </w:footnote>
  <w:footnote w:id="331">
    <w:p w14:paraId="224E3344"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156.</w:t>
      </w:r>
    </w:p>
    <w:p w14:paraId="2D118B06" w14:textId="77777777" w:rsidR="00837BB9" w:rsidRPr="001D32B8" w:rsidRDefault="00837BB9" w:rsidP="0027007E">
      <w:pPr>
        <w:pStyle w:val="FootnoteText"/>
        <w:jc w:val="both"/>
        <w:rPr>
          <w:rFonts w:ascii="Verdana" w:hAnsi="Verdana"/>
          <w:sz w:val="16"/>
          <w:szCs w:val="16"/>
        </w:rPr>
      </w:pPr>
    </w:p>
  </w:footnote>
  <w:footnote w:id="332">
    <w:p w14:paraId="150F3E6C"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158.</w:t>
      </w:r>
      <w:r w:rsidRPr="001D32B8">
        <w:rPr>
          <w:rFonts w:ascii="Verdana" w:hAnsi="Verdana"/>
          <w:sz w:val="16"/>
          <w:szCs w:val="16"/>
        </w:rPr>
        <w:tab/>
      </w:r>
    </w:p>
    <w:p w14:paraId="04DA7587" w14:textId="77777777" w:rsidR="00837BB9" w:rsidRPr="001D32B8" w:rsidRDefault="00837BB9" w:rsidP="0027007E">
      <w:pPr>
        <w:pStyle w:val="FootnoteText"/>
        <w:jc w:val="both"/>
        <w:rPr>
          <w:rFonts w:ascii="Verdana" w:hAnsi="Verdana"/>
          <w:sz w:val="16"/>
          <w:szCs w:val="16"/>
        </w:rPr>
      </w:pPr>
    </w:p>
  </w:footnote>
  <w:footnote w:id="333">
    <w:p w14:paraId="4BDB69AD"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18</w:t>
      </w:r>
      <w:r>
        <w:rPr>
          <w:rFonts w:ascii="Verdana" w:hAnsi="Verdana"/>
          <w:sz w:val="16"/>
          <w:szCs w:val="16"/>
        </w:rPr>
        <w:t>6</w:t>
      </w:r>
      <w:r w:rsidRPr="001D32B8">
        <w:rPr>
          <w:rFonts w:ascii="Verdana" w:hAnsi="Verdana"/>
          <w:sz w:val="16"/>
          <w:szCs w:val="16"/>
        </w:rPr>
        <w:t xml:space="preserve">. Al respecto en la Sentencia también se consideró que “184. De hecho, lo relevante es que el Juzgado que conoció del amparo, antes de expresar sus dudas sobre la competencia para resolverlo en razón del cargo del funcionario contra quien se presentaba, señaló que “como el derecho infringido o amenazado de infracción es un derecho constitucional, cualquier juez, en su condición de garante de la supremacía constitucional […], podría en principio conocer las violaciones de dichos derechos o garantías constitucionales”. Luego, al resolver la cuestión de la competencia, la Sala Constitucional de la Corte Suprema de Justicia señaló que “para dilucidar la afinidad de la naturaleza del derecho violado o amenazado de violación, […] el juzgador ha de revisar la particular esfera en la cual se generó o pudiera producirse la violación o amenaza; revisar, pues, la situación jurídica que ostenta el presunto agraviado frente al agente lesivo”. Así, al observar que las accionantes propusieron la acción de amparo “en razón de supuestas violaciones constitucionales”, entre otras razones, dicha Sala declaró que el Juzgado era competente para resolver la acción, la cual, en efecto, fue admitida a trámite. Posteriormente, el referido Juzgado observó que “la pretensión principal no es que se califique el despido, para luego obtener el reenganche y el pago de los salarios caídos, [que] en todo caso, es la pretensión accesoria, [sino] que se determine que en efecto, las accionantes sufrieron o fueron víctimas de un trato discriminatorio por parte del Estado”. Es decir, hizo notar que la acción se había “instaurado para determinar la relación o nexo causal entre una conducta no solo antijurídica o inconstitucional, sino vejatoria de derechos humanos fundamentales como lo es la igualdad ante la ley y la prohibición de discriminación fundadas en razones políticas, como hecho generador de la ruptura de las relaciones de trabajo que mantenían las accionantes con el organismo accionado en amparo. Si esto es así, no puede hablarse en ningún momento de la inadmisibilidad de la presente acción […] sino que se hace necesario entrar al fondo de la controversia para resolver sobre la procedencia o improcedencia de la acción”.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párr.  184. </w:t>
      </w:r>
    </w:p>
    <w:p w14:paraId="3B71DD14" w14:textId="77777777" w:rsidR="00837BB9" w:rsidRPr="001D32B8" w:rsidRDefault="00837BB9" w:rsidP="0027007E">
      <w:pPr>
        <w:pStyle w:val="FootnoteText"/>
        <w:jc w:val="both"/>
        <w:rPr>
          <w:rFonts w:ascii="Verdana" w:hAnsi="Verdana"/>
          <w:sz w:val="16"/>
          <w:szCs w:val="16"/>
        </w:rPr>
      </w:pPr>
    </w:p>
  </w:footnote>
  <w:footnote w:id="334">
    <w:p w14:paraId="1A3B09D5" w14:textId="77777777" w:rsidR="00837BB9"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ab/>
        <w:t>En la Sentencia la Corte IDH constató que: “190. Las presuntas víctimas tuvieron acceso a la acción de amparo, la cual fue decidida por el fondo luego haber sido evacuadas determinadas pruebas en audiencia. Sin embargo, las autoridades que decidieron la acción por el fondo o en apelación dejaron de valorar las grabaciones de las conversaciones telefónicas aportadas, por considerarlas pruebas ilícitas, y centraron su análisis en que las pruebas aportadas por la parte quejosa no permitían “establecer fehacientemente el nexo causal entre el pretendido trato discriminatorio por haber firmado y la decisión de poner fin a la relación de trabajo”. Además, tomaron como cierta la explicación de la autoridad administrativa recurrida, a saber, la aplicación de la cláusula séptima del contrato como una facultad discrecional del empleador</w:t>
      </w:r>
      <w:r>
        <w:rPr>
          <w:rFonts w:ascii="Verdana" w:hAnsi="Verdana"/>
          <w:sz w:val="16"/>
          <w:szCs w:val="16"/>
        </w:rPr>
        <w:t>”</w:t>
      </w:r>
      <w:r w:rsidRPr="001D32B8">
        <w:rPr>
          <w:rFonts w:ascii="Verdana" w:hAnsi="Verdana"/>
          <w:sz w:val="16"/>
          <w:szCs w:val="16"/>
        </w:rPr>
        <w:t xml:space="preserve"> y “194. Los juzgados nacionales rechazaron como pruebas las grabaciones y </w:t>
      </w:r>
      <w:r w:rsidRPr="001D32B8">
        <w:rPr>
          <w:rFonts w:ascii="Verdana" w:eastAsia="Calibri" w:hAnsi="Verdana"/>
          <w:sz w:val="16"/>
          <w:szCs w:val="16"/>
        </w:rPr>
        <w:t>transcripciones de grabaciones de conversaciones telefónicas entre la señora San Miguel y dos funcionarios relacionados con los hechos (</w:t>
      </w:r>
      <w:r w:rsidRPr="001D32B8">
        <w:rPr>
          <w:rFonts w:ascii="Verdana" w:eastAsia="Calibri" w:hAnsi="Verdana"/>
          <w:i/>
          <w:sz w:val="16"/>
          <w:szCs w:val="16"/>
        </w:rPr>
        <w:t xml:space="preserve">supra </w:t>
      </w:r>
      <w:r w:rsidRPr="001D32B8">
        <w:rPr>
          <w:rFonts w:ascii="Verdana" w:eastAsia="Calibri" w:hAnsi="Verdana"/>
          <w:sz w:val="16"/>
          <w:szCs w:val="16"/>
        </w:rPr>
        <w:t xml:space="preserve">párr. 32), por considerarlas pruebas “ilícitas </w:t>
      </w:r>
      <w:r w:rsidRPr="001D32B8">
        <w:rPr>
          <w:rFonts w:ascii="Verdana" w:hAnsi="Verdana"/>
          <w:sz w:val="16"/>
          <w:szCs w:val="16"/>
        </w:rPr>
        <w:t>e ilegítimas” que no podían ser admitidas en juicio,</w:t>
      </w:r>
      <w:r w:rsidRPr="001D32B8">
        <w:rPr>
          <w:rFonts w:ascii="Verdana" w:eastAsia="Calibri" w:hAnsi="Verdana"/>
          <w:sz w:val="16"/>
          <w:szCs w:val="16"/>
        </w:rPr>
        <w:t xml:space="preserve"> con base en que habrían sido “obtenidas sin el consentimiento de los presuntos interlocutores” y que no tenía certeza sobre las voces de éstos</w:t>
      </w:r>
      <w:r w:rsidRPr="001D32B8">
        <w:rPr>
          <w:rFonts w:ascii="Verdana" w:hAnsi="Verdana"/>
          <w:sz w:val="16"/>
          <w:szCs w:val="16"/>
        </w:rPr>
        <w:t>. Co</w:t>
      </w:r>
      <w:r w:rsidRPr="001D32B8">
        <w:rPr>
          <w:rFonts w:ascii="Verdana" w:eastAsia="Calibri" w:hAnsi="Verdana"/>
          <w:sz w:val="16"/>
          <w:szCs w:val="16"/>
        </w:rPr>
        <w:t xml:space="preserve">ntra el propio concepto de prueba prohibida sobre el que decide, el juzgado no refirió o explicó la específica norma legal o principio de derecho que la grabación registrada por la señora San Miguel habría contrariado, ni señaló cual fue correspondientemente la prohibición de naturaleza material y procesal que tales pruebas habrían infringido. La resolución del juzgado no precisa sobre la base de qué norma jurídica o principio entendía que el consentimiento de uno de los interlocutores de una conversación era, en las circunstancias de ese caso, un elemento imprescindible para considerar que el registro o grabación de la comunicación realizada por el otro interlocutor, que alegaba una vulneración de sus derechos, era ilícito y por ello afectaba su carácter de prueba. El tribunal que conoció la apelación no dio argumentación adicional al respecto”.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190 y 194.</w:t>
      </w:r>
    </w:p>
    <w:p w14:paraId="65F4E161" w14:textId="77777777" w:rsidR="00837BB9" w:rsidRPr="001D32B8" w:rsidRDefault="00837BB9" w:rsidP="0027007E">
      <w:pPr>
        <w:pStyle w:val="FootnoteText"/>
        <w:jc w:val="both"/>
        <w:rPr>
          <w:rFonts w:ascii="Verdana" w:hAnsi="Verdana"/>
          <w:sz w:val="16"/>
          <w:szCs w:val="16"/>
        </w:rPr>
      </w:pPr>
      <w:r w:rsidRPr="001D32B8">
        <w:rPr>
          <w:rFonts w:ascii="Verdana" w:hAnsi="Verdana"/>
          <w:sz w:val="16"/>
          <w:szCs w:val="16"/>
        </w:rPr>
        <w:tab/>
      </w:r>
    </w:p>
  </w:footnote>
  <w:footnote w:id="335">
    <w:p w14:paraId="7E773E7F"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195.</w:t>
      </w:r>
    </w:p>
    <w:p w14:paraId="3FA57C6E" w14:textId="77777777" w:rsidR="00837BB9" w:rsidRPr="001D32B8" w:rsidRDefault="00837BB9" w:rsidP="0027007E">
      <w:pPr>
        <w:pStyle w:val="FootnoteText"/>
        <w:jc w:val="both"/>
        <w:rPr>
          <w:rFonts w:ascii="Verdana" w:hAnsi="Verdana"/>
          <w:sz w:val="16"/>
          <w:szCs w:val="16"/>
        </w:rPr>
      </w:pPr>
    </w:p>
  </w:footnote>
  <w:footnote w:id="336">
    <w:p w14:paraId="4AA37030"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196.</w:t>
      </w:r>
    </w:p>
    <w:p w14:paraId="7B13AE50" w14:textId="77777777" w:rsidR="00837BB9" w:rsidRPr="001D32B8" w:rsidRDefault="00837BB9" w:rsidP="0027007E">
      <w:pPr>
        <w:pStyle w:val="FootnoteText"/>
        <w:jc w:val="both"/>
        <w:rPr>
          <w:rFonts w:ascii="Verdana" w:hAnsi="Verdana"/>
          <w:sz w:val="16"/>
          <w:szCs w:val="16"/>
        </w:rPr>
      </w:pPr>
    </w:p>
  </w:footnote>
  <w:footnote w:id="337">
    <w:p w14:paraId="3D131AD7" w14:textId="35988660" w:rsidR="00837BB9" w:rsidRPr="0027007E" w:rsidRDefault="00837BB9" w:rsidP="0027007E">
      <w:pPr>
        <w:pStyle w:val="NormalWeb"/>
        <w:spacing w:before="0" w:beforeAutospacing="0" w:after="0" w:afterAutospacing="0"/>
        <w:jc w:val="both"/>
        <w:rPr>
          <w:rFonts w:ascii="Verdana" w:hAnsi="Verdana"/>
          <w:sz w:val="16"/>
          <w:szCs w:val="16"/>
          <w:lang w:val="es-CR"/>
        </w:rPr>
      </w:pPr>
      <w:r w:rsidRPr="001D32B8">
        <w:rPr>
          <w:rStyle w:val="FootnoteReference"/>
          <w:rFonts w:ascii="Verdana" w:hAnsi="Verdana"/>
          <w:sz w:val="16"/>
          <w:szCs w:val="16"/>
        </w:rPr>
        <w:footnoteRef/>
      </w:r>
      <w:r w:rsidRPr="0027007E">
        <w:rPr>
          <w:rFonts w:ascii="Verdana" w:hAnsi="Verdana"/>
          <w:sz w:val="16"/>
          <w:szCs w:val="16"/>
          <w:lang w:val="es-CR"/>
        </w:rPr>
        <w:t xml:space="preserve"> </w:t>
      </w:r>
      <w:r w:rsidRPr="0027007E">
        <w:rPr>
          <w:rFonts w:ascii="Verdana" w:hAnsi="Verdana"/>
          <w:sz w:val="16"/>
          <w:szCs w:val="16"/>
          <w:lang w:val="es-CR"/>
        </w:rPr>
        <w:tab/>
        <w:t>Al respecto</w:t>
      </w:r>
      <w:r w:rsidR="001E496D">
        <w:rPr>
          <w:rFonts w:ascii="Verdana" w:hAnsi="Verdana"/>
          <w:sz w:val="16"/>
          <w:szCs w:val="16"/>
          <w:lang w:val="es-CR"/>
        </w:rPr>
        <w:t>,</w:t>
      </w:r>
      <w:r w:rsidRPr="0027007E">
        <w:rPr>
          <w:rFonts w:ascii="Verdana" w:hAnsi="Verdana"/>
          <w:sz w:val="16"/>
          <w:szCs w:val="16"/>
          <w:lang w:val="es-CR"/>
        </w:rPr>
        <w:t xml:space="preserve"> en la </w:t>
      </w:r>
      <w:r w:rsidR="001E496D" w:rsidRPr="0027007E">
        <w:rPr>
          <w:rFonts w:ascii="Verdana" w:hAnsi="Verdana"/>
          <w:sz w:val="16"/>
          <w:szCs w:val="16"/>
          <w:lang w:val="es-CR"/>
        </w:rPr>
        <w:t>Opinión</w:t>
      </w:r>
      <w:r w:rsidRPr="0027007E">
        <w:rPr>
          <w:rFonts w:ascii="Verdana" w:hAnsi="Verdana"/>
          <w:sz w:val="16"/>
          <w:szCs w:val="16"/>
          <w:lang w:val="es-CR"/>
        </w:rPr>
        <w:t xml:space="preserve"> Consultiva No. 23 relativa al medio ambiente, la Corte IDH expresó que también es pertinente realizar el control de convencionalidad en materia de derechos sociales. Sobre este punto señaló que “[…] Es por tal </w:t>
      </w:r>
      <w:proofErr w:type="spellStart"/>
      <w:r w:rsidRPr="0027007E">
        <w:rPr>
          <w:rFonts w:ascii="Verdana" w:hAnsi="Verdana"/>
          <w:sz w:val="16"/>
          <w:szCs w:val="16"/>
          <w:lang w:val="es-CR"/>
        </w:rPr>
        <w:t>razón</w:t>
      </w:r>
      <w:proofErr w:type="spellEnd"/>
      <w:r w:rsidRPr="0027007E">
        <w:rPr>
          <w:rFonts w:ascii="Verdana" w:hAnsi="Verdana"/>
          <w:sz w:val="16"/>
          <w:szCs w:val="16"/>
          <w:lang w:val="es-CR"/>
        </w:rPr>
        <w:t xml:space="preserve"> que estima necesario que los diversos </w:t>
      </w:r>
      <w:proofErr w:type="spellStart"/>
      <w:r w:rsidRPr="0027007E">
        <w:rPr>
          <w:rFonts w:ascii="Verdana" w:hAnsi="Verdana"/>
          <w:sz w:val="16"/>
          <w:szCs w:val="16"/>
          <w:lang w:val="es-CR"/>
        </w:rPr>
        <w:t>órganos</w:t>
      </w:r>
      <w:proofErr w:type="spellEnd"/>
      <w:r w:rsidRPr="0027007E">
        <w:rPr>
          <w:rFonts w:ascii="Verdana" w:hAnsi="Verdana"/>
          <w:sz w:val="16"/>
          <w:szCs w:val="16"/>
          <w:lang w:val="es-CR"/>
        </w:rPr>
        <w:t xml:space="preserve"> del Estado </w:t>
      </w:r>
      <w:r w:rsidRPr="0027007E">
        <w:rPr>
          <w:rFonts w:ascii="Verdana" w:hAnsi="Verdana"/>
          <w:i/>
          <w:sz w:val="16"/>
          <w:szCs w:val="16"/>
          <w:lang w:val="es-CR"/>
        </w:rPr>
        <w:t xml:space="preserve">realicen el correspondiente control de convencionalidad para la </w:t>
      </w:r>
      <w:proofErr w:type="spellStart"/>
      <w:r w:rsidRPr="0027007E">
        <w:rPr>
          <w:rFonts w:ascii="Verdana" w:hAnsi="Verdana"/>
          <w:i/>
          <w:sz w:val="16"/>
          <w:szCs w:val="16"/>
          <w:lang w:val="es-CR"/>
        </w:rPr>
        <w:t>protección</w:t>
      </w:r>
      <w:proofErr w:type="spellEnd"/>
      <w:r w:rsidRPr="0027007E">
        <w:rPr>
          <w:rFonts w:ascii="Verdana" w:hAnsi="Verdana"/>
          <w:i/>
          <w:sz w:val="16"/>
          <w:szCs w:val="16"/>
          <w:lang w:val="es-CR"/>
        </w:rPr>
        <w:t xml:space="preserve"> de </w:t>
      </w:r>
      <w:r w:rsidRPr="0027007E">
        <w:rPr>
          <w:rFonts w:ascii="Verdana" w:hAnsi="Verdana"/>
          <w:sz w:val="16"/>
          <w:szCs w:val="16"/>
          <w:u w:val="single"/>
          <w:lang w:val="es-CR"/>
        </w:rPr>
        <w:t xml:space="preserve">todos los derechos </w:t>
      </w:r>
      <w:proofErr w:type="gramStart"/>
      <w:r w:rsidRPr="0027007E">
        <w:rPr>
          <w:rFonts w:ascii="Verdana" w:hAnsi="Verdana"/>
          <w:sz w:val="16"/>
          <w:szCs w:val="16"/>
          <w:u w:val="single"/>
          <w:lang w:val="es-CR"/>
        </w:rPr>
        <w:t>humanos</w:t>
      </w:r>
      <w:r w:rsidRPr="0027007E">
        <w:rPr>
          <w:rFonts w:ascii="Verdana" w:hAnsi="Verdana"/>
          <w:sz w:val="16"/>
          <w:szCs w:val="16"/>
          <w:lang w:val="es-CR"/>
        </w:rPr>
        <w:t>[</w:t>
      </w:r>
      <w:proofErr w:type="gramEnd"/>
      <w:r w:rsidRPr="0027007E">
        <w:rPr>
          <w:rFonts w:ascii="Verdana" w:hAnsi="Verdana"/>
          <w:sz w:val="16"/>
          <w:szCs w:val="16"/>
          <w:lang w:val="es-CR"/>
        </w:rPr>
        <w:t xml:space="preserve">…]” </w:t>
      </w:r>
      <w:r w:rsidRPr="00E97DDD">
        <w:rPr>
          <w:rFonts w:ascii="Verdana" w:hAnsi="Verdana"/>
          <w:sz w:val="16"/>
          <w:szCs w:val="16"/>
          <w:lang w:val="es-CR"/>
        </w:rPr>
        <w:t>(</w:t>
      </w:r>
      <w:r w:rsidR="001E496D" w:rsidRPr="00E97DDD">
        <w:rPr>
          <w:rFonts w:ascii="Verdana" w:hAnsi="Verdana"/>
          <w:sz w:val="16"/>
          <w:szCs w:val="16"/>
          <w:lang w:val="es-CR"/>
        </w:rPr>
        <w:t>énfasis</w:t>
      </w:r>
      <w:r w:rsidRPr="00E97DDD">
        <w:rPr>
          <w:rFonts w:ascii="Verdana" w:hAnsi="Verdana"/>
          <w:sz w:val="16"/>
          <w:szCs w:val="16"/>
          <w:lang w:val="es-CR"/>
        </w:rPr>
        <w:t xml:space="preserve"> añadido). </w:t>
      </w:r>
      <w:r w:rsidRPr="0027007E">
        <w:rPr>
          <w:rFonts w:ascii="Verdana" w:hAnsi="Verdana"/>
          <w:i/>
          <w:sz w:val="16"/>
          <w:szCs w:val="16"/>
          <w:lang w:val="es-CR"/>
        </w:rPr>
        <w:t>Cfr.</w:t>
      </w:r>
      <w:r w:rsidRPr="0027007E">
        <w:rPr>
          <w:rFonts w:ascii="Verdana" w:hAnsi="Verdana"/>
          <w:sz w:val="16"/>
          <w:szCs w:val="16"/>
          <w:lang w:val="es-CR"/>
        </w:rPr>
        <w:t xml:space="preserve"> </w:t>
      </w:r>
      <w:r w:rsidRPr="0027007E">
        <w:rPr>
          <w:rFonts w:ascii="Verdana" w:hAnsi="Verdana"/>
          <w:bCs/>
          <w:color w:val="000000"/>
          <w:sz w:val="16"/>
          <w:szCs w:val="16"/>
          <w:lang w:val="es-CR"/>
        </w:rPr>
        <w:t>M</w:t>
      </w:r>
      <w:r w:rsidRPr="0027007E">
        <w:rPr>
          <w:rFonts w:ascii="Verdana" w:hAnsi="Verdana"/>
          <w:bCs/>
          <w:i/>
          <w:color w:val="000000"/>
          <w:sz w:val="16"/>
          <w:szCs w:val="16"/>
          <w:lang w:val="es-CR"/>
        </w:rPr>
        <w:t>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27007E">
        <w:rPr>
          <w:rFonts w:ascii="Verdana" w:hAnsi="Verdana"/>
          <w:bCs/>
          <w:color w:val="000000"/>
          <w:sz w:val="16"/>
          <w:szCs w:val="16"/>
          <w:lang w:val="es-CR"/>
        </w:rPr>
        <w:t xml:space="preserve">. Opinión Consultiva OC-23/17 de 15 de noviembre de 2017. Serie A No. 23, párr. 28. </w:t>
      </w:r>
    </w:p>
    <w:p w14:paraId="20F9739D" w14:textId="77777777" w:rsidR="00837BB9" w:rsidRPr="001D32B8" w:rsidRDefault="00837BB9" w:rsidP="0027007E">
      <w:pPr>
        <w:pStyle w:val="FootnoteText"/>
        <w:jc w:val="both"/>
        <w:rPr>
          <w:rFonts w:ascii="Verdana" w:hAnsi="Verdana"/>
          <w:sz w:val="16"/>
          <w:szCs w:val="16"/>
        </w:rPr>
      </w:pPr>
      <w:r w:rsidRPr="001D32B8">
        <w:rPr>
          <w:rFonts w:ascii="Verdana" w:hAnsi="Verdana"/>
          <w:sz w:val="16"/>
          <w:szCs w:val="16"/>
        </w:rPr>
        <w:t xml:space="preserve"> </w:t>
      </w:r>
    </w:p>
  </w:footnote>
  <w:footnote w:id="338">
    <w:p w14:paraId="1CD508C8" w14:textId="77777777" w:rsidR="00837BB9" w:rsidRPr="001D32B8" w:rsidRDefault="00837BB9" w:rsidP="0027007E">
      <w:pPr>
        <w:jc w:val="both"/>
        <w:rPr>
          <w:rFonts w:ascii="Verdana" w:eastAsia="Times New Roman" w:hAnsi="Verdana" w:cs="Times New Roman"/>
          <w:bCs/>
          <w:color w:val="000000"/>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Sobre este punto, es pertinente </w:t>
      </w:r>
      <w:r>
        <w:rPr>
          <w:rFonts w:ascii="Verdana" w:hAnsi="Verdana"/>
          <w:sz w:val="16"/>
          <w:szCs w:val="16"/>
        </w:rPr>
        <w:t xml:space="preserve">recordar </w:t>
      </w:r>
      <w:r w:rsidRPr="001D32B8">
        <w:rPr>
          <w:rFonts w:ascii="Verdana" w:hAnsi="Verdana"/>
          <w:sz w:val="16"/>
          <w:szCs w:val="16"/>
        </w:rPr>
        <w:t xml:space="preserve">el criterio establecido en el caso </w:t>
      </w:r>
      <w:r>
        <w:rPr>
          <w:rFonts w:ascii="Verdana" w:hAnsi="Verdana"/>
          <w:i/>
          <w:sz w:val="16"/>
          <w:szCs w:val="16"/>
        </w:rPr>
        <w:t>Acevedo Buendía</w:t>
      </w:r>
      <w:r w:rsidRPr="001D32B8">
        <w:rPr>
          <w:rFonts w:ascii="Verdana" w:hAnsi="Verdana"/>
          <w:i/>
          <w:sz w:val="16"/>
          <w:szCs w:val="16"/>
        </w:rPr>
        <w:t xml:space="preserve"> y otros</w:t>
      </w:r>
      <w:proofErr w:type="gramStart"/>
      <w:r w:rsidRPr="001D32B8">
        <w:rPr>
          <w:rFonts w:ascii="Verdana" w:hAnsi="Verdana"/>
          <w:i/>
          <w:sz w:val="16"/>
          <w:szCs w:val="16"/>
        </w:rPr>
        <w:t>:  “</w:t>
      </w:r>
      <w:proofErr w:type="gramEnd"/>
      <w:r w:rsidRPr="001D32B8">
        <w:rPr>
          <w:rFonts w:ascii="Verdana" w:hAnsi="Verdana"/>
          <w:sz w:val="16"/>
          <w:szCs w:val="16"/>
        </w:rPr>
        <w:t xml:space="preserve">100. Asimismo, resulta pertinente observar que si bien el </w:t>
      </w:r>
      <w:proofErr w:type="spellStart"/>
      <w:r w:rsidRPr="001D32B8">
        <w:rPr>
          <w:rFonts w:ascii="Verdana" w:hAnsi="Verdana"/>
          <w:sz w:val="16"/>
          <w:szCs w:val="16"/>
        </w:rPr>
        <w:t>artículo</w:t>
      </w:r>
      <w:proofErr w:type="spellEnd"/>
      <w:r w:rsidRPr="001D32B8">
        <w:rPr>
          <w:rFonts w:ascii="Verdana" w:hAnsi="Verdana"/>
          <w:sz w:val="16"/>
          <w:szCs w:val="16"/>
        </w:rPr>
        <w:t xml:space="preserve"> 26 se encuentra en el </w:t>
      </w:r>
      <w:proofErr w:type="spellStart"/>
      <w:r w:rsidRPr="001D32B8">
        <w:rPr>
          <w:rFonts w:ascii="Verdana" w:hAnsi="Verdana"/>
          <w:sz w:val="16"/>
          <w:szCs w:val="16"/>
        </w:rPr>
        <w:t>capítulo</w:t>
      </w:r>
      <w:proofErr w:type="spellEnd"/>
      <w:r w:rsidRPr="001D32B8">
        <w:rPr>
          <w:rFonts w:ascii="Verdana" w:hAnsi="Verdana"/>
          <w:sz w:val="16"/>
          <w:szCs w:val="16"/>
        </w:rPr>
        <w:t xml:space="preserve"> III de la </w:t>
      </w:r>
      <w:proofErr w:type="spellStart"/>
      <w:r w:rsidRPr="001D32B8">
        <w:rPr>
          <w:rFonts w:ascii="Verdana" w:hAnsi="Verdana"/>
          <w:sz w:val="16"/>
          <w:szCs w:val="16"/>
        </w:rPr>
        <w:t>Convención</w:t>
      </w:r>
      <w:proofErr w:type="spellEnd"/>
      <w:r w:rsidRPr="001D32B8">
        <w:rPr>
          <w:rFonts w:ascii="Verdana" w:hAnsi="Verdana"/>
          <w:sz w:val="16"/>
          <w:szCs w:val="16"/>
        </w:rPr>
        <w:t xml:space="preserve">, titulado “Derechos </w:t>
      </w:r>
      <w:proofErr w:type="spellStart"/>
      <w:r w:rsidRPr="001D32B8">
        <w:rPr>
          <w:rFonts w:ascii="Verdana" w:hAnsi="Verdana"/>
          <w:sz w:val="16"/>
          <w:szCs w:val="16"/>
        </w:rPr>
        <w:t>Económicos</w:t>
      </w:r>
      <w:proofErr w:type="spellEnd"/>
      <w:r w:rsidRPr="001D32B8">
        <w:rPr>
          <w:rFonts w:ascii="Verdana" w:hAnsi="Verdana"/>
          <w:sz w:val="16"/>
          <w:szCs w:val="16"/>
        </w:rPr>
        <w:t xml:space="preserve">, Sociales y Culturales”, se ubica, </w:t>
      </w:r>
      <w:proofErr w:type="spellStart"/>
      <w:r w:rsidRPr="001D32B8">
        <w:rPr>
          <w:rFonts w:ascii="Verdana" w:hAnsi="Verdana"/>
          <w:sz w:val="16"/>
          <w:szCs w:val="16"/>
        </w:rPr>
        <w:t>también</w:t>
      </w:r>
      <w:proofErr w:type="spellEnd"/>
      <w:r w:rsidRPr="001D32B8">
        <w:rPr>
          <w:rFonts w:ascii="Verdana" w:hAnsi="Verdana"/>
          <w:sz w:val="16"/>
          <w:szCs w:val="16"/>
        </w:rPr>
        <w:t xml:space="preserve">, en la Parte I de dicho instrumento, titulado “Deberes de los Estados y Derechos Protegidos” y, por ende, está sujeto a las obligaciones generales contenidas en los </w:t>
      </w:r>
      <w:proofErr w:type="spellStart"/>
      <w:r w:rsidRPr="001D32B8">
        <w:rPr>
          <w:rFonts w:ascii="Verdana" w:hAnsi="Verdana"/>
          <w:sz w:val="16"/>
          <w:szCs w:val="16"/>
        </w:rPr>
        <w:t>artículos</w:t>
      </w:r>
      <w:proofErr w:type="spellEnd"/>
      <w:r w:rsidRPr="001D32B8">
        <w:rPr>
          <w:rFonts w:ascii="Verdana" w:hAnsi="Verdana"/>
          <w:sz w:val="16"/>
          <w:szCs w:val="16"/>
        </w:rPr>
        <w:t xml:space="preserve"> 1.1 y 2 </w:t>
      </w:r>
      <w:proofErr w:type="spellStart"/>
      <w:r w:rsidRPr="001D32B8">
        <w:rPr>
          <w:rFonts w:ascii="Verdana" w:hAnsi="Verdana"/>
          <w:sz w:val="16"/>
          <w:szCs w:val="16"/>
        </w:rPr>
        <w:t>señalados</w:t>
      </w:r>
      <w:proofErr w:type="spellEnd"/>
      <w:r w:rsidRPr="001D32B8">
        <w:rPr>
          <w:rFonts w:ascii="Verdana" w:hAnsi="Verdana"/>
          <w:sz w:val="16"/>
          <w:szCs w:val="16"/>
        </w:rPr>
        <w:t xml:space="preserve"> en el </w:t>
      </w:r>
      <w:proofErr w:type="spellStart"/>
      <w:r w:rsidRPr="001D32B8">
        <w:rPr>
          <w:rFonts w:ascii="Verdana" w:hAnsi="Verdana"/>
          <w:sz w:val="16"/>
          <w:szCs w:val="16"/>
        </w:rPr>
        <w:t>capítulo</w:t>
      </w:r>
      <w:proofErr w:type="spellEnd"/>
      <w:r w:rsidRPr="001D32B8">
        <w:rPr>
          <w:rFonts w:ascii="Verdana" w:hAnsi="Verdana"/>
          <w:sz w:val="16"/>
          <w:szCs w:val="16"/>
        </w:rPr>
        <w:t xml:space="preserve"> I (titulado “</w:t>
      </w:r>
      <w:proofErr w:type="spellStart"/>
      <w:r w:rsidRPr="001D32B8">
        <w:rPr>
          <w:rFonts w:ascii="Verdana" w:hAnsi="Verdana"/>
          <w:sz w:val="16"/>
          <w:szCs w:val="16"/>
        </w:rPr>
        <w:t>Enumeración</w:t>
      </w:r>
      <w:proofErr w:type="spellEnd"/>
      <w:r w:rsidRPr="001D32B8">
        <w:rPr>
          <w:rFonts w:ascii="Verdana" w:hAnsi="Verdana"/>
          <w:sz w:val="16"/>
          <w:szCs w:val="16"/>
        </w:rPr>
        <w:t xml:space="preserve"> de Deberes”), </w:t>
      </w:r>
      <w:proofErr w:type="spellStart"/>
      <w:r w:rsidRPr="001D32B8">
        <w:rPr>
          <w:rFonts w:ascii="Verdana" w:hAnsi="Verdana"/>
          <w:sz w:val="16"/>
          <w:szCs w:val="16"/>
        </w:rPr>
        <w:t>asi</w:t>
      </w:r>
      <w:proofErr w:type="spellEnd"/>
      <w:r w:rsidRPr="001D32B8">
        <w:rPr>
          <w:rFonts w:ascii="Verdana" w:hAnsi="Verdana"/>
          <w:sz w:val="16"/>
          <w:szCs w:val="16"/>
        </w:rPr>
        <w:t xml:space="preserve">́ como lo </w:t>
      </w:r>
      <w:proofErr w:type="spellStart"/>
      <w:r w:rsidRPr="001D32B8">
        <w:rPr>
          <w:rFonts w:ascii="Verdana" w:hAnsi="Verdana"/>
          <w:sz w:val="16"/>
          <w:szCs w:val="16"/>
        </w:rPr>
        <w:t>están</w:t>
      </w:r>
      <w:proofErr w:type="spellEnd"/>
      <w:r w:rsidRPr="001D32B8">
        <w:rPr>
          <w:rFonts w:ascii="Verdana" w:hAnsi="Verdana"/>
          <w:sz w:val="16"/>
          <w:szCs w:val="16"/>
        </w:rPr>
        <w:t xml:space="preserve"> los </w:t>
      </w:r>
      <w:proofErr w:type="spellStart"/>
      <w:r w:rsidRPr="001D32B8">
        <w:rPr>
          <w:rFonts w:ascii="Verdana" w:hAnsi="Verdana"/>
          <w:sz w:val="16"/>
          <w:szCs w:val="16"/>
        </w:rPr>
        <w:t>artículos</w:t>
      </w:r>
      <w:proofErr w:type="spellEnd"/>
      <w:r w:rsidRPr="001D32B8">
        <w:rPr>
          <w:rFonts w:ascii="Verdana" w:hAnsi="Verdana"/>
          <w:sz w:val="16"/>
          <w:szCs w:val="16"/>
        </w:rPr>
        <w:t xml:space="preserve"> 3 al 25 </w:t>
      </w:r>
      <w:proofErr w:type="spellStart"/>
      <w:r w:rsidRPr="001D32B8">
        <w:rPr>
          <w:rFonts w:ascii="Verdana" w:hAnsi="Verdana"/>
          <w:sz w:val="16"/>
          <w:szCs w:val="16"/>
        </w:rPr>
        <w:t>señalados</w:t>
      </w:r>
      <w:proofErr w:type="spellEnd"/>
      <w:r w:rsidRPr="001D32B8">
        <w:rPr>
          <w:rFonts w:ascii="Verdana" w:hAnsi="Verdana"/>
          <w:sz w:val="16"/>
          <w:szCs w:val="16"/>
        </w:rPr>
        <w:t xml:space="preserve"> en el </w:t>
      </w:r>
      <w:proofErr w:type="spellStart"/>
      <w:r w:rsidRPr="001D32B8">
        <w:rPr>
          <w:rFonts w:ascii="Verdana" w:hAnsi="Verdana"/>
          <w:sz w:val="16"/>
          <w:szCs w:val="16"/>
        </w:rPr>
        <w:t>capítulo</w:t>
      </w:r>
      <w:proofErr w:type="spellEnd"/>
      <w:r w:rsidRPr="001D32B8">
        <w:rPr>
          <w:rFonts w:ascii="Verdana" w:hAnsi="Verdana"/>
          <w:sz w:val="16"/>
          <w:szCs w:val="16"/>
        </w:rPr>
        <w:t xml:space="preserve"> II (titulado “Derechos Civiles y </w:t>
      </w:r>
      <w:proofErr w:type="spellStart"/>
      <w:r w:rsidRPr="001D32B8">
        <w:rPr>
          <w:rFonts w:ascii="Verdana" w:hAnsi="Verdana"/>
          <w:sz w:val="16"/>
          <w:szCs w:val="16"/>
        </w:rPr>
        <w:t>Políticos</w:t>
      </w:r>
      <w:proofErr w:type="spellEnd"/>
      <w:r w:rsidRPr="001D32B8">
        <w:rPr>
          <w:rFonts w:ascii="Verdana" w:hAnsi="Verdana"/>
          <w:sz w:val="16"/>
          <w:szCs w:val="16"/>
        </w:rPr>
        <w:t xml:space="preserve">”)”. </w:t>
      </w:r>
      <w:r w:rsidRPr="001D32B8">
        <w:rPr>
          <w:rFonts w:ascii="Verdana" w:eastAsia="Times New Roman" w:hAnsi="Verdana" w:cs="Times New Roman"/>
          <w:bCs/>
          <w:i/>
          <w:color w:val="000000"/>
          <w:sz w:val="16"/>
          <w:szCs w:val="16"/>
          <w:lang w:val="es-MX"/>
        </w:rPr>
        <w:t>Caso Acevedo Buendía y otros (“Cesantes y Jubilados de la Contraloría”) Vs. Perú. Excepción Preliminar, Fondo, Reparaciones y Costas</w:t>
      </w:r>
      <w:r w:rsidRPr="001D32B8">
        <w:rPr>
          <w:rFonts w:ascii="Verdana" w:eastAsia="Times New Roman" w:hAnsi="Verdana" w:cs="Times New Roman"/>
          <w:bCs/>
          <w:color w:val="000000"/>
          <w:sz w:val="16"/>
          <w:szCs w:val="16"/>
          <w:lang w:val="es-MX"/>
        </w:rPr>
        <w:t>. Sentencia de 1 de julio de 2009. Serie C No. 198, párr. 100.</w:t>
      </w:r>
    </w:p>
    <w:p w14:paraId="33BEA3B8" w14:textId="77777777" w:rsidR="00837BB9" w:rsidRPr="001D32B8" w:rsidRDefault="00837BB9" w:rsidP="0027007E">
      <w:pPr>
        <w:jc w:val="both"/>
        <w:rPr>
          <w:rFonts w:ascii="Verdana" w:eastAsia="Times New Roman" w:hAnsi="Verdana" w:cs="Times New Roman"/>
          <w:sz w:val="16"/>
          <w:szCs w:val="16"/>
          <w:lang w:val="es-MX"/>
        </w:rPr>
      </w:pPr>
    </w:p>
  </w:footnote>
  <w:footnote w:id="339">
    <w:p w14:paraId="339B9320" w14:textId="77777777" w:rsidR="00837BB9" w:rsidRPr="0027007E" w:rsidRDefault="00837BB9" w:rsidP="0027007E">
      <w:pPr>
        <w:pStyle w:val="NormalWeb"/>
        <w:spacing w:before="0" w:beforeAutospacing="0" w:after="0" w:afterAutospacing="0"/>
        <w:jc w:val="both"/>
        <w:rPr>
          <w:rFonts w:ascii="Verdana" w:hAnsi="Verdana"/>
          <w:sz w:val="16"/>
          <w:szCs w:val="16"/>
          <w:lang w:val="es-CR"/>
        </w:rPr>
      </w:pPr>
      <w:r w:rsidRPr="001D32B8">
        <w:rPr>
          <w:rStyle w:val="FootnoteReference"/>
          <w:rFonts w:ascii="Verdana" w:hAnsi="Verdana"/>
          <w:sz w:val="16"/>
          <w:szCs w:val="16"/>
        </w:rPr>
        <w:footnoteRef/>
      </w:r>
      <w:r w:rsidRPr="0027007E">
        <w:rPr>
          <w:rFonts w:ascii="Verdana" w:hAnsi="Verdana"/>
          <w:sz w:val="16"/>
          <w:szCs w:val="16"/>
          <w:lang w:val="es-CR"/>
        </w:rPr>
        <w:tab/>
        <w:t xml:space="preserve">En similar sentido, la Corte IDH externó que: “102. […] </w:t>
      </w:r>
      <w:proofErr w:type="spellStart"/>
      <w:r w:rsidRPr="0027007E">
        <w:rPr>
          <w:rFonts w:ascii="Verdana" w:hAnsi="Verdana"/>
          <w:sz w:val="16"/>
          <w:szCs w:val="16"/>
          <w:lang w:val="es-CR"/>
        </w:rPr>
        <w:t>Asi</w:t>
      </w:r>
      <w:proofErr w:type="spellEnd"/>
      <w:r w:rsidRPr="0027007E">
        <w:rPr>
          <w:rFonts w:ascii="Verdana" w:hAnsi="Verdana"/>
          <w:sz w:val="16"/>
          <w:szCs w:val="16"/>
          <w:lang w:val="es-CR"/>
        </w:rPr>
        <w:t xml:space="preserve">́, la </w:t>
      </w:r>
      <w:proofErr w:type="spellStart"/>
      <w:r w:rsidRPr="0027007E">
        <w:rPr>
          <w:rFonts w:ascii="Verdana" w:hAnsi="Verdana"/>
          <w:sz w:val="16"/>
          <w:szCs w:val="16"/>
          <w:lang w:val="es-CR"/>
        </w:rPr>
        <w:t>implementación</w:t>
      </w:r>
      <w:proofErr w:type="spellEnd"/>
      <w:r w:rsidRPr="0027007E">
        <w:rPr>
          <w:rFonts w:ascii="Verdana" w:hAnsi="Verdana"/>
          <w:sz w:val="16"/>
          <w:szCs w:val="16"/>
          <w:lang w:val="es-CR"/>
        </w:rPr>
        <w:t xml:space="preserve"> progresiva de dichas medidas </w:t>
      </w:r>
      <w:proofErr w:type="spellStart"/>
      <w:r w:rsidRPr="0027007E">
        <w:rPr>
          <w:rFonts w:ascii="Verdana" w:hAnsi="Verdana"/>
          <w:sz w:val="16"/>
          <w:szCs w:val="16"/>
          <w:lang w:val="es-CR"/>
        </w:rPr>
        <w:t>podra</w:t>
      </w:r>
      <w:proofErr w:type="spellEnd"/>
      <w:r w:rsidRPr="0027007E">
        <w:rPr>
          <w:rFonts w:ascii="Verdana" w:hAnsi="Verdana"/>
          <w:sz w:val="16"/>
          <w:szCs w:val="16"/>
          <w:lang w:val="es-CR"/>
        </w:rPr>
        <w:t xml:space="preserve">́ ser objeto de </w:t>
      </w:r>
      <w:proofErr w:type="spellStart"/>
      <w:r w:rsidRPr="0027007E">
        <w:rPr>
          <w:rFonts w:ascii="Verdana" w:hAnsi="Verdana"/>
          <w:sz w:val="16"/>
          <w:szCs w:val="16"/>
          <w:lang w:val="es-CR"/>
        </w:rPr>
        <w:t>rendición</w:t>
      </w:r>
      <w:proofErr w:type="spellEnd"/>
      <w:r w:rsidRPr="0027007E">
        <w:rPr>
          <w:rFonts w:ascii="Verdana" w:hAnsi="Verdana"/>
          <w:sz w:val="16"/>
          <w:szCs w:val="16"/>
          <w:lang w:val="es-CR"/>
        </w:rPr>
        <w:t xml:space="preserve"> de cuentas y, de ser el caso, el cumplimiento del respectivo compromiso adquirido por el Estado </w:t>
      </w:r>
      <w:proofErr w:type="spellStart"/>
      <w:r w:rsidRPr="0027007E">
        <w:rPr>
          <w:rFonts w:ascii="Verdana" w:hAnsi="Verdana"/>
          <w:sz w:val="16"/>
          <w:szCs w:val="16"/>
          <w:lang w:val="es-CR"/>
        </w:rPr>
        <w:t>podra</w:t>
      </w:r>
      <w:proofErr w:type="spellEnd"/>
      <w:r w:rsidRPr="0027007E">
        <w:rPr>
          <w:rFonts w:ascii="Verdana" w:hAnsi="Verdana"/>
          <w:sz w:val="16"/>
          <w:szCs w:val="16"/>
          <w:lang w:val="es-CR"/>
        </w:rPr>
        <w:t xml:space="preserve">́ ser exigido ante las instancias llamadas a resolver eventuales violaciones a los derechos humanos. </w:t>
      </w:r>
      <w:r w:rsidRPr="0027007E">
        <w:rPr>
          <w:rFonts w:ascii="Verdana" w:hAnsi="Verdana"/>
          <w:bCs/>
          <w:i/>
          <w:color w:val="000000"/>
          <w:sz w:val="16"/>
          <w:szCs w:val="16"/>
          <w:lang w:val="es-CR"/>
        </w:rPr>
        <w:t xml:space="preserve">Caso Acevedo Buendía y otros (“Cesantes y Jubilados de la Contraloría”) Vs. </w:t>
      </w:r>
      <w:r w:rsidRPr="00E97DDD">
        <w:rPr>
          <w:rFonts w:ascii="Verdana" w:hAnsi="Verdana"/>
          <w:bCs/>
          <w:i/>
          <w:color w:val="000000"/>
          <w:sz w:val="16"/>
          <w:szCs w:val="16"/>
          <w:lang w:val="es-CR"/>
        </w:rPr>
        <w:t xml:space="preserve">Perú. </w:t>
      </w:r>
      <w:r w:rsidRPr="0027007E">
        <w:rPr>
          <w:rFonts w:ascii="Verdana" w:hAnsi="Verdana"/>
          <w:bCs/>
          <w:i/>
          <w:color w:val="000000"/>
          <w:sz w:val="16"/>
          <w:szCs w:val="16"/>
          <w:lang w:val="es-CR"/>
        </w:rPr>
        <w:t>Excepción Preliminar, Fondo, Reparaciones y Costas</w:t>
      </w:r>
      <w:r w:rsidRPr="0027007E">
        <w:rPr>
          <w:rFonts w:ascii="Verdana" w:hAnsi="Verdana"/>
          <w:bCs/>
          <w:color w:val="000000"/>
          <w:sz w:val="16"/>
          <w:szCs w:val="16"/>
          <w:lang w:val="es-CR"/>
        </w:rPr>
        <w:t>. Sentencia de 1 de julio de 2009. Serie C No. 198, párr. 102.</w:t>
      </w:r>
    </w:p>
    <w:p w14:paraId="7267FED3" w14:textId="77777777" w:rsidR="00837BB9" w:rsidRPr="001D32B8" w:rsidRDefault="00837BB9" w:rsidP="0027007E">
      <w:pPr>
        <w:pStyle w:val="FootnoteText"/>
        <w:jc w:val="both"/>
        <w:rPr>
          <w:rFonts w:ascii="Verdana" w:hAnsi="Verdana"/>
          <w:sz w:val="16"/>
          <w:szCs w:val="16"/>
        </w:rPr>
      </w:pPr>
      <w:r w:rsidRPr="001D32B8">
        <w:rPr>
          <w:rFonts w:ascii="Verdana" w:hAnsi="Verdana"/>
          <w:sz w:val="16"/>
          <w:szCs w:val="16"/>
        </w:rPr>
        <w:t xml:space="preserve"> </w:t>
      </w:r>
    </w:p>
  </w:footnote>
  <w:footnote w:id="340">
    <w:p w14:paraId="1AA7DA71" w14:textId="77777777" w:rsidR="00837BB9" w:rsidRPr="0027007E" w:rsidRDefault="00837BB9" w:rsidP="0027007E">
      <w:pPr>
        <w:pStyle w:val="NormalWeb"/>
        <w:spacing w:before="0" w:beforeAutospacing="0" w:after="0" w:afterAutospacing="0"/>
        <w:jc w:val="both"/>
        <w:rPr>
          <w:rFonts w:ascii="Verdana" w:hAnsi="Verdana"/>
          <w:sz w:val="16"/>
          <w:szCs w:val="16"/>
          <w:lang w:val="es-CR"/>
        </w:rPr>
      </w:pPr>
      <w:r w:rsidRPr="001D32B8">
        <w:rPr>
          <w:rStyle w:val="FootnoteReference"/>
          <w:rFonts w:ascii="Verdana" w:hAnsi="Verdana"/>
          <w:sz w:val="16"/>
          <w:szCs w:val="16"/>
        </w:rPr>
        <w:footnoteRef/>
      </w:r>
      <w:r w:rsidRPr="0027007E">
        <w:rPr>
          <w:rFonts w:ascii="Verdana" w:hAnsi="Verdana"/>
          <w:sz w:val="16"/>
          <w:szCs w:val="16"/>
          <w:lang w:val="es-CR"/>
        </w:rPr>
        <w:t xml:space="preserve"> </w:t>
      </w:r>
      <w:r w:rsidRPr="0027007E">
        <w:rPr>
          <w:rFonts w:ascii="Verdana" w:hAnsi="Verdana"/>
          <w:sz w:val="16"/>
          <w:szCs w:val="16"/>
          <w:lang w:val="es-CR"/>
        </w:rPr>
        <w:tab/>
        <w:t xml:space="preserve">En el caso la Corte IDH consideró que: “184. </w:t>
      </w:r>
      <w:proofErr w:type="spellStart"/>
      <w:r w:rsidRPr="0027007E">
        <w:rPr>
          <w:rFonts w:ascii="Verdana" w:hAnsi="Verdana"/>
          <w:sz w:val="16"/>
          <w:szCs w:val="16"/>
          <w:lang w:val="es-CR"/>
        </w:rPr>
        <w:t>Asi</w:t>
      </w:r>
      <w:proofErr w:type="spellEnd"/>
      <w:r w:rsidRPr="0027007E">
        <w:rPr>
          <w:rFonts w:ascii="Verdana" w:hAnsi="Verdana"/>
          <w:sz w:val="16"/>
          <w:szCs w:val="16"/>
          <w:lang w:val="es-CR"/>
        </w:rPr>
        <w:t xml:space="preserve">́, el Tribunal estima, que si bien el recurso de amparo estaba </w:t>
      </w:r>
      <w:proofErr w:type="spellStart"/>
      <w:r w:rsidRPr="0027007E">
        <w:rPr>
          <w:rFonts w:ascii="Verdana" w:hAnsi="Verdana"/>
          <w:sz w:val="16"/>
          <w:szCs w:val="16"/>
          <w:lang w:val="es-CR"/>
        </w:rPr>
        <w:t>diseñado</w:t>
      </w:r>
      <w:proofErr w:type="spellEnd"/>
      <w:r w:rsidRPr="0027007E">
        <w:rPr>
          <w:rFonts w:ascii="Verdana" w:hAnsi="Verdana"/>
          <w:sz w:val="16"/>
          <w:szCs w:val="16"/>
          <w:lang w:val="es-CR"/>
        </w:rPr>
        <w:t xml:space="preserve"> para tutelar los derechos constitucionales, en el presente caso, la falta de </w:t>
      </w:r>
      <w:proofErr w:type="spellStart"/>
      <w:r w:rsidRPr="0027007E">
        <w:rPr>
          <w:rFonts w:ascii="Verdana" w:hAnsi="Verdana"/>
          <w:sz w:val="16"/>
          <w:szCs w:val="16"/>
          <w:lang w:val="es-CR"/>
        </w:rPr>
        <w:t>consideración</w:t>
      </w:r>
      <w:proofErr w:type="spellEnd"/>
      <w:r w:rsidRPr="0027007E">
        <w:rPr>
          <w:rFonts w:ascii="Verdana" w:hAnsi="Verdana"/>
          <w:sz w:val="16"/>
          <w:szCs w:val="16"/>
          <w:lang w:val="es-CR"/>
        </w:rPr>
        <w:t xml:space="preserve"> de los </w:t>
      </w:r>
      <w:r w:rsidRPr="0027007E">
        <w:rPr>
          <w:rFonts w:ascii="Verdana" w:hAnsi="Verdana"/>
          <w:i/>
          <w:iCs/>
          <w:sz w:val="16"/>
          <w:szCs w:val="16"/>
          <w:lang w:val="es-CR"/>
        </w:rPr>
        <w:t>derechos a la estabilidad laboral y debido proceso</w:t>
      </w:r>
      <w:r w:rsidRPr="0027007E">
        <w:rPr>
          <w:rFonts w:ascii="Verdana" w:hAnsi="Verdana"/>
          <w:sz w:val="16"/>
          <w:szCs w:val="16"/>
          <w:lang w:val="es-CR"/>
        </w:rPr>
        <w:t xml:space="preserve">, impidieron que el recurso de amparo pudiera producir el resultado para el cual fue concebido […]”. </w:t>
      </w:r>
      <w:r w:rsidRPr="00E97DDD">
        <w:rPr>
          <w:rFonts w:ascii="Verdana" w:hAnsi="Verdana"/>
          <w:i/>
          <w:sz w:val="16"/>
          <w:szCs w:val="16"/>
          <w:lang w:val="es-CR"/>
        </w:rPr>
        <w:t>Cfr.</w:t>
      </w:r>
      <w:r w:rsidRPr="00E97DDD">
        <w:rPr>
          <w:rFonts w:ascii="Verdana" w:hAnsi="Verdana"/>
          <w:sz w:val="16"/>
          <w:szCs w:val="16"/>
          <w:lang w:val="es-CR"/>
        </w:rPr>
        <w:t xml:space="preserve"> </w:t>
      </w:r>
      <w:r w:rsidRPr="00E97DDD">
        <w:rPr>
          <w:rFonts w:ascii="Verdana" w:hAnsi="Verdana"/>
          <w:bCs/>
          <w:i/>
          <w:color w:val="000000"/>
          <w:sz w:val="16"/>
          <w:szCs w:val="16"/>
          <w:lang w:val="es-CR"/>
        </w:rPr>
        <w:t xml:space="preserve">Caso Lagos del Campo Vs. Perú. </w:t>
      </w:r>
      <w:r w:rsidRPr="0027007E">
        <w:rPr>
          <w:rFonts w:ascii="Verdana" w:hAnsi="Verdana"/>
          <w:bCs/>
          <w:i/>
          <w:color w:val="000000"/>
          <w:sz w:val="16"/>
          <w:szCs w:val="16"/>
          <w:lang w:val="es-CR"/>
        </w:rPr>
        <w:t>Excepciones Preliminares, Fondo, Reparaciones y Costas</w:t>
      </w:r>
      <w:r w:rsidRPr="0027007E">
        <w:rPr>
          <w:rFonts w:ascii="Verdana" w:hAnsi="Verdana"/>
          <w:bCs/>
          <w:color w:val="000000"/>
          <w:sz w:val="16"/>
          <w:szCs w:val="16"/>
          <w:lang w:val="es-CR"/>
        </w:rPr>
        <w:t xml:space="preserve">. Sentencia de 31 de agosto de 2017. Serie C No. 340, párr. </w:t>
      </w:r>
      <w:r w:rsidRPr="0027007E">
        <w:rPr>
          <w:rFonts w:ascii="Verdana" w:hAnsi="Verdana"/>
          <w:sz w:val="16"/>
          <w:szCs w:val="16"/>
          <w:lang w:val="es-CR"/>
        </w:rPr>
        <w:t xml:space="preserve">184.  </w:t>
      </w:r>
    </w:p>
    <w:p w14:paraId="3473E935" w14:textId="77777777" w:rsidR="00837BB9" w:rsidRPr="0027007E" w:rsidRDefault="00837BB9" w:rsidP="0027007E">
      <w:pPr>
        <w:pStyle w:val="NormalWeb"/>
        <w:spacing w:before="0" w:beforeAutospacing="0" w:after="0" w:afterAutospacing="0"/>
        <w:jc w:val="both"/>
        <w:rPr>
          <w:rFonts w:ascii="Verdana" w:hAnsi="Verdana"/>
          <w:sz w:val="16"/>
          <w:szCs w:val="16"/>
          <w:lang w:val="es-CR"/>
        </w:rPr>
      </w:pPr>
    </w:p>
  </w:footnote>
  <w:footnote w:id="341">
    <w:p w14:paraId="5DC66D05" w14:textId="77777777" w:rsidR="00837BB9" w:rsidRPr="0027007E" w:rsidRDefault="00837BB9" w:rsidP="0027007E">
      <w:pPr>
        <w:pStyle w:val="NormalWeb"/>
        <w:spacing w:before="0" w:beforeAutospacing="0" w:after="0" w:afterAutospacing="0"/>
        <w:jc w:val="both"/>
        <w:rPr>
          <w:rFonts w:ascii="Verdana" w:hAnsi="Verdana"/>
          <w:sz w:val="16"/>
          <w:szCs w:val="16"/>
          <w:lang w:val="es-CR"/>
        </w:rPr>
      </w:pPr>
      <w:r w:rsidRPr="001D32B8">
        <w:rPr>
          <w:rStyle w:val="FootnoteReference"/>
          <w:rFonts w:ascii="Verdana" w:hAnsi="Verdana"/>
          <w:sz w:val="16"/>
          <w:szCs w:val="16"/>
        </w:rPr>
        <w:footnoteRef/>
      </w:r>
      <w:r w:rsidRPr="0027007E">
        <w:rPr>
          <w:rFonts w:ascii="Verdana" w:hAnsi="Verdana"/>
          <w:sz w:val="16"/>
          <w:szCs w:val="16"/>
          <w:lang w:val="es-CR"/>
        </w:rPr>
        <w:t xml:space="preserve"> </w:t>
      </w:r>
      <w:r w:rsidRPr="0027007E">
        <w:rPr>
          <w:rFonts w:ascii="Verdana" w:hAnsi="Verdana"/>
          <w:sz w:val="16"/>
          <w:szCs w:val="16"/>
          <w:lang w:val="es-CR"/>
        </w:rPr>
        <w:tab/>
        <w:t xml:space="preserve">En la Sentencia se consideró que: “178. La Corte considera que el Tribunal Constitucional se encontraba obligado a realizar una adecuada </w:t>
      </w:r>
      <w:proofErr w:type="spellStart"/>
      <w:r w:rsidRPr="0027007E">
        <w:rPr>
          <w:rFonts w:ascii="Verdana" w:hAnsi="Verdana"/>
          <w:sz w:val="16"/>
          <w:szCs w:val="16"/>
          <w:lang w:val="es-CR"/>
        </w:rPr>
        <w:t>revisión</w:t>
      </w:r>
      <w:proofErr w:type="spellEnd"/>
      <w:r w:rsidRPr="0027007E">
        <w:rPr>
          <w:rFonts w:ascii="Verdana" w:hAnsi="Verdana"/>
          <w:sz w:val="16"/>
          <w:szCs w:val="16"/>
          <w:lang w:val="es-CR"/>
        </w:rPr>
        <w:t xml:space="preserve"> judicial del acto reclamado como violatorio por las presuntas </w:t>
      </w:r>
      <w:proofErr w:type="spellStart"/>
      <w:r w:rsidRPr="0027007E">
        <w:rPr>
          <w:rFonts w:ascii="Verdana" w:hAnsi="Verdana"/>
          <w:sz w:val="16"/>
          <w:szCs w:val="16"/>
          <w:lang w:val="es-CR"/>
        </w:rPr>
        <w:t>víctimas</w:t>
      </w:r>
      <w:proofErr w:type="spellEnd"/>
      <w:r w:rsidRPr="0027007E">
        <w:rPr>
          <w:rFonts w:ascii="Verdana" w:hAnsi="Verdana"/>
          <w:sz w:val="16"/>
          <w:szCs w:val="16"/>
          <w:lang w:val="es-CR"/>
        </w:rPr>
        <w:t xml:space="preserve">, lo cual implicaba examinar los alegatos y argumentos sometidos a su conocimiento sobre la </w:t>
      </w:r>
      <w:proofErr w:type="spellStart"/>
      <w:r w:rsidRPr="0027007E">
        <w:rPr>
          <w:rFonts w:ascii="Verdana" w:hAnsi="Verdana"/>
          <w:sz w:val="16"/>
          <w:szCs w:val="16"/>
          <w:lang w:val="es-CR"/>
        </w:rPr>
        <w:t>decisión</w:t>
      </w:r>
      <w:proofErr w:type="spellEnd"/>
      <w:r w:rsidRPr="0027007E">
        <w:rPr>
          <w:rFonts w:ascii="Verdana" w:hAnsi="Verdana"/>
          <w:sz w:val="16"/>
          <w:szCs w:val="16"/>
          <w:lang w:val="es-CR"/>
        </w:rPr>
        <w:t xml:space="preserve"> del MEF respecto al cese por causal de excedencia, sin declinar su competencia para conocer de ellos o al determinar los hechos […]”. </w:t>
      </w:r>
      <w:r w:rsidRPr="0027007E">
        <w:rPr>
          <w:rFonts w:ascii="Verdana" w:hAnsi="Verdana"/>
          <w:i/>
          <w:sz w:val="16"/>
          <w:szCs w:val="16"/>
          <w:lang w:val="es-CR"/>
        </w:rPr>
        <w:t>Cfr.</w:t>
      </w:r>
      <w:r w:rsidRPr="0027007E">
        <w:rPr>
          <w:rFonts w:ascii="Verdana" w:hAnsi="Verdana"/>
          <w:sz w:val="16"/>
          <w:szCs w:val="16"/>
          <w:lang w:val="es-CR"/>
        </w:rPr>
        <w:t xml:space="preserve"> </w:t>
      </w:r>
      <w:r w:rsidRPr="0027007E">
        <w:rPr>
          <w:rFonts w:ascii="Verdana" w:hAnsi="Verdana"/>
          <w:bCs/>
          <w:i/>
          <w:color w:val="000000"/>
          <w:sz w:val="16"/>
          <w:szCs w:val="16"/>
          <w:lang w:val="es-CR"/>
        </w:rPr>
        <w:t>Caso Trabajadores Cesados de Petroperú y otros Vs. Perú. Excepciones Preliminares, Fondo, Reparaciones y Costas.</w:t>
      </w:r>
      <w:r w:rsidRPr="0027007E">
        <w:rPr>
          <w:rFonts w:ascii="Verdana" w:hAnsi="Verdana"/>
          <w:bCs/>
          <w:color w:val="000000"/>
          <w:sz w:val="16"/>
          <w:szCs w:val="16"/>
          <w:lang w:val="es-CR"/>
        </w:rPr>
        <w:t xml:space="preserve"> Sentencia de 23 de noviembre 2017. Serie C No. 344, párr. </w:t>
      </w:r>
      <w:r w:rsidRPr="0027007E">
        <w:rPr>
          <w:rFonts w:ascii="Verdana" w:hAnsi="Verdana"/>
          <w:sz w:val="16"/>
          <w:szCs w:val="16"/>
          <w:lang w:val="es-CR"/>
        </w:rPr>
        <w:t>178.</w:t>
      </w:r>
    </w:p>
    <w:p w14:paraId="20513FB2" w14:textId="77777777" w:rsidR="00837BB9" w:rsidRPr="001D32B8" w:rsidRDefault="00837BB9" w:rsidP="0027007E">
      <w:pPr>
        <w:pStyle w:val="FootnoteText"/>
        <w:rPr>
          <w:rFonts w:ascii="Verdana" w:hAnsi="Verdana"/>
          <w:sz w:val="16"/>
          <w:szCs w:val="16"/>
        </w:rPr>
      </w:pPr>
    </w:p>
  </w:footnote>
  <w:footnote w:id="342">
    <w:p w14:paraId="68055233" w14:textId="77777777" w:rsidR="00837BB9" w:rsidRPr="001D32B8" w:rsidRDefault="00837BB9" w:rsidP="0027007E">
      <w:pPr>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Cfr.</w:t>
      </w:r>
      <w:r w:rsidRPr="001D32B8">
        <w:rPr>
          <w:rFonts w:ascii="Verdana" w:hAnsi="Verdana"/>
          <w:sz w:val="16"/>
          <w:szCs w:val="16"/>
        </w:rPr>
        <w:t xml:space="preserve"> </w:t>
      </w:r>
      <w:r w:rsidRPr="001D32B8">
        <w:rPr>
          <w:rFonts w:ascii="Verdana" w:eastAsia="Times New Roman" w:hAnsi="Verdana" w:cs="Times New Roman"/>
          <w:bCs/>
          <w:i/>
          <w:color w:val="000000"/>
          <w:sz w:val="16"/>
          <w:szCs w:val="16"/>
          <w:lang w:val="es-MX"/>
        </w:rPr>
        <w:t>Caso Trabajadores Cesados de Petroperú y otros Vs. Perú. Excepciones Preliminares, Fondo, Reparaciones y Costas.</w:t>
      </w:r>
      <w:r w:rsidRPr="001D32B8">
        <w:rPr>
          <w:rFonts w:ascii="Verdana" w:eastAsia="Times New Roman" w:hAnsi="Verdana" w:cs="Times New Roman"/>
          <w:bCs/>
          <w:color w:val="000000"/>
          <w:sz w:val="16"/>
          <w:szCs w:val="16"/>
          <w:lang w:val="es-MX"/>
        </w:rPr>
        <w:t xml:space="preserve"> Sentencia de 23 de noviembre 2017. Serie C No. 344, párr. </w:t>
      </w:r>
      <w:r w:rsidRPr="001D32B8">
        <w:rPr>
          <w:rFonts w:ascii="Verdana" w:hAnsi="Verdana"/>
          <w:sz w:val="16"/>
          <w:szCs w:val="16"/>
        </w:rPr>
        <w:t xml:space="preserve">178. </w:t>
      </w:r>
    </w:p>
    <w:p w14:paraId="2F2F53C2" w14:textId="77777777" w:rsidR="00837BB9" w:rsidRPr="001D32B8" w:rsidRDefault="00837BB9" w:rsidP="0027007E">
      <w:pPr>
        <w:jc w:val="both"/>
        <w:rPr>
          <w:rFonts w:ascii="Verdana" w:eastAsia="Times New Roman" w:hAnsi="Verdana" w:cs="Times New Roman"/>
          <w:bCs/>
          <w:color w:val="000000"/>
          <w:sz w:val="16"/>
          <w:szCs w:val="16"/>
          <w:lang w:val="es-MX"/>
        </w:rPr>
      </w:pPr>
    </w:p>
  </w:footnote>
  <w:footnote w:id="343">
    <w:p w14:paraId="45ACFC2A"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bCs/>
          <w:i/>
          <w:color w:val="000000"/>
          <w:sz w:val="16"/>
          <w:szCs w:val="16"/>
          <w:lang w:val="es-MX"/>
        </w:rPr>
        <w:t>Caso Lagos del Campo Vs. Perú. Excepciones Preliminares, Fondo, Reparaciones y Costas</w:t>
      </w:r>
      <w:r w:rsidRPr="001D32B8">
        <w:rPr>
          <w:rFonts w:ascii="Verdana" w:hAnsi="Verdana"/>
          <w:bCs/>
          <w:color w:val="000000"/>
          <w:sz w:val="16"/>
          <w:szCs w:val="16"/>
          <w:lang w:val="es-MX"/>
        </w:rPr>
        <w:t xml:space="preserve">. Sentencia de 31 de agosto de 2017. Serie C No. 340, párr. </w:t>
      </w:r>
      <w:r w:rsidRPr="001D32B8">
        <w:rPr>
          <w:rFonts w:ascii="Verdana" w:hAnsi="Verdana"/>
          <w:sz w:val="16"/>
          <w:szCs w:val="16"/>
        </w:rPr>
        <w:t xml:space="preserve">184. </w:t>
      </w:r>
    </w:p>
    <w:p w14:paraId="1852A410" w14:textId="77777777" w:rsidR="00837BB9" w:rsidRPr="001D32B8" w:rsidRDefault="00837BB9" w:rsidP="0027007E">
      <w:pPr>
        <w:pStyle w:val="FootnoteText"/>
        <w:jc w:val="both"/>
        <w:rPr>
          <w:rFonts w:ascii="Verdana" w:hAnsi="Verdana"/>
          <w:sz w:val="16"/>
          <w:szCs w:val="16"/>
        </w:rPr>
      </w:pPr>
    </w:p>
  </w:footnote>
  <w:footnote w:id="344">
    <w:p w14:paraId="356CB442"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Sin embargo existen ciertos derechos de esta naturaleza que también son de incidencia colectiva y tienen su máxima expresión cuando son ejercidos por una colectividad, como </w:t>
      </w:r>
      <w:r>
        <w:rPr>
          <w:rFonts w:ascii="Verdana" w:hAnsi="Verdana"/>
          <w:sz w:val="16"/>
          <w:szCs w:val="16"/>
        </w:rPr>
        <w:t xml:space="preserve">pueden ser los </w:t>
      </w:r>
      <w:r w:rsidRPr="001D32B8">
        <w:rPr>
          <w:rFonts w:ascii="Verdana" w:hAnsi="Verdana"/>
          <w:sz w:val="16"/>
          <w:szCs w:val="16"/>
        </w:rPr>
        <w:t>derecho</w:t>
      </w:r>
      <w:r>
        <w:rPr>
          <w:rFonts w:ascii="Verdana" w:hAnsi="Verdana"/>
          <w:sz w:val="16"/>
          <w:szCs w:val="16"/>
        </w:rPr>
        <w:t>s</w:t>
      </w:r>
      <w:r w:rsidRPr="001D32B8">
        <w:rPr>
          <w:rFonts w:ascii="Verdana" w:hAnsi="Verdana"/>
          <w:sz w:val="16"/>
          <w:szCs w:val="16"/>
        </w:rPr>
        <w:t xml:space="preserve"> de asociación o reunión. </w:t>
      </w:r>
    </w:p>
    <w:p w14:paraId="264C1587" w14:textId="77777777" w:rsidR="00837BB9" w:rsidRPr="001D32B8" w:rsidRDefault="00837BB9" w:rsidP="0027007E">
      <w:pPr>
        <w:pStyle w:val="FootnoteText"/>
        <w:jc w:val="both"/>
        <w:rPr>
          <w:rFonts w:ascii="Verdana" w:hAnsi="Verdana"/>
          <w:b/>
          <w:sz w:val="16"/>
          <w:szCs w:val="16"/>
        </w:rPr>
      </w:pPr>
    </w:p>
  </w:footnote>
  <w:footnote w:id="345">
    <w:p w14:paraId="4FE2B5CE" w14:textId="77777777" w:rsidR="00837BB9" w:rsidRPr="00E97DDD" w:rsidRDefault="00837BB9" w:rsidP="0027007E">
      <w:pPr>
        <w:pStyle w:val="NormalWeb"/>
        <w:spacing w:before="0" w:beforeAutospacing="0" w:after="0" w:afterAutospacing="0"/>
        <w:jc w:val="both"/>
        <w:rPr>
          <w:rFonts w:ascii="Verdana" w:hAnsi="Verdana"/>
          <w:sz w:val="16"/>
          <w:szCs w:val="16"/>
          <w:lang w:val="es-CR"/>
        </w:rPr>
      </w:pPr>
      <w:r w:rsidRPr="001D32B8">
        <w:rPr>
          <w:rStyle w:val="FootnoteReference"/>
          <w:rFonts w:ascii="Verdana" w:hAnsi="Verdana"/>
          <w:sz w:val="16"/>
          <w:szCs w:val="16"/>
        </w:rPr>
        <w:footnoteRef/>
      </w:r>
      <w:r w:rsidRPr="0027007E">
        <w:rPr>
          <w:rFonts w:ascii="Verdana" w:hAnsi="Verdana"/>
          <w:sz w:val="16"/>
          <w:szCs w:val="16"/>
          <w:lang w:val="es-CR"/>
        </w:rPr>
        <w:t xml:space="preserve"> </w:t>
      </w:r>
      <w:r w:rsidRPr="0027007E">
        <w:rPr>
          <w:rFonts w:ascii="Verdana" w:hAnsi="Verdana"/>
          <w:sz w:val="16"/>
          <w:szCs w:val="16"/>
          <w:lang w:val="es-CR"/>
        </w:rPr>
        <w:tab/>
        <w:t xml:space="preserve">Por ejemplo en la Opinión Consultiva No. 23 la Corte IDH consideró que el derecho al medio ambiente tiene connotaciones individuales y colectivas. Sobre este punto señaló que: “59. El derecho humano a un medio ambiente sano se ha entendido como un derecho con connotaciones tanto individuales como colectivas. En su </w:t>
      </w:r>
      <w:proofErr w:type="spellStart"/>
      <w:r w:rsidRPr="0027007E">
        <w:rPr>
          <w:rFonts w:ascii="Verdana" w:hAnsi="Verdana"/>
          <w:sz w:val="16"/>
          <w:szCs w:val="16"/>
          <w:lang w:val="es-CR"/>
        </w:rPr>
        <w:t>dimensión</w:t>
      </w:r>
      <w:proofErr w:type="spellEnd"/>
      <w:r w:rsidRPr="0027007E">
        <w:rPr>
          <w:rFonts w:ascii="Verdana" w:hAnsi="Verdana"/>
          <w:sz w:val="16"/>
          <w:szCs w:val="16"/>
          <w:lang w:val="es-CR"/>
        </w:rPr>
        <w:t xml:space="preserve"> colectiva, el derecho a un medio ambiente sano constituye un </w:t>
      </w:r>
      <w:proofErr w:type="spellStart"/>
      <w:r w:rsidRPr="0027007E">
        <w:rPr>
          <w:rFonts w:ascii="Verdana" w:hAnsi="Verdana"/>
          <w:sz w:val="16"/>
          <w:szCs w:val="16"/>
          <w:lang w:val="es-CR"/>
        </w:rPr>
        <w:t>interés</w:t>
      </w:r>
      <w:proofErr w:type="spellEnd"/>
      <w:r w:rsidRPr="0027007E">
        <w:rPr>
          <w:rFonts w:ascii="Verdana" w:hAnsi="Verdana"/>
          <w:sz w:val="16"/>
          <w:szCs w:val="16"/>
          <w:lang w:val="es-CR"/>
        </w:rPr>
        <w:t xml:space="preserve"> universal, que se debe tanto a las generaciones presentes y futuras. Ahora bien, el derecho al medio ambiente sano </w:t>
      </w:r>
      <w:proofErr w:type="spellStart"/>
      <w:r w:rsidRPr="0027007E">
        <w:rPr>
          <w:rFonts w:ascii="Verdana" w:hAnsi="Verdana"/>
          <w:sz w:val="16"/>
          <w:szCs w:val="16"/>
          <w:lang w:val="es-CR"/>
        </w:rPr>
        <w:t>también</w:t>
      </w:r>
      <w:proofErr w:type="spellEnd"/>
      <w:r w:rsidRPr="0027007E">
        <w:rPr>
          <w:rFonts w:ascii="Verdana" w:hAnsi="Verdana"/>
          <w:sz w:val="16"/>
          <w:szCs w:val="16"/>
          <w:lang w:val="es-CR"/>
        </w:rPr>
        <w:t xml:space="preserve"> tiene una </w:t>
      </w:r>
      <w:proofErr w:type="spellStart"/>
      <w:r w:rsidRPr="0027007E">
        <w:rPr>
          <w:rFonts w:ascii="Verdana" w:hAnsi="Verdana"/>
          <w:sz w:val="16"/>
          <w:szCs w:val="16"/>
          <w:lang w:val="es-CR"/>
        </w:rPr>
        <w:t>dimensión</w:t>
      </w:r>
      <w:proofErr w:type="spellEnd"/>
      <w:r w:rsidRPr="0027007E">
        <w:rPr>
          <w:rFonts w:ascii="Verdana" w:hAnsi="Verdana"/>
          <w:sz w:val="16"/>
          <w:szCs w:val="16"/>
          <w:lang w:val="es-CR"/>
        </w:rPr>
        <w:t xml:space="preserve"> individual, en la medida en que su </w:t>
      </w:r>
      <w:proofErr w:type="spellStart"/>
      <w:r w:rsidRPr="0027007E">
        <w:rPr>
          <w:rFonts w:ascii="Verdana" w:hAnsi="Verdana"/>
          <w:sz w:val="16"/>
          <w:szCs w:val="16"/>
          <w:lang w:val="es-CR"/>
        </w:rPr>
        <w:t>vulneración</w:t>
      </w:r>
      <w:proofErr w:type="spellEnd"/>
      <w:r w:rsidRPr="0027007E">
        <w:rPr>
          <w:rFonts w:ascii="Verdana" w:hAnsi="Verdana"/>
          <w:sz w:val="16"/>
          <w:szCs w:val="16"/>
          <w:lang w:val="es-CR"/>
        </w:rPr>
        <w:t xml:space="preserve"> puede tener repercusiones directas o indirectas sobre las personas debido a su conexidad con otros derechos, tales como el derecho a la salud, la integridad personal o la vida, entre otros. La </w:t>
      </w:r>
      <w:proofErr w:type="spellStart"/>
      <w:r w:rsidRPr="0027007E">
        <w:rPr>
          <w:rFonts w:ascii="Verdana" w:hAnsi="Verdana"/>
          <w:sz w:val="16"/>
          <w:szCs w:val="16"/>
          <w:lang w:val="es-CR"/>
        </w:rPr>
        <w:t>degradación</w:t>
      </w:r>
      <w:proofErr w:type="spellEnd"/>
      <w:r w:rsidRPr="0027007E">
        <w:rPr>
          <w:rFonts w:ascii="Verdana" w:hAnsi="Verdana"/>
          <w:sz w:val="16"/>
          <w:szCs w:val="16"/>
          <w:lang w:val="es-CR"/>
        </w:rPr>
        <w:t xml:space="preserve"> del medio ambiente puede causar </w:t>
      </w:r>
      <w:proofErr w:type="spellStart"/>
      <w:r w:rsidRPr="0027007E">
        <w:rPr>
          <w:rFonts w:ascii="Verdana" w:hAnsi="Verdana"/>
          <w:sz w:val="16"/>
          <w:szCs w:val="16"/>
          <w:lang w:val="es-CR"/>
        </w:rPr>
        <w:t>daños</w:t>
      </w:r>
      <w:proofErr w:type="spellEnd"/>
      <w:r w:rsidRPr="0027007E">
        <w:rPr>
          <w:rFonts w:ascii="Verdana" w:hAnsi="Verdana"/>
          <w:sz w:val="16"/>
          <w:szCs w:val="16"/>
          <w:lang w:val="es-CR"/>
        </w:rPr>
        <w:t xml:space="preserve"> irreparables en los seres humanos, por lo cual un medio ambiente sano es un derecho fundamental para la existencia de la humanidad. </w:t>
      </w:r>
      <w:r w:rsidRPr="0027007E">
        <w:rPr>
          <w:rFonts w:ascii="Verdana" w:hAnsi="Verdana"/>
          <w:i/>
          <w:sz w:val="16"/>
          <w:szCs w:val="16"/>
          <w:lang w:val="es-CR"/>
        </w:rPr>
        <w:t>Cfr.</w:t>
      </w:r>
      <w:r w:rsidRPr="0027007E">
        <w:rPr>
          <w:rFonts w:ascii="Verdana" w:hAnsi="Verdana"/>
          <w:sz w:val="16"/>
          <w:szCs w:val="16"/>
          <w:lang w:val="es-CR"/>
        </w:rPr>
        <w:t xml:space="preserve"> </w:t>
      </w:r>
      <w:r w:rsidRPr="0027007E">
        <w:rPr>
          <w:rFonts w:ascii="Verdana" w:hAnsi="Verdana"/>
          <w:bCs/>
          <w:color w:val="000000"/>
          <w:sz w:val="16"/>
          <w:szCs w:val="16"/>
          <w:lang w:val="es-CR"/>
        </w:rPr>
        <w:t>M</w:t>
      </w:r>
      <w:r w:rsidRPr="0027007E">
        <w:rPr>
          <w:rFonts w:ascii="Verdana" w:hAnsi="Verdana"/>
          <w:bCs/>
          <w:i/>
          <w:color w:val="000000"/>
          <w:sz w:val="16"/>
          <w:szCs w:val="16"/>
          <w:lang w:val="es-CR"/>
        </w:rPr>
        <w:t>edio ambiente y derechos humanos (obligaciones estatales en relación con el medio ambiente en el marco de la protección y garantía de los derechos a la vida y a la integridad personal - interpretación y alcance de los artículos 4.1 y 5.1, en relación con los artículos 1.1 y 2 de la Convención Americana sobre Derechos Humanos)</w:t>
      </w:r>
      <w:r w:rsidRPr="0027007E">
        <w:rPr>
          <w:rFonts w:ascii="Verdana" w:hAnsi="Verdana"/>
          <w:bCs/>
          <w:color w:val="000000"/>
          <w:sz w:val="16"/>
          <w:szCs w:val="16"/>
          <w:lang w:val="es-CR"/>
        </w:rPr>
        <w:t xml:space="preserve">. Opinión Consultiva OC-23/17 de 15 de noviembre de 2017. Serie A No. 23, párr. </w:t>
      </w:r>
      <w:r w:rsidRPr="00E97DDD">
        <w:rPr>
          <w:rFonts w:ascii="Verdana" w:hAnsi="Verdana"/>
          <w:bCs/>
          <w:color w:val="000000"/>
          <w:sz w:val="16"/>
          <w:szCs w:val="16"/>
          <w:lang w:val="es-CR"/>
        </w:rPr>
        <w:t xml:space="preserve">59. </w:t>
      </w:r>
    </w:p>
    <w:p w14:paraId="476590E7" w14:textId="77777777" w:rsidR="00837BB9" w:rsidRPr="001D32B8" w:rsidRDefault="00837BB9" w:rsidP="0027007E">
      <w:pPr>
        <w:pStyle w:val="FootnoteText"/>
        <w:jc w:val="both"/>
        <w:rPr>
          <w:rFonts w:ascii="Verdana" w:hAnsi="Verdana"/>
          <w:sz w:val="16"/>
          <w:szCs w:val="16"/>
        </w:rPr>
      </w:pPr>
    </w:p>
  </w:footnote>
  <w:footnote w:id="346">
    <w:p w14:paraId="1E74CB6E"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bCs/>
          <w:i/>
          <w:color w:val="000000"/>
          <w:sz w:val="16"/>
          <w:szCs w:val="16"/>
          <w:lang w:val="es-MX"/>
        </w:rPr>
        <w:t>Caso Lagos del Campo Vs. Perú. Excepciones Preliminares, Fondo, Reparaciones y Costas</w:t>
      </w:r>
      <w:r w:rsidRPr="001D32B8">
        <w:rPr>
          <w:rFonts w:ascii="Verdana" w:hAnsi="Verdana"/>
          <w:bCs/>
          <w:color w:val="000000"/>
          <w:sz w:val="16"/>
          <w:szCs w:val="16"/>
          <w:lang w:val="es-MX"/>
        </w:rPr>
        <w:t xml:space="preserve">. Sentencia de 31 de agosto de 2017. Serie C No. 340, párr. 149. </w:t>
      </w:r>
    </w:p>
    <w:p w14:paraId="01AD08D1" w14:textId="77777777" w:rsidR="00837BB9" w:rsidRPr="001D32B8" w:rsidRDefault="00837BB9" w:rsidP="0027007E">
      <w:pPr>
        <w:pStyle w:val="FootnoteText"/>
        <w:jc w:val="both"/>
        <w:rPr>
          <w:rFonts w:ascii="Verdana" w:hAnsi="Verdana"/>
          <w:sz w:val="16"/>
          <w:szCs w:val="16"/>
        </w:rPr>
      </w:pPr>
    </w:p>
  </w:footnote>
  <w:footnote w:id="347">
    <w:p w14:paraId="6637E2D6" w14:textId="77777777" w:rsidR="00837BB9" w:rsidRPr="001D32B8" w:rsidRDefault="00837BB9" w:rsidP="0027007E">
      <w:pPr>
        <w:widowControl w:val="0"/>
        <w:autoSpaceDE w:val="0"/>
        <w:autoSpaceDN w:val="0"/>
        <w:adjustRightInd w:val="0"/>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w:t>
      </w:r>
      <w:r w:rsidRPr="001D32B8">
        <w:rPr>
          <w:rFonts w:ascii="Verdana" w:hAnsi="Verdana" w:cs="Verdana"/>
          <w:sz w:val="16"/>
          <w:szCs w:val="16"/>
          <w:lang w:val="es-ES"/>
        </w:rPr>
        <w:t xml:space="preserve">193. En el presente caso, en relación con los alegatos relacionados con la violación al derecho al trabajo, este Tribunal considera que, tal y como fue establecido en el precedente de </w:t>
      </w:r>
      <w:r w:rsidRPr="001D32B8">
        <w:rPr>
          <w:rFonts w:ascii="Verdana" w:hAnsi="Verdana" w:cs="Verdana"/>
          <w:i/>
          <w:iCs/>
          <w:sz w:val="16"/>
          <w:szCs w:val="16"/>
          <w:lang w:val="es-ES"/>
        </w:rPr>
        <w:t>Lagos del Campo Vs. Perú</w:t>
      </w:r>
      <w:r w:rsidRPr="001D32B8">
        <w:rPr>
          <w:rFonts w:ascii="Verdana" w:hAnsi="Verdana" w:cs="Verdana"/>
          <w:sz w:val="16"/>
          <w:szCs w:val="16"/>
          <w:lang w:val="es-ES"/>
        </w:rPr>
        <w:t xml:space="preserve">, el derecho al trabajo incluye el derecho a garantizar el derecho de acceso a la justicia y a la tutela judicial efectiva, tanto en el ámbito público como en el ámbito privado de las relaciones laborales […]”. </w:t>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eastAsia="Times New Roman" w:hAnsi="Verdana" w:cs="Times New Roman"/>
          <w:bCs/>
          <w:i/>
          <w:color w:val="000000"/>
          <w:sz w:val="16"/>
          <w:szCs w:val="16"/>
          <w:lang w:val="es-MX"/>
        </w:rPr>
        <w:t>Caso Trabajadores Cesados de Petroperú y otros Vs. Perú. Excepciones Preliminares, Fondo, Reparaciones y Costas.</w:t>
      </w:r>
      <w:r w:rsidRPr="001D32B8">
        <w:rPr>
          <w:rFonts w:ascii="Verdana" w:eastAsia="Times New Roman" w:hAnsi="Verdana" w:cs="Times New Roman"/>
          <w:bCs/>
          <w:color w:val="000000"/>
          <w:sz w:val="16"/>
          <w:szCs w:val="16"/>
          <w:lang w:val="es-MX"/>
        </w:rPr>
        <w:t xml:space="preserve"> Sentencia de 23 de noviembre 2017. Serie C No. 344</w:t>
      </w:r>
      <w:r w:rsidRPr="001D32B8">
        <w:rPr>
          <w:rFonts w:ascii="Verdana" w:hAnsi="Verdana"/>
          <w:sz w:val="16"/>
          <w:szCs w:val="16"/>
        </w:rPr>
        <w:t xml:space="preserve">, párr.  193. </w:t>
      </w:r>
    </w:p>
    <w:p w14:paraId="09060C55" w14:textId="77777777" w:rsidR="00837BB9" w:rsidRPr="001D32B8" w:rsidRDefault="00837BB9" w:rsidP="0027007E">
      <w:pPr>
        <w:widowControl w:val="0"/>
        <w:autoSpaceDE w:val="0"/>
        <w:autoSpaceDN w:val="0"/>
        <w:adjustRightInd w:val="0"/>
        <w:jc w:val="both"/>
        <w:rPr>
          <w:rFonts w:ascii="Verdana" w:hAnsi="Verdana" w:cs="Verdana"/>
          <w:sz w:val="16"/>
          <w:szCs w:val="16"/>
          <w:lang w:val="es-ES"/>
        </w:rPr>
      </w:pPr>
    </w:p>
  </w:footnote>
  <w:footnote w:id="348">
    <w:p w14:paraId="4813C22A"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w:t>
      </w:r>
      <w:r>
        <w:rPr>
          <w:rFonts w:ascii="Verdana" w:hAnsi="Verdana"/>
          <w:i/>
          <w:sz w:val="16"/>
          <w:szCs w:val="16"/>
        </w:rPr>
        <w:t>fr. C</w:t>
      </w:r>
      <w:r w:rsidRPr="001D32B8">
        <w:rPr>
          <w:rFonts w:ascii="Verdana" w:hAnsi="Verdana"/>
          <w:i/>
          <w:sz w:val="16"/>
          <w:szCs w:val="16"/>
        </w:rPr>
        <w:t>aso San Miguel Sosa y otras Vs. Venezuela. Fondo, Reparaciones y Costas</w:t>
      </w:r>
      <w:r w:rsidRPr="001D32B8">
        <w:rPr>
          <w:rFonts w:ascii="Verdana" w:hAnsi="Verdana"/>
          <w:sz w:val="16"/>
          <w:szCs w:val="16"/>
        </w:rPr>
        <w:t xml:space="preserve">. Sentencia de 8 de febrero de 2018. Serie C No. </w:t>
      </w:r>
      <w:r>
        <w:rPr>
          <w:rFonts w:ascii="Verdana" w:hAnsi="Verdana"/>
          <w:sz w:val="16"/>
          <w:szCs w:val="16"/>
        </w:rPr>
        <w:t>348</w:t>
      </w:r>
      <w:r w:rsidRPr="001D32B8">
        <w:rPr>
          <w:rFonts w:ascii="Verdana" w:hAnsi="Verdana"/>
          <w:sz w:val="16"/>
          <w:szCs w:val="16"/>
        </w:rPr>
        <w:t>, párr. 1</w:t>
      </w:r>
      <w:r>
        <w:rPr>
          <w:rFonts w:ascii="Verdana" w:hAnsi="Verdana"/>
          <w:sz w:val="16"/>
          <w:szCs w:val="16"/>
        </w:rPr>
        <w:t>4</w:t>
      </w:r>
      <w:r w:rsidRPr="001D32B8">
        <w:rPr>
          <w:rFonts w:ascii="Verdana" w:hAnsi="Verdana"/>
          <w:sz w:val="16"/>
          <w:szCs w:val="16"/>
        </w:rPr>
        <w:t xml:space="preserve">9. </w:t>
      </w:r>
    </w:p>
    <w:p w14:paraId="390CA252" w14:textId="77777777" w:rsidR="00837BB9" w:rsidRPr="001D32B8" w:rsidRDefault="00837BB9" w:rsidP="0027007E">
      <w:pPr>
        <w:pStyle w:val="FootnoteText"/>
        <w:rPr>
          <w:rFonts w:ascii="Verdana" w:hAnsi="Verdana"/>
          <w:sz w:val="16"/>
          <w:szCs w:val="16"/>
        </w:rPr>
      </w:pPr>
    </w:p>
  </w:footnote>
  <w:footnote w:id="349">
    <w:p w14:paraId="28ADB5CE" w14:textId="7A239C3D" w:rsidR="00837BB9" w:rsidRPr="001D32B8" w:rsidRDefault="00837BB9" w:rsidP="0027007E">
      <w:pPr>
        <w:widowControl w:val="0"/>
        <w:autoSpaceDE w:val="0"/>
        <w:autoSpaceDN w:val="0"/>
        <w:adjustRightInd w:val="0"/>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Cfr.</w:t>
      </w:r>
      <w:r w:rsidRPr="001D32B8">
        <w:rPr>
          <w:rFonts w:ascii="Verdana" w:hAnsi="Verdana"/>
          <w:sz w:val="16"/>
          <w:szCs w:val="16"/>
        </w:rPr>
        <w:t xml:space="preserve"> </w:t>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Sentencia de 31 de agosto de 2017. Serie C No. 340,</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w:t>
      </w:r>
      <w:r w:rsidRPr="001D32B8">
        <w:rPr>
          <w:rFonts w:ascii="Verdana" w:hAnsi="Verdana" w:cs="Verdana"/>
          <w:sz w:val="16"/>
          <w:szCs w:val="16"/>
          <w:lang w:val="es-ES"/>
        </w:rPr>
        <w:t xml:space="preserve"> 188 y 189. </w:t>
      </w:r>
    </w:p>
  </w:footnote>
  <w:footnote w:id="350">
    <w:p w14:paraId="2B2457CF"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Este Tribunal ha establecido que el daño material supone “la pérdida o detrimento de los ingresos de las víctimas, los gastos efectuados con motivo de los hechos y las consecuencias de carácter pecuniario que tengan un nexo causal con los hechos del caso”. </w:t>
      </w:r>
      <w:r w:rsidRPr="001D32B8">
        <w:rPr>
          <w:rFonts w:ascii="Verdana" w:hAnsi="Verdana"/>
          <w:i/>
          <w:sz w:val="16"/>
          <w:szCs w:val="16"/>
        </w:rPr>
        <w:t xml:space="preserve">Caso </w:t>
      </w:r>
      <w:proofErr w:type="spellStart"/>
      <w:r w:rsidRPr="001D32B8">
        <w:rPr>
          <w:rFonts w:ascii="Verdana" w:hAnsi="Verdana"/>
          <w:i/>
          <w:sz w:val="16"/>
          <w:szCs w:val="16"/>
        </w:rPr>
        <w:t>Bámaca</w:t>
      </w:r>
      <w:proofErr w:type="spellEnd"/>
      <w:r w:rsidRPr="001D32B8">
        <w:rPr>
          <w:rFonts w:ascii="Verdana" w:hAnsi="Verdana"/>
          <w:i/>
          <w:sz w:val="16"/>
          <w:szCs w:val="16"/>
        </w:rPr>
        <w:t xml:space="preserve"> Velásquez Vs. Guatemala. Reparaciones y Costas</w:t>
      </w:r>
      <w:r w:rsidRPr="001D32B8">
        <w:rPr>
          <w:rFonts w:ascii="Verdana" w:hAnsi="Verdana"/>
          <w:sz w:val="16"/>
          <w:szCs w:val="16"/>
        </w:rPr>
        <w:t xml:space="preserve">. Sentencia de 22 de febrero de 2002. Serie C No. 91, párr. 43, y </w:t>
      </w:r>
      <w:r w:rsidRPr="001D32B8">
        <w:rPr>
          <w:rFonts w:ascii="Verdana" w:hAnsi="Verdana"/>
          <w:bCs/>
          <w:i/>
          <w:color w:val="000000"/>
          <w:sz w:val="16"/>
          <w:szCs w:val="16"/>
          <w:lang w:val="es-MX"/>
        </w:rPr>
        <w:t>Caso Trabajadores Cesados de Petroperú y otros Vs. Perú. Excepciones Preliminares, Fondo, Reparaciones y Costas.</w:t>
      </w:r>
      <w:r w:rsidRPr="001D32B8">
        <w:rPr>
          <w:rFonts w:ascii="Verdana" w:hAnsi="Verdana"/>
          <w:bCs/>
          <w:color w:val="000000"/>
          <w:sz w:val="16"/>
          <w:szCs w:val="16"/>
          <w:lang w:val="es-MX"/>
        </w:rPr>
        <w:t xml:space="preserve"> Sentencia de 23 de noviembre 2017. Serie C No. 344.</w:t>
      </w:r>
      <w:r w:rsidRPr="001D32B8">
        <w:rPr>
          <w:rFonts w:ascii="Verdana" w:hAnsi="Verdana"/>
          <w:bCs/>
          <w:sz w:val="16"/>
          <w:szCs w:val="16"/>
          <w:lang w:val="es-VE"/>
        </w:rPr>
        <w:t>párr. 198</w:t>
      </w:r>
      <w:r w:rsidRPr="001D32B8">
        <w:rPr>
          <w:rFonts w:ascii="Verdana" w:hAnsi="Verdana"/>
          <w:sz w:val="16"/>
          <w:szCs w:val="16"/>
        </w:rPr>
        <w:t>.</w:t>
      </w:r>
    </w:p>
    <w:p w14:paraId="2C496DFA" w14:textId="77777777" w:rsidR="00837BB9" w:rsidRPr="001D32B8" w:rsidRDefault="00837BB9" w:rsidP="0027007E">
      <w:pPr>
        <w:pStyle w:val="FootnoteText"/>
        <w:jc w:val="both"/>
        <w:rPr>
          <w:rFonts w:ascii="Verdana" w:hAnsi="Verdana"/>
          <w:sz w:val="16"/>
          <w:szCs w:val="16"/>
        </w:rPr>
      </w:pPr>
    </w:p>
  </w:footnote>
  <w:footnote w:id="351">
    <w:p w14:paraId="180CD821"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 xml:space="preserve">Cfr. </w:t>
      </w:r>
      <w:r w:rsidRPr="001D32B8">
        <w:rPr>
          <w:rFonts w:ascii="Verdana" w:hAnsi="Verdana"/>
          <w:sz w:val="16"/>
          <w:szCs w:val="16"/>
        </w:rPr>
        <w:t xml:space="preserve"> </w:t>
      </w:r>
      <w:r w:rsidRPr="001D32B8">
        <w:rPr>
          <w:rFonts w:ascii="Verdana" w:hAnsi="Verdana"/>
          <w:bCs/>
          <w:i/>
          <w:color w:val="000000"/>
          <w:sz w:val="16"/>
          <w:szCs w:val="16"/>
          <w:lang w:val="es-MX"/>
        </w:rPr>
        <w:t>Caso Lagos del Campo Vs. Perú. Excepciones Preliminares, Fondo, Reparaciones y Costas</w:t>
      </w:r>
      <w:r w:rsidRPr="001D32B8">
        <w:rPr>
          <w:rFonts w:ascii="Verdana" w:hAnsi="Verdana"/>
          <w:bCs/>
          <w:color w:val="000000"/>
          <w:sz w:val="16"/>
          <w:szCs w:val="16"/>
          <w:lang w:val="es-MX"/>
        </w:rPr>
        <w:t>. Sentencia de 31 de agosto de 2017. Serie C No. 340,</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w:t>
      </w:r>
      <w:r w:rsidRPr="001D32B8">
        <w:rPr>
          <w:rFonts w:ascii="Verdana" w:hAnsi="Verdana" w:cs="Verdana"/>
          <w:sz w:val="16"/>
          <w:szCs w:val="16"/>
          <w:lang w:val="es-ES"/>
        </w:rPr>
        <w:t xml:space="preserve"> </w:t>
      </w:r>
      <w:r w:rsidRPr="001D32B8">
        <w:rPr>
          <w:rFonts w:ascii="Verdana" w:hAnsi="Verdana"/>
          <w:sz w:val="16"/>
          <w:szCs w:val="16"/>
        </w:rPr>
        <w:t>215 y 216.</w:t>
      </w:r>
    </w:p>
    <w:p w14:paraId="3FCC2854" w14:textId="77777777" w:rsidR="00837BB9" w:rsidRPr="001D32B8" w:rsidRDefault="00837BB9" w:rsidP="0027007E">
      <w:pPr>
        <w:pStyle w:val="FootnoteText"/>
        <w:jc w:val="both"/>
        <w:rPr>
          <w:rFonts w:ascii="Verdana" w:hAnsi="Verdana"/>
          <w:sz w:val="16"/>
          <w:szCs w:val="16"/>
        </w:rPr>
      </w:pPr>
    </w:p>
  </w:footnote>
  <w:footnote w:id="352">
    <w:p w14:paraId="63838474" w14:textId="4FA7F112" w:rsidR="00837BB9" w:rsidRPr="001D32B8" w:rsidRDefault="00837BB9" w:rsidP="0027007E">
      <w:pPr>
        <w:widowControl w:val="0"/>
        <w:autoSpaceDE w:val="0"/>
        <w:autoSpaceDN w:val="0"/>
        <w:adjustRightInd w:val="0"/>
        <w:jc w:val="both"/>
        <w:rPr>
          <w:rFonts w:ascii="Verdana" w:hAnsi="Verdana" w:cs="Times"/>
          <w:sz w:val="16"/>
          <w:szCs w:val="16"/>
          <w:lang w:val="es-ES"/>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w:t>
      </w:r>
      <w:r w:rsidRPr="001D32B8">
        <w:rPr>
          <w:rFonts w:ascii="Verdana" w:hAnsi="Verdana" w:cs="Verdana"/>
          <w:sz w:val="16"/>
          <w:szCs w:val="16"/>
          <w:lang w:val="es-ES"/>
        </w:rPr>
        <w:t xml:space="preserve">222. Sin perjuicio de lo anterior, tomando en cuenta que el Estado es responsable por la violación a los artículos 8, 25 y 26 de la Convención Americana en relación con el artículo 1.1 del mismo instrumento, y que las 164 víctimas del presente caso dejaron de percibir sus salarios con motivo de sus ceses, situación que se mantiene vigente hasta la fecha de la emisión de esta sentencia, la Corte estima pertinente fijar, en equidad, la cantidad de US$ 43.792 (cuarenta y tres mil setecientos noventa y dos dólares de los Estados Unidos de América), por concepto de lucro cesante, para cada una de las víctimas del presente caso, los cuales deberán ser entregados directamente a las mismas. Asimismo, la Corte considera que la compensación económica que haya sido recibida por las víctimas, como parte de los beneficios previstos por el Decreto Ley 27803, deberá ser descontada del monto establecido por esta Corte por concepto de lucro cesante en el presente caso”. </w:t>
      </w:r>
      <w:r w:rsidRPr="001D32B8">
        <w:rPr>
          <w:rFonts w:ascii="Verdana" w:eastAsia="Times New Roman" w:hAnsi="Verdana" w:cs="Times New Roman"/>
          <w:bCs/>
          <w:i/>
          <w:color w:val="000000"/>
          <w:sz w:val="16"/>
          <w:szCs w:val="16"/>
          <w:lang w:val="es-MX"/>
        </w:rPr>
        <w:t>Caso Trabajadores Cesados de Petroperú y otros Vs. Perú. Excepciones Preliminares, Fondo, Reparaciones y Costas.</w:t>
      </w:r>
      <w:r w:rsidRPr="001D32B8">
        <w:rPr>
          <w:rFonts w:ascii="Verdana" w:eastAsia="Times New Roman" w:hAnsi="Verdana" w:cs="Times New Roman"/>
          <w:bCs/>
          <w:color w:val="000000"/>
          <w:sz w:val="16"/>
          <w:szCs w:val="16"/>
          <w:lang w:val="es-MX"/>
        </w:rPr>
        <w:t xml:space="preserve"> Sentencia de 23 de noviembre 2017. Serie C No. 344, párr. 222. </w:t>
      </w:r>
    </w:p>
  </w:footnote>
  <w:footnote w:id="353">
    <w:p w14:paraId="294D3A5B" w14:textId="1366E60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Sentencia de 8 de</w:t>
      </w:r>
      <w:r>
        <w:rPr>
          <w:rFonts w:ascii="Verdana" w:hAnsi="Verdana"/>
          <w:sz w:val="16"/>
          <w:szCs w:val="16"/>
        </w:rPr>
        <w:t xml:space="preserve"> febrero de 2018. Serie C No. 348</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237.</w:t>
      </w:r>
    </w:p>
  </w:footnote>
  <w:footnote w:id="354">
    <w:p w14:paraId="18466F44" w14:textId="78D80C90"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 </w:t>
      </w:r>
      <w:r w:rsidRPr="001D32B8">
        <w:rPr>
          <w:rFonts w:ascii="Verdana" w:hAnsi="Verdana"/>
          <w:i/>
          <w:sz w:val="16"/>
          <w:szCs w:val="16"/>
        </w:rPr>
        <w:t xml:space="preserve">Cfr. </w:t>
      </w:r>
      <w:r w:rsidRPr="001D32B8">
        <w:rPr>
          <w:rFonts w:ascii="Verdana" w:hAnsi="Verdana"/>
          <w:sz w:val="16"/>
          <w:szCs w:val="16"/>
        </w:rPr>
        <w:t xml:space="preserve"> </w:t>
      </w:r>
      <w:r w:rsidRPr="001D32B8">
        <w:rPr>
          <w:rFonts w:ascii="Verdana" w:hAnsi="Verdana"/>
          <w:bCs/>
          <w:i/>
          <w:color w:val="000000"/>
          <w:sz w:val="16"/>
          <w:szCs w:val="16"/>
          <w:lang w:val="es-MX"/>
        </w:rPr>
        <w:t>Caso Lagos del Campo Vs. Perú. Excepciones Preliminares, Fondo, Reparaciones y Costas</w:t>
      </w:r>
      <w:r w:rsidRPr="001D32B8">
        <w:rPr>
          <w:rFonts w:ascii="Verdana" w:hAnsi="Verdana"/>
          <w:bCs/>
          <w:color w:val="000000"/>
          <w:sz w:val="16"/>
          <w:szCs w:val="16"/>
          <w:lang w:val="es-MX"/>
        </w:rPr>
        <w:t>. Sentencia de 31 de agosto de 2017. Serie C No. 340,</w:t>
      </w:r>
      <w:r w:rsidRPr="001D32B8">
        <w:rPr>
          <w:rFonts w:ascii="Verdana" w:hAnsi="Verdana"/>
          <w:sz w:val="16"/>
          <w:szCs w:val="16"/>
        </w:rPr>
        <w:t xml:space="preserve"> párr. 150. </w:t>
      </w:r>
    </w:p>
  </w:footnote>
  <w:footnote w:id="355">
    <w:p w14:paraId="3A42DCF3" w14:textId="6D935BCE" w:rsidR="00837BB9" w:rsidRPr="001D32B8" w:rsidRDefault="00837BB9" w:rsidP="0027007E">
      <w:pPr>
        <w:autoSpaceDE w:val="0"/>
        <w:autoSpaceDN w:val="0"/>
        <w:adjustRightInd w:val="0"/>
        <w:jc w:val="both"/>
        <w:rPr>
          <w:rFonts w:ascii="Verdana" w:eastAsia="Calibri" w:hAnsi="Verdana"/>
          <w:sz w:val="16"/>
          <w:szCs w:val="16"/>
          <w:lang w:val="es-EC"/>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lang w:val="es-EC"/>
        </w:rPr>
        <w:tab/>
      </w:r>
      <w:r w:rsidRPr="001D32B8">
        <w:rPr>
          <w:rFonts w:ascii="Verdana" w:hAnsi="Verdana"/>
          <w:i/>
          <w:sz w:val="16"/>
          <w:szCs w:val="16"/>
        </w:rPr>
        <w:t>Cfr.</w:t>
      </w:r>
      <w:r w:rsidRPr="001D32B8">
        <w:rPr>
          <w:rFonts w:ascii="Verdana" w:hAnsi="Verdana" w:cs="Arial"/>
          <w:i/>
          <w:sz w:val="16"/>
          <w:szCs w:val="16"/>
        </w:rPr>
        <w:t xml:space="preserve">, </w:t>
      </w:r>
      <w:r w:rsidRPr="001D32B8">
        <w:rPr>
          <w:rFonts w:ascii="Verdana" w:hAnsi="Verdana"/>
          <w:i/>
          <w:sz w:val="16"/>
          <w:szCs w:val="16"/>
          <w:lang w:val="es-EC"/>
        </w:rPr>
        <w:t xml:space="preserve">mutatis </w:t>
      </w:r>
      <w:proofErr w:type="spellStart"/>
      <w:r w:rsidRPr="001D32B8">
        <w:rPr>
          <w:rFonts w:ascii="Verdana" w:hAnsi="Verdana"/>
          <w:i/>
          <w:sz w:val="16"/>
          <w:szCs w:val="16"/>
          <w:lang w:val="es-EC"/>
        </w:rPr>
        <w:t>mutandi</w:t>
      </w:r>
      <w:proofErr w:type="spellEnd"/>
      <w:r w:rsidRPr="001D32B8">
        <w:rPr>
          <w:rFonts w:ascii="Verdana" w:hAnsi="Verdana"/>
          <w:i/>
          <w:sz w:val="16"/>
          <w:szCs w:val="16"/>
          <w:lang w:val="es-EC"/>
        </w:rPr>
        <w:t>,</w:t>
      </w:r>
      <w:r w:rsidRPr="001D32B8">
        <w:rPr>
          <w:rFonts w:ascii="Verdana" w:hAnsi="Verdana"/>
          <w:sz w:val="16"/>
          <w:szCs w:val="16"/>
          <w:lang w:val="es-EC"/>
        </w:rPr>
        <w:t xml:space="preserve"> </w:t>
      </w:r>
      <w:r w:rsidRPr="001D32B8">
        <w:rPr>
          <w:rFonts w:ascii="Verdana" w:hAnsi="Verdana"/>
          <w:i/>
          <w:iCs/>
          <w:sz w:val="16"/>
          <w:szCs w:val="16"/>
          <w:lang w:val="es-EC"/>
        </w:rPr>
        <w:t xml:space="preserve">Caso Mejía </w:t>
      </w:r>
      <w:proofErr w:type="spellStart"/>
      <w:r w:rsidRPr="001D32B8">
        <w:rPr>
          <w:rFonts w:ascii="Verdana" w:hAnsi="Verdana"/>
          <w:i/>
          <w:iCs/>
          <w:sz w:val="16"/>
          <w:szCs w:val="16"/>
          <w:lang w:val="es-EC"/>
        </w:rPr>
        <w:t>Idrovo</w:t>
      </w:r>
      <w:proofErr w:type="spellEnd"/>
      <w:r w:rsidRPr="001D32B8">
        <w:rPr>
          <w:rFonts w:ascii="Verdana" w:hAnsi="Verdana"/>
          <w:i/>
          <w:iCs/>
          <w:sz w:val="16"/>
          <w:szCs w:val="16"/>
          <w:lang w:val="es-EC"/>
        </w:rPr>
        <w:t xml:space="preserve"> Vs. Ecuador</w:t>
      </w:r>
      <w:r w:rsidRPr="001D32B8">
        <w:rPr>
          <w:rFonts w:ascii="Verdana" w:hAnsi="Verdana"/>
          <w:sz w:val="16"/>
          <w:szCs w:val="16"/>
          <w:lang w:val="es-EC"/>
        </w:rPr>
        <w:t xml:space="preserve">. </w:t>
      </w:r>
      <w:r w:rsidRPr="001D32B8">
        <w:rPr>
          <w:rFonts w:ascii="Verdana" w:hAnsi="Verdana"/>
          <w:i/>
          <w:sz w:val="16"/>
          <w:szCs w:val="16"/>
          <w:lang w:val="es-EC"/>
        </w:rPr>
        <w:t>Excepciones preliminares, Fondo, Reparaciones y Costas</w:t>
      </w:r>
      <w:r w:rsidRPr="001D32B8">
        <w:rPr>
          <w:rFonts w:ascii="Verdana" w:hAnsi="Verdana"/>
          <w:sz w:val="16"/>
          <w:szCs w:val="16"/>
          <w:lang w:val="es-EC"/>
        </w:rPr>
        <w:t>. Sentencia de 5 de julio de 2011. Serie</w:t>
      </w:r>
      <w:r w:rsidRPr="001D32B8">
        <w:rPr>
          <w:rFonts w:ascii="Verdana" w:hAnsi="Verdana"/>
          <w:iCs/>
          <w:sz w:val="16"/>
          <w:szCs w:val="16"/>
          <w:lang w:val="es-EC"/>
        </w:rPr>
        <w:t xml:space="preserve"> C No. 228</w:t>
      </w:r>
      <w:r w:rsidRPr="001D32B8">
        <w:rPr>
          <w:rFonts w:ascii="Verdana" w:hAnsi="Verdana"/>
          <w:i/>
          <w:iCs/>
          <w:sz w:val="16"/>
          <w:szCs w:val="16"/>
          <w:lang w:val="es-EC"/>
        </w:rPr>
        <w:t xml:space="preserve">, </w:t>
      </w:r>
      <w:r w:rsidRPr="001D32B8">
        <w:rPr>
          <w:rFonts w:ascii="Verdana" w:hAnsi="Verdana"/>
          <w:sz w:val="16"/>
          <w:szCs w:val="16"/>
          <w:lang w:val="es-EC"/>
        </w:rPr>
        <w:t xml:space="preserve">párr. 106, y </w:t>
      </w:r>
      <w:r w:rsidRPr="001D32B8">
        <w:rPr>
          <w:rFonts w:ascii="Verdana" w:hAnsi="Verdana"/>
          <w:bCs/>
          <w:i/>
          <w:sz w:val="16"/>
          <w:szCs w:val="16"/>
        </w:rPr>
        <w:t xml:space="preserve">Caso </w:t>
      </w:r>
      <w:proofErr w:type="spellStart"/>
      <w:r w:rsidRPr="001D32B8">
        <w:rPr>
          <w:rFonts w:ascii="Verdana" w:hAnsi="Verdana"/>
          <w:bCs/>
          <w:i/>
          <w:sz w:val="16"/>
          <w:szCs w:val="16"/>
        </w:rPr>
        <w:t>Furlan</w:t>
      </w:r>
      <w:proofErr w:type="spellEnd"/>
      <w:r w:rsidRPr="001D32B8">
        <w:rPr>
          <w:rFonts w:ascii="Verdana" w:hAnsi="Verdana"/>
          <w:bCs/>
          <w:i/>
          <w:sz w:val="16"/>
          <w:szCs w:val="16"/>
        </w:rPr>
        <w:t xml:space="preserve"> y familiares Vs. Argentina. Excepciones Preliminares, Fondo, Reparaciones y Costas.</w:t>
      </w:r>
      <w:r w:rsidRPr="001D32B8">
        <w:rPr>
          <w:rFonts w:ascii="Verdana" w:hAnsi="Verdana"/>
          <w:bCs/>
          <w:sz w:val="16"/>
          <w:szCs w:val="16"/>
        </w:rPr>
        <w:t xml:space="preserve"> Sentencia de 31 de agosto de 2012. Serie C No. 246, párr. 211.</w:t>
      </w:r>
    </w:p>
  </w:footnote>
  <w:footnote w:id="356">
    <w:p w14:paraId="0B10BF8A" w14:textId="58B5CFAD" w:rsidR="00837BB9" w:rsidRPr="001D32B8" w:rsidRDefault="00837BB9" w:rsidP="00216011">
      <w:pPr>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Cfr.</w:t>
      </w:r>
      <w:r w:rsidRPr="001D32B8">
        <w:rPr>
          <w:rFonts w:ascii="Verdana" w:hAnsi="Verdana" w:cs="Arial"/>
          <w:i/>
          <w:sz w:val="16"/>
          <w:szCs w:val="16"/>
        </w:rPr>
        <w:t xml:space="preserve"> </w:t>
      </w:r>
      <w:r w:rsidRPr="001D32B8">
        <w:rPr>
          <w:rFonts w:ascii="Verdana" w:eastAsia="Times New Roman" w:hAnsi="Verdana" w:cs="Times New Roman"/>
          <w:bCs/>
          <w:i/>
          <w:color w:val="000000"/>
          <w:sz w:val="16"/>
          <w:szCs w:val="16"/>
          <w:lang w:val="es-MX"/>
        </w:rPr>
        <w:t>Garantías judiciales en estados de emergencia (Arts. 27.2, 25 y 8 Convención Americana sobre Derechos Humanos)</w:t>
      </w:r>
      <w:r w:rsidRPr="001D32B8">
        <w:rPr>
          <w:rFonts w:ascii="Verdana" w:eastAsia="Times New Roman" w:hAnsi="Verdana" w:cs="Times New Roman"/>
          <w:bCs/>
          <w:color w:val="000000"/>
          <w:sz w:val="16"/>
          <w:szCs w:val="16"/>
          <w:lang w:val="es-MX"/>
        </w:rPr>
        <w:t xml:space="preserve">. Opinión Consultiva OC-9/87 de 6 de octubre de 1987. Serie A No. 9, </w:t>
      </w:r>
      <w:r w:rsidRPr="001D32B8">
        <w:rPr>
          <w:rFonts w:ascii="Verdana" w:hAnsi="Verdana"/>
          <w:sz w:val="16"/>
          <w:szCs w:val="16"/>
        </w:rPr>
        <w:t xml:space="preserve">párr. 24, y </w:t>
      </w:r>
      <w:r w:rsidRPr="001D32B8">
        <w:rPr>
          <w:rFonts w:ascii="Verdana" w:eastAsia="Times New Roman" w:hAnsi="Verdana" w:cs="Times New Roman"/>
          <w:bCs/>
          <w:i/>
          <w:color w:val="000000"/>
          <w:sz w:val="16"/>
          <w:szCs w:val="16"/>
          <w:lang w:val="es-MX"/>
        </w:rPr>
        <w:t>Caso Lagos del Campo Vs. Perú. Excepciones Preliminares, Fondo, Reparaciones y Costas</w:t>
      </w:r>
      <w:r w:rsidRPr="001D32B8">
        <w:rPr>
          <w:rFonts w:ascii="Verdana" w:eastAsia="Times New Roman" w:hAnsi="Verdana" w:cs="Times New Roman"/>
          <w:bCs/>
          <w:color w:val="000000"/>
          <w:sz w:val="16"/>
          <w:szCs w:val="16"/>
          <w:lang w:val="es-MX"/>
        </w:rPr>
        <w:t xml:space="preserve">. Sentencia de 31 de agosto de 2017. Serie C No. 340, </w:t>
      </w:r>
      <w:r w:rsidRPr="001D32B8">
        <w:rPr>
          <w:rFonts w:ascii="Verdana" w:hAnsi="Verdana"/>
          <w:bCs/>
          <w:iCs/>
          <w:sz w:val="16"/>
          <w:szCs w:val="16"/>
        </w:rPr>
        <w:t>párr. 188</w:t>
      </w:r>
      <w:r w:rsidRPr="001D32B8">
        <w:rPr>
          <w:rFonts w:ascii="Verdana" w:hAnsi="Verdana" w:cs="Arial"/>
          <w:sz w:val="16"/>
          <w:szCs w:val="16"/>
        </w:rPr>
        <w:t>.</w:t>
      </w:r>
    </w:p>
  </w:footnote>
  <w:footnote w:id="357">
    <w:p w14:paraId="79911DCE" w14:textId="51ECF27E" w:rsidR="00837BB9" w:rsidRPr="001D32B8" w:rsidRDefault="00837BB9" w:rsidP="00216011">
      <w:pPr>
        <w:jc w:val="both"/>
        <w:rPr>
          <w:rFonts w:ascii="Verdana" w:hAnsi="Verdana"/>
          <w:sz w:val="16"/>
          <w:szCs w:val="16"/>
          <w:lang w:val="pt-BR"/>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Cfr.</w:t>
      </w:r>
      <w:r w:rsidRPr="001D32B8">
        <w:rPr>
          <w:rFonts w:ascii="Verdana" w:hAnsi="Verdana" w:cs="Arial"/>
          <w:i/>
          <w:sz w:val="16"/>
          <w:szCs w:val="16"/>
        </w:rPr>
        <w:t xml:space="preserve"> </w:t>
      </w:r>
      <w:r w:rsidRPr="001D32B8">
        <w:rPr>
          <w:rFonts w:ascii="Verdana" w:eastAsia="Times New Roman" w:hAnsi="Verdana" w:cs="Times New Roman"/>
          <w:bCs/>
          <w:i/>
          <w:color w:val="000000"/>
          <w:sz w:val="16"/>
          <w:szCs w:val="16"/>
          <w:lang w:val="es-MX"/>
        </w:rPr>
        <w:t>Caso Maldonado Vargas y otros Vs. Chile. Fondo, Reparaciones y Costas</w:t>
      </w:r>
      <w:r w:rsidRPr="001D32B8">
        <w:rPr>
          <w:rFonts w:ascii="Verdana" w:eastAsia="Times New Roman" w:hAnsi="Verdana" w:cs="Times New Roman"/>
          <w:bCs/>
          <w:color w:val="000000"/>
          <w:sz w:val="16"/>
          <w:szCs w:val="16"/>
          <w:lang w:val="es-MX"/>
        </w:rPr>
        <w:t xml:space="preserve">. Sentencia de 2 de septiembre de 2015. Serie C No. 300, </w:t>
      </w:r>
      <w:r w:rsidRPr="001D32B8">
        <w:rPr>
          <w:rFonts w:ascii="Verdana" w:hAnsi="Verdana" w:cs="Arial"/>
          <w:sz w:val="16"/>
          <w:szCs w:val="16"/>
        </w:rPr>
        <w:t>párr. 123</w:t>
      </w:r>
      <w:r w:rsidRPr="001D32B8">
        <w:rPr>
          <w:rFonts w:ascii="Verdana" w:hAnsi="Verdana"/>
          <w:sz w:val="16"/>
          <w:szCs w:val="16"/>
        </w:rPr>
        <w:t xml:space="preserve">, y </w:t>
      </w:r>
      <w:r w:rsidRPr="001D32B8">
        <w:rPr>
          <w:rFonts w:ascii="Verdana" w:eastAsia="Times New Roman" w:hAnsi="Verdana" w:cs="Times New Roman"/>
          <w:bCs/>
          <w:i/>
          <w:color w:val="000000"/>
          <w:sz w:val="16"/>
          <w:szCs w:val="16"/>
          <w:lang w:val="es-MX"/>
        </w:rPr>
        <w:t>Caso Trabajadores Cesados de Petroperú y otros Vs. Perú. Excepciones Preliminares, Fondo, Reparaciones y Costas.</w:t>
      </w:r>
      <w:r w:rsidRPr="001D32B8">
        <w:rPr>
          <w:rFonts w:ascii="Verdana" w:eastAsia="Times New Roman" w:hAnsi="Verdana" w:cs="Times New Roman"/>
          <w:bCs/>
          <w:color w:val="000000"/>
          <w:sz w:val="16"/>
          <w:szCs w:val="16"/>
          <w:lang w:val="es-MX"/>
        </w:rPr>
        <w:t xml:space="preserve"> Sentencia de 23 de noviembre 2017. Serie C No. 344,</w:t>
      </w:r>
      <w:r w:rsidRPr="001D32B8">
        <w:rPr>
          <w:rFonts w:ascii="Verdana" w:hAnsi="Verdana"/>
          <w:bCs/>
          <w:sz w:val="16"/>
          <w:szCs w:val="16"/>
          <w:lang w:val="es-VE"/>
        </w:rPr>
        <w:t xml:space="preserve"> párr. 155</w:t>
      </w:r>
      <w:r w:rsidRPr="001D32B8">
        <w:rPr>
          <w:rFonts w:ascii="Verdana" w:hAnsi="Verdana" w:cs="Arial"/>
          <w:sz w:val="16"/>
          <w:szCs w:val="16"/>
        </w:rPr>
        <w:t>.</w:t>
      </w:r>
    </w:p>
  </w:footnote>
  <w:footnote w:id="358">
    <w:p w14:paraId="4F316424" w14:textId="77777777" w:rsidR="00837BB9" w:rsidRPr="001D32B8" w:rsidRDefault="00837BB9" w:rsidP="0027007E">
      <w:pPr>
        <w:pStyle w:val="FootnoteText"/>
        <w:jc w:val="both"/>
        <w:rPr>
          <w:rFonts w:ascii="Verdana" w:hAnsi="Verdana" w:cs="Arial"/>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Cfr. Caso</w:t>
      </w:r>
      <w:r w:rsidRPr="001D32B8">
        <w:rPr>
          <w:rFonts w:ascii="Verdana" w:hAnsi="Verdana"/>
          <w:sz w:val="16"/>
          <w:szCs w:val="16"/>
        </w:rPr>
        <w:t xml:space="preserve"> </w:t>
      </w:r>
      <w:r w:rsidRPr="001D32B8">
        <w:rPr>
          <w:rFonts w:ascii="Verdana" w:hAnsi="Verdana"/>
          <w:i/>
          <w:sz w:val="16"/>
          <w:szCs w:val="16"/>
        </w:rPr>
        <w:t>López Álvarez Vs. Honduras. Fondo, Reparaciones y Costas</w:t>
      </w:r>
      <w:r w:rsidRPr="001D32B8">
        <w:rPr>
          <w:rFonts w:ascii="Verdana" w:hAnsi="Verdana"/>
          <w:sz w:val="16"/>
          <w:szCs w:val="16"/>
        </w:rPr>
        <w:t>. Sentencia de 1 de febrero de 2006. Serie C No. 141, párr. 96,</w:t>
      </w:r>
      <w:r w:rsidRPr="001D32B8">
        <w:rPr>
          <w:rFonts w:ascii="Verdana" w:hAnsi="Verdana"/>
          <w:i/>
          <w:sz w:val="16"/>
          <w:szCs w:val="16"/>
        </w:rPr>
        <w:t xml:space="preserve"> </w:t>
      </w:r>
      <w:r w:rsidRPr="001D32B8">
        <w:rPr>
          <w:rFonts w:ascii="Verdana" w:hAnsi="Verdana"/>
          <w:sz w:val="16"/>
          <w:szCs w:val="16"/>
        </w:rPr>
        <w:t xml:space="preserve">y </w:t>
      </w:r>
      <w:r w:rsidRPr="001D32B8">
        <w:rPr>
          <w:rFonts w:ascii="Verdana" w:hAnsi="Verdana"/>
          <w:bCs/>
          <w:i/>
          <w:color w:val="000000"/>
          <w:sz w:val="16"/>
          <w:szCs w:val="16"/>
          <w:lang w:val="es-MX"/>
        </w:rPr>
        <w:t>Caso Maldonado Vargas y otros Vs. Chile. Fondo, Reparaciones y Costas</w:t>
      </w:r>
      <w:r w:rsidRPr="001D32B8">
        <w:rPr>
          <w:rFonts w:ascii="Verdana" w:hAnsi="Verdana"/>
          <w:bCs/>
          <w:color w:val="000000"/>
          <w:sz w:val="16"/>
          <w:szCs w:val="16"/>
          <w:lang w:val="es-MX"/>
        </w:rPr>
        <w:t>. Sentencia de 2 de septiembre de 2015. Serie C No. 300</w:t>
      </w:r>
      <w:r w:rsidRPr="001D32B8">
        <w:rPr>
          <w:rFonts w:ascii="Verdana" w:hAnsi="Verdana" w:cs="Arial"/>
          <w:sz w:val="16"/>
          <w:szCs w:val="16"/>
        </w:rPr>
        <w:t xml:space="preserve"> párr. 123.</w:t>
      </w:r>
    </w:p>
    <w:p w14:paraId="34DBA01B" w14:textId="77777777" w:rsidR="00837BB9" w:rsidRPr="001D32B8" w:rsidRDefault="00837BB9" w:rsidP="0027007E">
      <w:pPr>
        <w:pStyle w:val="FootnoteText"/>
        <w:jc w:val="both"/>
        <w:rPr>
          <w:rFonts w:ascii="Verdana" w:hAnsi="Verdana"/>
          <w:sz w:val="16"/>
          <w:szCs w:val="16"/>
        </w:rPr>
      </w:pPr>
    </w:p>
  </w:footnote>
  <w:footnote w:id="359">
    <w:p w14:paraId="76703324" w14:textId="62D49130" w:rsidR="00837BB9" w:rsidRPr="001D32B8" w:rsidRDefault="00837BB9" w:rsidP="0027007E">
      <w:pPr>
        <w:jc w:val="both"/>
        <w:rPr>
          <w:rFonts w:ascii="Verdana" w:eastAsia="Times New Roman" w:hAnsi="Verdana" w:cs="Times New Roman"/>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Arial"/>
          <w:i/>
          <w:iCs/>
          <w:sz w:val="16"/>
          <w:szCs w:val="16"/>
          <w:lang w:val="es-ES"/>
        </w:rPr>
        <w:t xml:space="preserve">Cfr. </w:t>
      </w:r>
      <w:r w:rsidRPr="001D32B8">
        <w:rPr>
          <w:rFonts w:ascii="Verdana" w:eastAsia="Times New Roman" w:hAnsi="Verdana" w:cs="Times New Roman"/>
          <w:bCs/>
          <w:i/>
          <w:color w:val="000000"/>
          <w:sz w:val="16"/>
          <w:szCs w:val="16"/>
          <w:lang w:val="es-MX"/>
        </w:rPr>
        <w:t>Caso Herrera Ulloa Vs. Costa Rica. Excepciones Preliminares, Fondo, Reparaciones y Costas</w:t>
      </w:r>
      <w:r w:rsidRPr="001D32B8">
        <w:rPr>
          <w:rFonts w:ascii="Verdana" w:eastAsia="Times New Roman" w:hAnsi="Verdana" w:cs="Times New Roman"/>
          <w:bCs/>
          <w:color w:val="000000"/>
          <w:sz w:val="16"/>
          <w:szCs w:val="16"/>
          <w:lang w:val="es-MX"/>
        </w:rPr>
        <w:t xml:space="preserve">. Sentencia de 2 de julio de 2004. Serie C No. 107, </w:t>
      </w:r>
      <w:r w:rsidRPr="001D32B8">
        <w:rPr>
          <w:rFonts w:ascii="Verdana" w:hAnsi="Verdana" w:cs="Arial"/>
          <w:sz w:val="16"/>
          <w:szCs w:val="16"/>
          <w:lang w:val="es-ES"/>
        </w:rPr>
        <w:t xml:space="preserve">párr. 171 y </w:t>
      </w:r>
      <w:r w:rsidRPr="001D32B8">
        <w:rPr>
          <w:rFonts w:ascii="Verdana" w:eastAsia="Times New Roman" w:hAnsi="Verdana" w:cs="Times New Roman"/>
          <w:bCs/>
          <w:i/>
          <w:color w:val="000000"/>
          <w:sz w:val="16"/>
          <w:szCs w:val="16"/>
          <w:lang w:val="es-MX"/>
        </w:rPr>
        <w:t xml:space="preserve">Caso </w:t>
      </w:r>
      <w:proofErr w:type="spellStart"/>
      <w:r w:rsidRPr="001D32B8">
        <w:rPr>
          <w:rFonts w:ascii="Verdana" w:eastAsia="Times New Roman" w:hAnsi="Verdana" w:cs="Times New Roman"/>
          <w:bCs/>
          <w:i/>
          <w:color w:val="000000"/>
          <w:sz w:val="16"/>
          <w:szCs w:val="16"/>
          <w:lang w:val="es-MX"/>
        </w:rPr>
        <w:t>Palamara</w:t>
      </w:r>
      <w:proofErr w:type="spellEnd"/>
      <w:r w:rsidRPr="001D32B8">
        <w:rPr>
          <w:rFonts w:ascii="Verdana" w:eastAsia="Times New Roman" w:hAnsi="Verdana" w:cs="Times New Roman"/>
          <w:bCs/>
          <w:i/>
          <w:color w:val="000000"/>
          <w:sz w:val="16"/>
          <w:szCs w:val="16"/>
          <w:lang w:val="es-MX"/>
        </w:rPr>
        <w:t xml:space="preserve"> Iribarne Vs. Chile. Fondo, Reparaciones y Costas.</w:t>
      </w:r>
      <w:r w:rsidRPr="001D32B8">
        <w:rPr>
          <w:rFonts w:ascii="Verdana" w:eastAsia="Times New Roman" w:hAnsi="Verdana" w:cs="Times New Roman"/>
          <w:bCs/>
          <w:color w:val="000000"/>
          <w:sz w:val="16"/>
          <w:szCs w:val="16"/>
          <w:lang w:val="es-MX"/>
        </w:rPr>
        <w:t xml:space="preserve"> Sentencia de 22 de noviembre de 2005. Serie C No. 135, </w:t>
      </w:r>
      <w:r w:rsidRPr="001D32B8">
        <w:rPr>
          <w:rFonts w:ascii="Verdana" w:hAnsi="Verdana" w:cs="Arial"/>
          <w:sz w:val="16"/>
          <w:szCs w:val="16"/>
          <w:lang w:val="es-ES"/>
        </w:rPr>
        <w:t>párr. 145.</w:t>
      </w:r>
    </w:p>
  </w:footnote>
  <w:footnote w:id="360">
    <w:p w14:paraId="4966D5E0" w14:textId="77777777" w:rsidR="00837BB9" w:rsidRPr="001D32B8" w:rsidRDefault="00837BB9" w:rsidP="0027007E">
      <w:pPr>
        <w:pStyle w:val="FootnoteText"/>
        <w:jc w:val="both"/>
        <w:rPr>
          <w:rFonts w:ascii="Verdana" w:hAnsi="Verdana"/>
          <w:sz w:val="16"/>
          <w:szCs w:val="16"/>
          <w:lang w:val="es-AR"/>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Arial"/>
          <w:i/>
          <w:iCs/>
          <w:sz w:val="16"/>
          <w:szCs w:val="16"/>
          <w:lang w:val="es-ES"/>
        </w:rPr>
        <w:t xml:space="preserve">Cfr. </w:t>
      </w:r>
      <w:r w:rsidRPr="001D32B8">
        <w:rPr>
          <w:rFonts w:ascii="Verdana" w:hAnsi="Verdana"/>
          <w:bCs/>
          <w:i/>
          <w:color w:val="000000"/>
          <w:sz w:val="16"/>
          <w:szCs w:val="16"/>
          <w:lang w:val="es-MX"/>
        </w:rPr>
        <w:t>Caso Herrera Ulloa Vs. Costa Rica. Excepciones Preliminares, Fondo, Reparaciones y Costas</w:t>
      </w:r>
      <w:r w:rsidRPr="001D32B8">
        <w:rPr>
          <w:rFonts w:ascii="Verdana" w:hAnsi="Verdana"/>
          <w:bCs/>
          <w:color w:val="000000"/>
          <w:sz w:val="16"/>
          <w:szCs w:val="16"/>
          <w:lang w:val="es-MX"/>
        </w:rPr>
        <w:t xml:space="preserve">. Sentencia de 2 de julio de 2004. Serie C No. 107, </w:t>
      </w:r>
      <w:r w:rsidRPr="001D32B8">
        <w:rPr>
          <w:rFonts w:ascii="Verdana" w:hAnsi="Verdana" w:cs="Arial"/>
          <w:sz w:val="16"/>
          <w:szCs w:val="16"/>
          <w:lang w:val="es-ES"/>
        </w:rPr>
        <w:t xml:space="preserve">párr. 171. </w:t>
      </w:r>
    </w:p>
    <w:p w14:paraId="0927DE80" w14:textId="77777777" w:rsidR="00837BB9" w:rsidRPr="001D32B8" w:rsidRDefault="00837BB9" w:rsidP="0027007E">
      <w:pPr>
        <w:pStyle w:val="FootnoteText"/>
        <w:jc w:val="both"/>
        <w:rPr>
          <w:rFonts w:ascii="Verdana" w:hAnsi="Verdana"/>
          <w:sz w:val="16"/>
          <w:szCs w:val="16"/>
          <w:lang w:val="es-AR"/>
        </w:rPr>
      </w:pPr>
    </w:p>
  </w:footnote>
  <w:footnote w:id="361">
    <w:p w14:paraId="72FE6C60" w14:textId="0FD2C7CA"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Arial"/>
          <w:i/>
          <w:iCs/>
          <w:sz w:val="16"/>
          <w:szCs w:val="16"/>
          <w:lang w:val="es-ES"/>
        </w:rPr>
        <w:t xml:space="preserve">Cfr. </w:t>
      </w:r>
      <w:r w:rsidRPr="001D32B8">
        <w:rPr>
          <w:rFonts w:ascii="Verdana" w:hAnsi="Verdana"/>
          <w:bCs/>
          <w:i/>
          <w:color w:val="000000"/>
          <w:sz w:val="16"/>
          <w:szCs w:val="16"/>
          <w:lang w:val="es-MX"/>
        </w:rPr>
        <w:t xml:space="preserve">Caso </w:t>
      </w:r>
      <w:proofErr w:type="spellStart"/>
      <w:r w:rsidRPr="001D32B8">
        <w:rPr>
          <w:rFonts w:ascii="Verdana" w:hAnsi="Verdana"/>
          <w:bCs/>
          <w:i/>
          <w:color w:val="000000"/>
          <w:sz w:val="16"/>
          <w:szCs w:val="16"/>
          <w:lang w:val="es-MX"/>
        </w:rPr>
        <w:t>Palamara</w:t>
      </w:r>
      <w:proofErr w:type="spellEnd"/>
      <w:r w:rsidRPr="001D32B8">
        <w:rPr>
          <w:rFonts w:ascii="Verdana" w:hAnsi="Verdana"/>
          <w:bCs/>
          <w:i/>
          <w:color w:val="000000"/>
          <w:sz w:val="16"/>
          <w:szCs w:val="16"/>
          <w:lang w:val="es-MX"/>
        </w:rPr>
        <w:t xml:space="preserve"> Iribarne Vs. Chile. Fondo, Reparaciones y Costas.</w:t>
      </w:r>
      <w:r w:rsidRPr="001D32B8">
        <w:rPr>
          <w:rFonts w:ascii="Verdana" w:hAnsi="Verdana"/>
          <w:bCs/>
          <w:color w:val="000000"/>
          <w:sz w:val="16"/>
          <w:szCs w:val="16"/>
          <w:lang w:val="es-MX"/>
        </w:rPr>
        <w:t xml:space="preserve"> Sentencia de 22 de noviembre de 2005. Serie C No. 135, </w:t>
      </w:r>
      <w:r w:rsidRPr="001D32B8">
        <w:rPr>
          <w:rFonts w:ascii="Verdana" w:hAnsi="Verdana" w:cs="Arial"/>
          <w:sz w:val="16"/>
          <w:szCs w:val="16"/>
          <w:lang w:val="es-ES"/>
        </w:rPr>
        <w:t xml:space="preserve">párr. 146; </w:t>
      </w:r>
      <w:hyperlink r:id="rId36" w:history="1">
        <w:r w:rsidRPr="001D32B8">
          <w:rPr>
            <w:rFonts w:ascii="Verdana" w:hAnsi="Verdana" w:cs="Arial"/>
            <w:i/>
            <w:sz w:val="16"/>
            <w:szCs w:val="16"/>
            <w:lang w:val="es-ES"/>
          </w:rPr>
          <w:t xml:space="preserve">Caso </w:t>
        </w:r>
        <w:proofErr w:type="spellStart"/>
        <w:r w:rsidRPr="001D32B8">
          <w:rPr>
            <w:rFonts w:ascii="Verdana" w:hAnsi="Verdana" w:cs="Arial"/>
            <w:i/>
            <w:sz w:val="16"/>
            <w:szCs w:val="16"/>
            <w:lang w:val="es-ES"/>
          </w:rPr>
          <w:t>Usón</w:t>
        </w:r>
        <w:proofErr w:type="spellEnd"/>
        <w:r w:rsidRPr="001D32B8">
          <w:rPr>
            <w:rFonts w:ascii="Verdana" w:hAnsi="Verdana" w:cs="Arial"/>
            <w:i/>
            <w:sz w:val="16"/>
            <w:szCs w:val="16"/>
            <w:lang w:val="es-ES"/>
          </w:rPr>
          <w:t xml:space="preserve"> Ramírez Vs. Venezuela. Excepción Preliminar, Fondo, Reparaciones y Costas</w:t>
        </w:r>
        <w:r w:rsidRPr="001D32B8">
          <w:rPr>
            <w:rFonts w:ascii="Verdana" w:hAnsi="Verdana" w:cs="Arial"/>
            <w:sz w:val="16"/>
            <w:szCs w:val="16"/>
            <w:lang w:val="es-ES"/>
          </w:rPr>
          <w:t>. Sentencia de 20 de noviembre de 2009. Serie C No. 207, párr. 117</w:t>
        </w:r>
      </w:hyperlink>
      <w:r w:rsidRPr="001D32B8">
        <w:rPr>
          <w:rFonts w:ascii="Verdana" w:hAnsi="Verdana" w:cs="Arial"/>
          <w:sz w:val="16"/>
          <w:szCs w:val="16"/>
          <w:lang w:val="es-ES"/>
        </w:rPr>
        <w:t xml:space="preserve">. </w:t>
      </w:r>
      <w:r w:rsidRPr="001D32B8">
        <w:rPr>
          <w:rFonts w:ascii="Verdana" w:hAnsi="Verdana"/>
          <w:sz w:val="16"/>
          <w:szCs w:val="16"/>
        </w:rPr>
        <w:tab/>
      </w:r>
    </w:p>
  </w:footnote>
  <w:footnote w:id="362">
    <w:p w14:paraId="2590A227" w14:textId="77777777" w:rsidR="00837BB9" w:rsidRPr="001D32B8" w:rsidRDefault="00837BB9" w:rsidP="0027007E">
      <w:pPr>
        <w:pStyle w:val="FootnoteText"/>
        <w:tabs>
          <w:tab w:val="left" w:pos="567"/>
        </w:tabs>
        <w:spacing w:before="120" w:after="120"/>
        <w:jc w:val="both"/>
        <w:rPr>
          <w:rFonts w:ascii="Verdana" w:hAnsi="Verdana" w:cs="Arial"/>
          <w:sz w:val="16"/>
          <w:szCs w:val="16"/>
        </w:rPr>
      </w:pPr>
      <w:r w:rsidRPr="001D32B8">
        <w:rPr>
          <w:rStyle w:val="FootnoteReference"/>
          <w:rFonts w:ascii="Verdana" w:hAnsi="Verdana"/>
          <w:sz w:val="16"/>
          <w:szCs w:val="16"/>
        </w:rPr>
        <w:footnoteRef/>
      </w:r>
      <w:r w:rsidRPr="001D32B8">
        <w:rPr>
          <w:rStyle w:val="FootnoteReference"/>
          <w:rFonts w:ascii="Verdana" w:hAnsi="Verdana"/>
          <w:sz w:val="16"/>
        </w:rPr>
        <w:t xml:space="preserve"> </w:t>
      </w:r>
      <w:r w:rsidRPr="001D32B8">
        <w:rPr>
          <w:rFonts w:ascii="Verdana" w:hAnsi="Verdana" w:cs="Arial"/>
          <w:sz w:val="16"/>
          <w:szCs w:val="16"/>
        </w:rPr>
        <w:tab/>
      </w:r>
      <w:r>
        <w:rPr>
          <w:rFonts w:ascii="Verdana" w:hAnsi="Verdana" w:cs="Arial"/>
          <w:sz w:val="16"/>
          <w:szCs w:val="16"/>
        </w:rPr>
        <w:tab/>
      </w:r>
      <w:r w:rsidRPr="001D32B8">
        <w:rPr>
          <w:rFonts w:ascii="Verdana" w:hAnsi="Verdana" w:cs="Arial"/>
          <w:i/>
          <w:sz w:val="16"/>
          <w:szCs w:val="16"/>
          <w:lang w:val="es-CL"/>
        </w:rPr>
        <w:t xml:space="preserve">Cfr.  Caso </w:t>
      </w:r>
      <w:proofErr w:type="spellStart"/>
      <w:r w:rsidRPr="001D32B8">
        <w:rPr>
          <w:rFonts w:ascii="Verdana" w:hAnsi="Verdana" w:cs="Arial"/>
          <w:i/>
          <w:sz w:val="16"/>
          <w:szCs w:val="16"/>
          <w:lang w:val="es-CL"/>
        </w:rPr>
        <w:t>Apitz</w:t>
      </w:r>
      <w:proofErr w:type="spellEnd"/>
      <w:r w:rsidRPr="001D32B8">
        <w:rPr>
          <w:rFonts w:ascii="Verdana" w:hAnsi="Verdana" w:cs="Arial"/>
          <w:i/>
          <w:sz w:val="16"/>
          <w:szCs w:val="16"/>
          <w:lang w:val="es-CL"/>
        </w:rPr>
        <w:t xml:space="preserve"> Barbera y otros (“Corte Primera de lo Contencioso Administrativo”) Vs. Venezuela.</w:t>
      </w:r>
      <w:r w:rsidRPr="001D32B8">
        <w:rPr>
          <w:rFonts w:ascii="Verdana" w:hAnsi="Verdana" w:cs="Arial"/>
          <w:sz w:val="16"/>
          <w:szCs w:val="16"/>
          <w:lang w:val="es-CL"/>
        </w:rPr>
        <w:t xml:space="preserve"> </w:t>
      </w:r>
      <w:r w:rsidRPr="001D32B8">
        <w:rPr>
          <w:rFonts w:ascii="Verdana" w:hAnsi="Verdana"/>
          <w:i/>
          <w:sz w:val="16"/>
          <w:szCs w:val="16"/>
        </w:rPr>
        <w:t>Excepción Preliminar, Fondo, Reparaciones y Costas</w:t>
      </w:r>
      <w:r w:rsidRPr="001D32B8">
        <w:rPr>
          <w:rFonts w:ascii="Verdana" w:hAnsi="Verdana"/>
          <w:sz w:val="16"/>
          <w:szCs w:val="16"/>
        </w:rPr>
        <w:t xml:space="preserve">. Sentencia de 5 de agosto de 2008. Serie C No. 182, </w:t>
      </w:r>
      <w:r w:rsidRPr="001D32B8">
        <w:rPr>
          <w:rFonts w:ascii="Verdana" w:hAnsi="Verdana" w:cs="Arial"/>
          <w:sz w:val="16"/>
          <w:szCs w:val="16"/>
          <w:lang w:val="es-CL"/>
        </w:rPr>
        <w:t xml:space="preserve">párr. 55, y </w:t>
      </w:r>
      <w:r w:rsidRPr="001D32B8">
        <w:rPr>
          <w:rFonts w:ascii="Verdana" w:hAnsi="Verdana"/>
          <w:i/>
          <w:sz w:val="16"/>
          <w:szCs w:val="16"/>
        </w:rPr>
        <w:t>Caso Acosta y otros Vs. Nicaragua</w:t>
      </w:r>
      <w:r w:rsidRPr="001D32B8">
        <w:rPr>
          <w:rFonts w:ascii="Verdana" w:hAnsi="Verdana"/>
          <w:sz w:val="16"/>
          <w:szCs w:val="16"/>
        </w:rPr>
        <w:t xml:space="preserve">. </w:t>
      </w:r>
      <w:r w:rsidRPr="001D32B8">
        <w:rPr>
          <w:rFonts w:ascii="Verdana" w:hAnsi="Verdana"/>
          <w:i/>
          <w:sz w:val="16"/>
          <w:szCs w:val="16"/>
          <w:lang w:val="es-CR"/>
        </w:rPr>
        <w:t>Excepciones Preliminares, Fondo, Reparaciones y Costas</w:t>
      </w:r>
      <w:r w:rsidRPr="001D32B8">
        <w:rPr>
          <w:rFonts w:ascii="Verdana" w:hAnsi="Verdana"/>
          <w:sz w:val="16"/>
          <w:szCs w:val="16"/>
          <w:lang w:val="es-CR"/>
        </w:rPr>
        <w:t>. Sentencia de 25 de marzo de 2017. Serie C No. 334</w:t>
      </w:r>
      <w:r w:rsidRPr="001D32B8">
        <w:rPr>
          <w:rFonts w:ascii="Verdana" w:hAnsi="Verdana"/>
          <w:i/>
          <w:sz w:val="16"/>
          <w:szCs w:val="16"/>
        </w:rPr>
        <w:t xml:space="preserve">, </w:t>
      </w:r>
      <w:r w:rsidRPr="001D32B8">
        <w:rPr>
          <w:rFonts w:ascii="Verdana" w:hAnsi="Verdana"/>
          <w:sz w:val="16"/>
          <w:szCs w:val="16"/>
        </w:rPr>
        <w:t>párr. 171</w:t>
      </w:r>
      <w:r w:rsidRPr="001D32B8">
        <w:rPr>
          <w:rFonts w:ascii="Verdana" w:hAnsi="Verdana" w:cs="Arial"/>
          <w:sz w:val="16"/>
          <w:szCs w:val="16"/>
        </w:rPr>
        <w:t>.</w:t>
      </w:r>
    </w:p>
  </w:footnote>
  <w:footnote w:id="363">
    <w:p w14:paraId="38A96EA3" w14:textId="77777777" w:rsidR="00837BB9" w:rsidRPr="001D32B8" w:rsidRDefault="00837BB9" w:rsidP="0027007E">
      <w:pPr>
        <w:pStyle w:val="FootnoteText"/>
        <w:tabs>
          <w:tab w:val="left" w:pos="567"/>
        </w:tabs>
        <w:spacing w:before="120" w:after="120"/>
        <w:jc w:val="both"/>
        <w:rPr>
          <w:rFonts w:ascii="Verdana" w:hAnsi="Verdana" w:cs="Arial"/>
          <w:color w:val="000000" w:themeColor="text1"/>
          <w:sz w:val="16"/>
          <w:szCs w:val="16"/>
        </w:rPr>
      </w:pPr>
      <w:r w:rsidRPr="001D32B8">
        <w:rPr>
          <w:rStyle w:val="FootnoteReference"/>
          <w:rFonts w:ascii="Verdana" w:hAnsi="Verdana"/>
          <w:sz w:val="16"/>
          <w:szCs w:val="16"/>
        </w:rPr>
        <w:footnoteRef/>
      </w:r>
      <w:r w:rsidRPr="001D32B8">
        <w:rPr>
          <w:rFonts w:ascii="Verdana" w:hAnsi="Verdana" w:cs="Arial"/>
          <w:sz w:val="16"/>
          <w:szCs w:val="16"/>
        </w:rPr>
        <w:t xml:space="preserve"> </w:t>
      </w:r>
      <w:r w:rsidRPr="001D32B8">
        <w:rPr>
          <w:rFonts w:ascii="Verdana" w:hAnsi="Verdana" w:cs="Arial"/>
          <w:sz w:val="16"/>
          <w:szCs w:val="16"/>
        </w:rPr>
        <w:tab/>
      </w:r>
      <w:r>
        <w:rPr>
          <w:rFonts w:ascii="Verdana" w:hAnsi="Verdana" w:cs="Arial"/>
          <w:sz w:val="16"/>
          <w:szCs w:val="16"/>
        </w:rPr>
        <w:tab/>
      </w:r>
      <w:r w:rsidRPr="001D32B8">
        <w:rPr>
          <w:rFonts w:ascii="Verdana" w:hAnsi="Verdana" w:cs="Arial"/>
          <w:i/>
          <w:sz w:val="16"/>
          <w:szCs w:val="16"/>
          <w:lang w:val="es-CL"/>
        </w:rPr>
        <w:t>Cfr. Caso del Tribunal Constitucional Vs. Perú</w:t>
      </w:r>
      <w:r w:rsidRPr="001D32B8">
        <w:rPr>
          <w:rFonts w:ascii="Verdana" w:hAnsi="Verdana" w:cs="Arial"/>
          <w:bCs/>
          <w:i/>
          <w:sz w:val="16"/>
          <w:szCs w:val="16"/>
          <w:lang w:val="es-CR"/>
        </w:rPr>
        <w:t xml:space="preserve">. Fondo, Reparaciones y Costas. </w:t>
      </w:r>
      <w:r w:rsidRPr="001D32B8">
        <w:rPr>
          <w:rFonts w:ascii="Verdana" w:hAnsi="Verdana" w:cs="Arial"/>
          <w:bCs/>
          <w:sz w:val="16"/>
          <w:szCs w:val="16"/>
          <w:lang w:val="es-CR"/>
        </w:rPr>
        <w:t>Sentencia de 31 de enero de 2001. Serie C No. 71</w:t>
      </w:r>
      <w:r w:rsidRPr="001D32B8">
        <w:rPr>
          <w:rFonts w:ascii="Verdana" w:hAnsi="Verdana" w:cs="Arial"/>
          <w:sz w:val="16"/>
          <w:szCs w:val="16"/>
          <w:lang w:val="es-CL"/>
        </w:rPr>
        <w:t xml:space="preserve">, párr. 75, y </w:t>
      </w:r>
      <w:r w:rsidRPr="001D32B8">
        <w:rPr>
          <w:rFonts w:ascii="Verdana" w:hAnsi="Verdana"/>
          <w:i/>
          <w:sz w:val="16"/>
          <w:szCs w:val="16"/>
        </w:rPr>
        <w:t>Caso Acosta y otros Vs. Nicaragua</w:t>
      </w:r>
      <w:r>
        <w:rPr>
          <w:rFonts w:ascii="Verdana" w:hAnsi="Verdana"/>
          <w:sz w:val="16"/>
          <w:szCs w:val="16"/>
        </w:rPr>
        <w:t xml:space="preserve">. </w:t>
      </w:r>
      <w:r w:rsidRPr="001D32B8">
        <w:rPr>
          <w:rFonts w:ascii="Verdana" w:hAnsi="Verdana"/>
          <w:i/>
          <w:sz w:val="16"/>
          <w:szCs w:val="16"/>
          <w:lang w:val="es-CR"/>
        </w:rPr>
        <w:t>Excepciones Preliminares, Fondo, Reparaciones y Costas</w:t>
      </w:r>
      <w:r w:rsidRPr="001D32B8">
        <w:rPr>
          <w:rFonts w:ascii="Verdana" w:hAnsi="Verdana"/>
          <w:sz w:val="16"/>
          <w:szCs w:val="16"/>
          <w:lang w:val="es-CR"/>
        </w:rPr>
        <w:t>. Sentencia de 25 de marzo de 2017. Serie C No. 334</w:t>
      </w:r>
      <w:r w:rsidRPr="001D32B8">
        <w:rPr>
          <w:rFonts w:ascii="Verdana" w:hAnsi="Verdana"/>
          <w:i/>
          <w:sz w:val="16"/>
          <w:szCs w:val="16"/>
        </w:rPr>
        <w:t xml:space="preserve">, </w:t>
      </w:r>
      <w:r w:rsidRPr="001D32B8">
        <w:rPr>
          <w:rFonts w:ascii="Verdana" w:hAnsi="Verdana"/>
          <w:sz w:val="16"/>
          <w:szCs w:val="16"/>
        </w:rPr>
        <w:t>párr. 171</w:t>
      </w:r>
      <w:r w:rsidRPr="001D32B8">
        <w:rPr>
          <w:rFonts w:ascii="Verdana" w:hAnsi="Verdana" w:cs="Arial"/>
          <w:sz w:val="16"/>
          <w:szCs w:val="16"/>
        </w:rPr>
        <w:t xml:space="preserve">. </w:t>
      </w:r>
      <w:r w:rsidRPr="001D32B8">
        <w:rPr>
          <w:rFonts w:ascii="Verdana" w:hAnsi="Verdana" w:cs="Arial"/>
          <w:sz w:val="16"/>
          <w:szCs w:val="16"/>
          <w:lang w:val="es-ES"/>
        </w:rPr>
        <w:t>Ver también:</w:t>
      </w:r>
      <w:r w:rsidRPr="001D32B8">
        <w:rPr>
          <w:rFonts w:ascii="Verdana" w:hAnsi="Verdana" w:cs="Arial"/>
          <w:i/>
          <w:sz w:val="16"/>
          <w:szCs w:val="16"/>
          <w:lang w:val="es-ES"/>
        </w:rPr>
        <w:t xml:space="preserve"> </w:t>
      </w:r>
      <w:r w:rsidRPr="001D32B8">
        <w:rPr>
          <w:rFonts w:ascii="Verdana" w:hAnsi="Verdana" w:cs="Arial"/>
          <w:sz w:val="16"/>
          <w:szCs w:val="16"/>
          <w:lang w:val="es-ES"/>
        </w:rPr>
        <w:t xml:space="preserve">TEDH, </w:t>
      </w:r>
      <w:r w:rsidRPr="001D32B8">
        <w:rPr>
          <w:rFonts w:ascii="Verdana" w:hAnsi="Verdana" w:cs="Arial"/>
          <w:i/>
          <w:sz w:val="16"/>
          <w:szCs w:val="16"/>
          <w:lang w:val="es-ES"/>
        </w:rPr>
        <w:t xml:space="preserve">Campbell y </w:t>
      </w:r>
      <w:proofErr w:type="spellStart"/>
      <w:r w:rsidRPr="001D32B8">
        <w:rPr>
          <w:rFonts w:ascii="Verdana" w:hAnsi="Verdana" w:cs="Arial"/>
          <w:i/>
          <w:sz w:val="16"/>
          <w:szCs w:val="16"/>
          <w:lang w:val="es-ES"/>
        </w:rPr>
        <w:t>Fell</w:t>
      </w:r>
      <w:proofErr w:type="spellEnd"/>
      <w:r w:rsidRPr="001D32B8">
        <w:rPr>
          <w:rFonts w:ascii="Verdana" w:hAnsi="Verdana" w:cs="Arial"/>
          <w:i/>
          <w:sz w:val="16"/>
          <w:szCs w:val="16"/>
          <w:lang w:val="es-ES"/>
        </w:rPr>
        <w:t xml:space="preserve"> Vs. Reino Unido</w:t>
      </w:r>
      <w:r w:rsidRPr="001D32B8">
        <w:rPr>
          <w:rFonts w:ascii="Verdana" w:hAnsi="Verdana" w:cs="Arial"/>
          <w:sz w:val="16"/>
          <w:szCs w:val="16"/>
          <w:lang w:val="es-ES"/>
        </w:rPr>
        <w:t>, (No.</w:t>
      </w:r>
      <w:r w:rsidRPr="001D32B8">
        <w:rPr>
          <w:rFonts w:ascii="Verdana" w:hAnsi="Verdana"/>
          <w:sz w:val="16"/>
          <w:szCs w:val="16"/>
        </w:rPr>
        <w:t xml:space="preserve"> </w:t>
      </w:r>
      <w:r w:rsidRPr="001D32B8">
        <w:rPr>
          <w:rFonts w:ascii="Verdana" w:hAnsi="Verdana" w:cs="Arial"/>
          <w:sz w:val="16"/>
          <w:szCs w:val="16"/>
          <w:lang w:val="es-ES"/>
        </w:rPr>
        <w:t xml:space="preserve">7819/77; 7878/77), Sentencia de 28 de junio de 1984, párr. 78, y TEDH, </w:t>
      </w:r>
      <w:proofErr w:type="spellStart"/>
      <w:r w:rsidRPr="001D32B8">
        <w:rPr>
          <w:rFonts w:ascii="Verdana" w:hAnsi="Verdana" w:cs="Arial"/>
          <w:i/>
          <w:sz w:val="16"/>
          <w:szCs w:val="16"/>
          <w:lang w:val="es-ES"/>
        </w:rPr>
        <w:t>Langborger</w:t>
      </w:r>
      <w:proofErr w:type="spellEnd"/>
      <w:r w:rsidRPr="001D32B8">
        <w:rPr>
          <w:rFonts w:ascii="Verdana" w:hAnsi="Verdana" w:cs="Arial"/>
          <w:sz w:val="16"/>
          <w:szCs w:val="16"/>
          <w:lang w:val="es-ES"/>
        </w:rPr>
        <w:t xml:space="preserve"> </w:t>
      </w:r>
      <w:r w:rsidRPr="001D32B8">
        <w:rPr>
          <w:rFonts w:ascii="Verdana" w:hAnsi="Verdana" w:cs="Arial"/>
          <w:i/>
          <w:sz w:val="16"/>
          <w:szCs w:val="16"/>
          <w:lang w:val="es-ES"/>
        </w:rPr>
        <w:t>Vs. Suecia</w:t>
      </w:r>
      <w:r w:rsidRPr="001D32B8">
        <w:rPr>
          <w:rFonts w:ascii="Verdana" w:hAnsi="Verdana" w:cs="Arial"/>
          <w:sz w:val="16"/>
          <w:szCs w:val="16"/>
          <w:lang w:val="es-ES"/>
        </w:rPr>
        <w:t>, (No.</w:t>
      </w:r>
      <w:r w:rsidRPr="001D32B8">
        <w:rPr>
          <w:rFonts w:ascii="Verdana" w:hAnsi="Verdana"/>
          <w:sz w:val="16"/>
          <w:szCs w:val="16"/>
        </w:rPr>
        <w:t xml:space="preserve"> </w:t>
      </w:r>
      <w:r w:rsidRPr="001D32B8">
        <w:rPr>
          <w:rFonts w:ascii="Verdana" w:hAnsi="Verdana" w:cs="Arial"/>
          <w:sz w:val="16"/>
          <w:szCs w:val="16"/>
          <w:lang w:val="es-ES"/>
        </w:rPr>
        <w:t xml:space="preserve">11179/84), Sentencia de 22 de junio de 1989, párr. </w:t>
      </w:r>
      <w:r w:rsidRPr="001D32B8">
        <w:rPr>
          <w:rFonts w:ascii="Verdana" w:hAnsi="Verdana" w:cs="Arial"/>
          <w:sz w:val="16"/>
          <w:szCs w:val="16"/>
        </w:rPr>
        <w:t>32. Asimismo, ver: Principios Básicos de las Naciones Unidas relativos a la Independencia de la Judicatura, adoptados por el Séptimo Congreso de las Naciones Unidas sobre Prevención del Delito y Tratamiento del Delincuente, celebrado en Milán del 26 de agosto al 6 de septiembre de 1985, y confirmados por la Asamblea General en sus resoluciones 40/32 de 29 de noviembre de 1985 y 40/146 de 13 de diciembre de 1985,</w:t>
      </w:r>
      <w:r w:rsidRPr="001D32B8">
        <w:rPr>
          <w:rFonts w:ascii="Verdana" w:hAnsi="Verdana" w:cs="Arial"/>
          <w:i/>
          <w:sz w:val="16"/>
          <w:szCs w:val="16"/>
        </w:rPr>
        <w:t xml:space="preserve"> </w:t>
      </w:r>
      <w:r w:rsidRPr="001D32B8">
        <w:rPr>
          <w:rFonts w:ascii="Verdana" w:hAnsi="Verdana" w:cs="Arial"/>
          <w:sz w:val="16"/>
          <w:szCs w:val="16"/>
        </w:rPr>
        <w:t xml:space="preserve">principios 2, y 4, disponible en: </w:t>
      </w:r>
      <w:hyperlink r:id="rId37" w:history="1">
        <w:r w:rsidRPr="001D32B8">
          <w:rPr>
            <w:rStyle w:val="Hyperlink"/>
            <w:rFonts w:ascii="Verdana" w:hAnsi="Verdana" w:cs="Arial"/>
            <w:color w:val="000000" w:themeColor="text1"/>
            <w:sz w:val="16"/>
            <w:szCs w:val="16"/>
          </w:rPr>
          <w:t>http://www.ohchr.org/SP/ProfessionalInterest/Pages/IndependenceJudiciary.aspx</w:t>
        </w:r>
      </w:hyperlink>
      <w:r w:rsidRPr="001D32B8">
        <w:rPr>
          <w:rFonts w:ascii="Verdana" w:hAnsi="Verdana" w:cs="Arial"/>
          <w:color w:val="000000" w:themeColor="text1"/>
          <w:sz w:val="16"/>
          <w:szCs w:val="16"/>
        </w:rPr>
        <w:t>.</w:t>
      </w:r>
    </w:p>
  </w:footnote>
  <w:footnote w:id="364">
    <w:p w14:paraId="57062D18" w14:textId="77777777" w:rsidR="00837BB9" w:rsidRPr="001D32B8" w:rsidRDefault="00837BB9" w:rsidP="0027007E">
      <w:pPr>
        <w:pStyle w:val="FootnoteText"/>
        <w:tabs>
          <w:tab w:val="left" w:pos="567"/>
        </w:tabs>
        <w:spacing w:before="120" w:after="120"/>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Pr>
          <w:rFonts w:ascii="Verdana" w:hAnsi="Verdana"/>
          <w:sz w:val="16"/>
          <w:szCs w:val="16"/>
        </w:rPr>
        <w:tab/>
      </w:r>
      <w:r w:rsidRPr="001D32B8">
        <w:rPr>
          <w:rFonts w:ascii="Verdana" w:hAnsi="Verdana"/>
          <w:i/>
          <w:sz w:val="16"/>
          <w:szCs w:val="16"/>
        </w:rPr>
        <w:t xml:space="preserve">Cfr. Caso </w:t>
      </w:r>
      <w:proofErr w:type="spellStart"/>
      <w:r w:rsidRPr="001D32B8">
        <w:rPr>
          <w:rFonts w:ascii="Verdana" w:hAnsi="Verdana"/>
          <w:i/>
          <w:sz w:val="16"/>
          <w:szCs w:val="16"/>
        </w:rPr>
        <w:t>Reverón</w:t>
      </w:r>
      <w:proofErr w:type="spellEnd"/>
      <w:r w:rsidRPr="001D32B8">
        <w:rPr>
          <w:rFonts w:ascii="Verdana" w:hAnsi="Verdana"/>
          <w:i/>
          <w:sz w:val="16"/>
          <w:szCs w:val="16"/>
        </w:rPr>
        <w:t xml:space="preserve"> Trujillo Vs. Venezuela</w:t>
      </w:r>
      <w:r w:rsidRPr="001D32B8">
        <w:rPr>
          <w:rFonts w:ascii="Verdana" w:hAnsi="Verdana"/>
          <w:i/>
          <w:sz w:val="16"/>
          <w:szCs w:val="16"/>
          <w:lang w:val="es-VE"/>
        </w:rPr>
        <w:t>. Excepción Preliminar, Fondo, Reparaciones y Costas</w:t>
      </w:r>
      <w:r w:rsidRPr="001D32B8">
        <w:rPr>
          <w:rFonts w:ascii="Verdana" w:hAnsi="Verdana"/>
          <w:sz w:val="16"/>
          <w:szCs w:val="16"/>
          <w:lang w:val="es-VE"/>
        </w:rPr>
        <w:t>. Sentencia de 30 de junio de 2009. Serie C No. 197</w:t>
      </w:r>
      <w:r w:rsidRPr="001D32B8">
        <w:rPr>
          <w:rFonts w:ascii="Verdana" w:hAnsi="Verdana"/>
          <w:sz w:val="16"/>
          <w:szCs w:val="16"/>
        </w:rPr>
        <w:t xml:space="preserve">, párr. 146, y </w:t>
      </w:r>
      <w:r w:rsidRPr="001D32B8">
        <w:rPr>
          <w:rFonts w:ascii="Verdana" w:hAnsi="Verdana"/>
          <w:i/>
          <w:sz w:val="16"/>
          <w:szCs w:val="16"/>
        </w:rPr>
        <w:t xml:space="preserve">Caso </w:t>
      </w:r>
      <w:proofErr w:type="spellStart"/>
      <w:r w:rsidRPr="001D32B8">
        <w:rPr>
          <w:rFonts w:ascii="Verdana" w:hAnsi="Verdana"/>
          <w:i/>
          <w:sz w:val="16"/>
          <w:szCs w:val="16"/>
        </w:rPr>
        <w:t>Atala</w:t>
      </w:r>
      <w:proofErr w:type="spellEnd"/>
      <w:r w:rsidRPr="001D32B8">
        <w:rPr>
          <w:rFonts w:ascii="Verdana" w:hAnsi="Verdana"/>
          <w:i/>
          <w:sz w:val="16"/>
          <w:szCs w:val="16"/>
        </w:rPr>
        <w:t xml:space="preserve"> </w:t>
      </w:r>
      <w:proofErr w:type="spellStart"/>
      <w:r w:rsidRPr="001D32B8">
        <w:rPr>
          <w:rFonts w:ascii="Verdana" w:hAnsi="Verdana"/>
          <w:i/>
          <w:sz w:val="16"/>
          <w:szCs w:val="16"/>
        </w:rPr>
        <w:t>Riffo</w:t>
      </w:r>
      <w:proofErr w:type="spellEnd"/>
      <w:r w:rsidRPr="001D32B8">
        <w:rPr>
          <w:rFonts w:ascii="Verdana" w:hAnsi="Verdana"/>
          <w:i/>
          <w:sz w:val="16"/>
          <w:szCs w:val="16"/>
        </w:rPr>
        <w:t xml:space="preserve"> y Niñas Vs. Chile</w:t>
      </w:r>
      <w:r w:rsidRPr="001D32B8">
        <w:rPr>
          <w:rFonts w:ascii="Verdana" w:hAnsi="Verdana"/>
          <w:sz w:val="16"/>
          <w:szCs w:val="16"/>
        </w:rPr>
        <w:t xml:space="preserve">. </w:t>
      </w:r>
      <w:r w:rsidRPr="001D32B8">
        <w:rPr>
          <w:rFonts w:ascii="Verdana" w:hAnsi="Verdana"/>
          <w:bCs/>
          <w:i/>
          <w:sz w:val="16"/>
          <w:szCs w:val="16"/>
          <w:lang w:val="es-CR"/>
        </w:rPr>
        <w:t xml:space="preserve">Fondo, Reparaciones y Costas. </w:t>
      </w:r>
      <w:r w:rsidRPr="001D32B8">
        <w:rPr>
          <w:rFonts w:ascii="Verdana" w:hAnsi="Verdana"/>
          <w:bCs/>
          <w:sz w:val="16"/>
          <w:szCs w:val="16"/>
          <w:lang w:val="es-CR"/>
        </w:rPr>
        <w:t>Sentencia de 24 de febrero de 2012. Serie C No. 239</w:t>
      </w:r>
      <w:r w:rsidRPr="001D32B8">
        <w:rPr>
          <w:rFonts w:ascii="Verdana" w:hAnsi="Verdana"/>
          <w:sz w:val="16"/>
          <w:szCs w:val="16"/>
        </w:rPr>
        <w:t>,</w:t>
      </w:r>
      <w:r w:rsidRPr="001D32B8">
        <w:rPr>
          <w:rFonts w:ascii="Verdana" w:hAnsi="Verdana"/>
          <w:i/>
          <w:sz w:val="16"/>
          <w:szCs w:val="16"/>
        </w:rPr>
        <w:t xml:space="preserve"> </w:t>
      </w:r>
      <w:r w:rsidRPr="001D32B8">
        <w:rPr>
          <w:rFonts w:ascii="Verdana" w:hAnsi="Verdana"/>
          <w:sz w:val="16"/>
          <w:szCs w:val="16"/>
        </w:rPr>
        <w:t>párr. 186.</w:t>
      </w:r>
    </w:p>
  </w:footnote>
  <w:footnote w:id="365">
    <w:p w14:paraId="22FCCF4E" w14:textId="77777777" w:rsidR="00837BB9" w:rsidRPr="001D32B8" w:rsidRDefault="00837BB9" w:rsidP="0027007E">
      <w:pPr>
        <w:pStyle w:val="FootnoteText"/>
        <w:jc w:val="both"/>
        <w:rPr>
          <w:rFonts w:ascii="Verdana" w:hAnsi="Verdana"/>
          <w:bCs/>
          <w:sz w:val="16"/>
          <w:szCs w:val="16"/>
          <w:lang w:val="es-CR"/>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bCs/>
          <w:i/>
          <w:sz w:val="16"/>
          <w:szCs w:val="16"/>
          <w:lang w:val="es-CR"/>
        </w:rPr>
        <w:tab/>
        <w:t xml:space="preserve"> </w:t>
      </w:r>
      <w:r w:rsidRPr="001D32B8">
        <w:rPr>
          <w:rFonts w:ascii="Verdana" w:hAnsi="Verdana"/>
          <w:i/>
          <w:sz w:val="16"/>
          <w:szCs w:val="16"/>
        </w:rPr>
        <w:t>Cfr.</w:t>
      </w:r>
      <w:r w:rsidRPr="001D32B8">
        <w:rPr>
          <w:rFonts w:ascii="Verdana" w:hAnsi="Verdana" w:cs="Arial"/>
          <w:i/>
          <w:sz w:val="16"/>
          <w:szCs w:val="16"/>
        </w:rPr>
        <w:t xml:space="preserve"> </w:t>
      </w:r>
      <w:r w:rsidRPr="001D32B8">
        <w:rPr>
          <w:rFonts w:ascii="Verdana" w:hAnsi="Verdana"/>
          <w:bCs/>
          <w:i/>
          <w:color w:val="000000"/>
          <w:sz w:val="16"/>
          <w:szCs w:val="16"/>
          <w:lang w:val="es-MX"/>
        </w:rPr>
        <w:t>Garantías judiciales en estados de emergencia (Arts. 27.2, 25 y 8 Convención Americana sobre Derechos Humanos)</w:t>
      </w:r>
      <w:r w:rsidRPr="001D32B8">
        <w:rPr>
          <w:rFonts w:ascii="Verdana" w:hAnsi="Verdana"/>
          <w:bCs/>
          <w:color w:val="000000"/>
          <w:sz w:val="16"/>
          <w:szCs w:val="16"/>
          <w:lang w:val="es-MX"/>
        </w:rPr>
        <w:t xml:space="preserve">. Opinión Consultiva OC-9/87 de 6 de octubre de 1987. Serie A No. 9, </w:t>
      </w:r>
      <w:r w:rsidRPr="001D32B8">
        <w:rPr>
          <w:rFonts w:ascii="Verdana" w:hAnsi="Verdana"/>
          <w:sz w:val="16"/>
          <w:szCs w:val="16"/>
        </w:rPr>
        <w:t xml:space="preserve">párr. </w:t>
      </w:r>
      <w:r w:rsidRPr="001D32B8">
        <w:rPr>
          <w:rFonts w:ascii="Verdana" w:hAnsi="Verdana"/>
          <w:bCs/>
          <w:sz w:val="16"/>
          <w:szCs w:val="16"/>
          <w:lang w:val="es-CR"/>
        </w:rPr>
        <w:t xml:space="preserve">párr. 24; </w:t>
      </w:r>
      <w:r w:rsidRPr="001D32B8">
        <w:rPr>
          <w:rFonts w:ascii="Verdana" w:hAnsi="Verdana"/>
          <w:bCs/>
          <w:i/>
          <w:color w:val="000000"/>
          <w:sz w:val="16"/>
          <w:szCs w:val="16"/>
          <w:lang w:val="es-MX"/>
        </w:rPr>
        <w:t>Caso Trabajadores Cesados de Petroperú y otros Vs. Perú. Excepciones Preliminares, Fondo, Reparaciones y Costas.</w:t>
      </w:r>
      <w:r w:rsidRPr="001D32B8">
        <w:rPr>
          <w:rFonts w:ascii="Verdana" w:hAnsi="Verdana"/>
          <w:bCs/>
          <w:color w:val="000000"/>
          <w:sz w:val="16"/>
          <w:szCs w:val="16"/>
          <w:lang w:val="es-MX"/>
        </w:rPr>
        <w:t xml:space="preserve"> Sentencia de 23 de noviembre 2017. Serie C No. 344,</w:t>
      </w:r>
      <w:r w:rsidRPr="001D32B8">
        <w:rPr>
          <w:rFonts w:ascii="Verdana" w:hAnsi="Verdana"/>
          <w:bCs/>
          <w:sz w:val="16"/>
          <w:szCs w:val="16"/>
          <w:lang w:val="es-VE"/>
        </w:rPr>
        <w:t xml:space="preserve"> párr. 154</w:t>
      </w:r>
      <w:r w:rsidRPr="001D32B8">
        <w:rPr>
          <w:rFonts w:ascii="Verdana" w:hAnsi="Verdana"/>
          <w:bCs/>
          <w:sz w:val="16"/>
          <w:szCs w:val="16"/>
          <w:lang w:val="es-CR"/>
        </w:rPr>
        <w:t>.</w:t>
      </w:r>
    </w:p>
    <w:p w14:paraId="57A9B827" w14:textId="77777777" w:rsidR="00837BB9" w:rsidRPr="001D32B8" w:rsidRDefault="00837BB9" w:rsidP="0027007E">
      <w:pPr>
        <w:pStyle w:val="FootnoteText"/>
        <w:jc w:val="both"/>
        <w:rPr>
          <w:rFonts w:ascii="Verdana" w:hAnsi="Verdana"/>
          <w:sz w:val="16"/>
          <w:szCs w:val="16"/>
        </w:rPr>
      </w:pPr>
    </w:p>
  </w:footnote>
  <w:footnote w:id="366">
    <w:p w14:paraId="250AA1B0"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210. </w:t>
      </w:r>
    </w:p>
    <w:p w14:paraId="23E99789" w14:textId="77777777" w:rsidR="00837BB9" w:rsidRPr="001D32B8" w:rsidRDefault="00837BB9" w:rsidP="0027007E">
      <w:pPr>
        <w:pStyle w:val="FootnoteText"/>
        <w:rPr>
          <w:rFonts w:ascii="Verdana" w:hAnsi="Verdana"/>
          <w:sz w:val="16"/>
          <w:szCs w:val="16"/>
        </w:rPr>
      </w:pPr>
    </w:p>
  </w:footnote>
  <w:footnote w:id="367">
    <w:p w14:paraId="536717E5"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150 y punto resolutivo 1 de la Sentencia. </w:t>
      </w:r>
    </w:p>
    <w:p w14:paraId="350C7DB7" w14:textId="77777777" w:rsidR="00837BB9" w:rsidRPr="001D32B8" w:rsidRDefault="00837BB9" w:rsidP="0027007E">
      <w:pPr>
        <w:pStyle w:val="FootnoteText"/>
        <w:jc w:val="both"/>
        <w:rPr>
          <w:rFonts w:ascii="Verdana" w:hAnsi="Verdana"/>
          <w:sz w:val="16"/>
          <w:szCs w:val="16"/>
        </w:rPr>
      </w:pPr>
    </w:p>
  </w:footnote>
  <w:footnote w:id="368">
    <w:p w14:paraId="3B3FA0EF" w14:textId="77777777" w:rsidR="00837BB9" w:rsidRPr="001D32B8" w:rsidRDefault="00837BB9" w:rsidP="0027007E">
      <w:pPr>
        <w:pStyle w:val="FootnoteText"/>
        <w:jc w:val="both"/>
        <w:rPr>
          <w:rFonts w:ascii="Verdana" w:hAnsi="Verdana"/>
          <w:sz w:val="16"/>
          <w:szCs w:val="16"/>
          <w:u w:val="single"/>
        </w:rPr>
      </w:pPr>
      <w:r w:rsidRPr="001D32B8">
        <w:rPr>
          <w:rStyle w:val="FootnoteReference"/>
          <w:rFonts w:ascii="Verdana" w:hAnsi="Verdana"/>
          <w:sz w:val="16"/>
          <w:szCs w:val="16"/>
        </w:rPr>
        <w:footnoteRef/>
      </w:r>
      <w:r w:rsidRPr="001D32B8">
        <w:rPr>
          <w:rFonts w:ascii="Verdana" w:hAnsi="Verdana"/>
          <w:sz w:val="16"/>
        </w:rPr>
        <w:t xml:space="preserve"> </w:t>
      </w:r>
      <w:r w:rsidRPr="001D32B8">
        <w:rPr>
          <w:rFonts w:ascii="Verdana" w:hAnsi="Verdana"/>
          <w:sz w:val="16"/>
          <w:szCs w:val="16"/>
        </w:rPr>
        <w:tab/>
        <w:t xml:space="preserve">En este sentido, en la Sentencia se constató lo siguiente: “145. </w:t>
      </w:r>
      <w:r w:rsidRPr="001D32B8">
        <w:rPr>
          <w:rFonts w:ascii="Verdana" w:eastAsia="Calibri" w:hAnsi="Verdana"/>
          <w:sz w:val="16"/>
          <w:szCs w:val="16"/>
        </w:rPr>
        <w:t>La Corte considera que, en ese contexto</w:t>
      </w:r>
      <w:r w:rsidRPr="001D32B8">
        <w:rPr>
          <w:rFonts w:ascii="Verdana" w:hAnsi="Verdana"/>
          <w:sz w:val="16"/>
          <w:szCs w:val="16"/>
        </w:rPr>
        <w:t xml:space="preserve"> y por la alta investidura de quienes los pronunciaron y su reiteración</w:t>
      </w:r>
      <w:r w:rsidRPr="001D32B8">
        <w:rPr>
          <w:rFonts w:ascii="Verdana" w:eastAsia="Calibri" w:hAnsi="Verdana"/>
          <w:sz w:val="16"/>
          <w:szCs w:val="16"/>
        </w:rPr>
        <w:t>,</w:t>
      </w:r>
      <w:r w:rsidRPr="001D32B8">
        <w:rPr>
          <w:rFonts w:ascii="Verdana" w:hAnsi="Verdana"/>
          <w:sz w:val="16"/>
          <w:szCs w:val="16"/>
        </w:rPr>
        <w:t xml:space="preserve"> dichos pronunciamientos de altos funcionarios públicos dirigidas a desincentivar la participación política no contribuyeron a impedir, e incluso pudieron propiciar o exacerbar, situaciones de hostilidad e intolerancia hacia la disidencia política, lo cual es incompatible con la obligación estatal de garantizar el derecho de participación política. </w:t>
      </w:r>
      <w:r w:rsidRPr="001D32B8">
        <w:rPr>
          <w:rFonts w:ascii="Verdana" w:eastAsia="Calibri" w:hAnsi="Verdana"/>
          <w:sz w:val="16"/>
          <w:szCs w:val="16"/>
          <w:u w:val="single"/>
        </w:rPr>
        <w:t xml:space="preserve">En este sentido, otras declaraciones de funcionarios </w:t>
      </w:r>
      <w:r w:rsidRPr="001D32B8">
        <w:rPr>
          <w:rFonts w:ascii="Verdana" w:hAnsi="Verdana"/>
          <w:sz w:val="16"/>
          <w:szCs w:val="16"/>
          <w:u w:val="single"/>
        </w:rPr>
        <w:t>que indicaban que “nadie puede ser perseguido” o una retractación del Ministro de Salud […], no contribuyeron a impedir los efectos intimidatorios, de incertidumbre y de polarización que pudieron generar las demás manifestaciones en ese contexto”. [Énfasis añadido]</w:t>
      </w:r>
      <w:r w:rsidRPr="001D32B8">
        <w:rPr>
          <w:rFonts w:ascii="Verdana" w:hAnsi="Verdana" w:cs="Verdana"/>
          <w:i/>
          <w:sz w:val="16"/>
          <w:szCs w:val="16"/>
          <w:lang w:val="es-ES"/>
        </w:rPr>
        <w:t xml:space="preserve"> 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145 y 64. </w:t>
      </w:r>
    </w:p>
    <w:p w14:paraId="130DC74B" w14:textId="77777777" w:rsidR="00837BB9" w:rsidRPr="001D32B8" w:rsidRDefault="00837BB9" w:rsidP="0027007E">
      <w:pPr>
        <w:pStyle w:val="FootnoteText"/>
        <w:jc w:val="both"/>
        <w:rPr>
          <w:rFonts w:ascii="Verdana" w:hAnsi="Verdana"/>
          <w:sz w:val="16"/>
          <w:szCs w:val="16"/>
        </w:rPr>
      </w:pPr>
    </w:p>
  </w:footnote>
  <w:footnote w:id="369">
    <w:p w14:paraId="12A35341"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Sentencia de 8 de febrero de 2018. Serie C No. 348, párr. 209.</w:t>
      </w:r>
    </w:p>
    <w:p w14:paraId="1EBD9146" w14:textId="77777777" w:rsidR="00837BB9" w:rsidRPr="001D32B8" w:rsidRDefault="00837BB9" w:rsidP="0027007E">
      <w:pPr>
        <w:pStyle w:val="FootnoteText"/>
        <w:jc w:val="both"/>
        <w:rPr>
          <w:rFonts w:ascii="Verdana" w:hAnsi="Verdana"/>
          <w:sz w:val="16"/>
          <w:szCs w:val="16"/>
        </w:rPr>
      </w:pPr>
    </w:p>
  </w:footnote>
  <w:footnote w:id="370">
    <w:p w14:paraId="697AE7CB" w14:textId="77777777" w:rsidR="00837BB9" w:rsidRPr="00D02CF1" w:rsidRDefault="00837BB9" w:rsidP="0027007E">
      <w:pPr>
        <w:pStyle w:val="FootnoteText"/>
        <w:jc w:val="both"/>
        <w:rPr>
          <w:rStyle w:val="Hyperlink"/>
          <w:rFonts w:ascii="Verdana" w:hAnsi="Verdana" w:cs="Arial"/>
          <w:color w:val="000000" w:themeColor="text1"/>
          <w:spacing w:val="-12"/>
          <w:sz w:val="16"/>
          <w:szCs w:val="16"/>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Audiencia Pública, Alegatos Finales Orales de los Representantes de las Víctimas.</w:t>
      </w:r>
      <w:r>
        <w:rPr>
          <w:rFonts w:ascii="Verdana" w:hAnsi="Verdana"/>
          <w:sz w:val="16"/>
          <w:szCs w:val="16"/>
        </w:rPr>
        <w:t xml:space="preserve"> </w:t>
      </w:r>
      <w:r w:rsidRPr="006D17A2">
        <w:rPr>
          <w:rFonts w:ascii="Verdana" w:hAnsi="Verdana"/>
          <w:sz w:val="16"/>
          <w:szCs w:val="16"/>
        </w:rPr>
        <w:t>Video disponible en:</w:t>
      </w:r>
      <w:r w:rsidRPr="0069409D">
        <w:rPr>
          <w:rFonts w:ascii="Verdana" w:hAnsi="Verdana" w:cs="Arial"/>
          <w:spacing w:val="-12"/>
          <w:sz w:val="16"/>
          <w:szCs w:val="16"/>
          <w:lang w:val="es-MX"/>
        </w:rPr>
        <w:t xml:space="preserve"> </w:t>
      </w:r>
      <w:hyperlink r:id="rId38" w:history="1">
        <w:r w:rsidRPr="00D02CF1">
          <w:rPr>
            <w:rStyle w:val="Hyperlink"/>
            <w:rFonts w:ascii="Verdana" w:hAnsi="Verdana" w:cs="Arial"/>
            <w:color w:val="000000" w:themeColor="text1"/>
            <w:spacing w:val="-12"/>
            <w:sz w:val="16"/>
            <w:szCs w:val="16"/>
            <w:lang w:val="es-MX"/>
          </w:rPr>
          <w:t>https://vimeopro.com/corteidh/caso-san-miguel-sosa-y-otros-vs-venezuela</w:t>
        </w:r>
      </w:hyperlink>
    </w:p>
    <w:p w14:paraId="2B1B4DE2" w14:textId="77777777" w:rsidR="00837BB9" w:rsidRPr="00D02CF1" w:rsidRDefault="00837BB9" w:rsidP="0027007E">
      <w:pPr>
        <w:pStyle w:val="FootnoteText"/>
        <w:jc w:val="both"/>
        <w:rPr>
          <w:rFonts w:ascii="Verdana" w:hAnsi="Verdana"/>
          <w:color w:val="000000" w:themeColor="text1"/>
          <w:sz w:val="16"/>
          <w:szCs w:val="16"/>
        </w:rPr>
      </w:pPr>
    </w:p>
    <w:p w14:paraId="5187A999" w14:textId="77777777" w:rsidR="00837BB9" w:rsidRPr="001D32B8" w:rsidRDefault="00837BB9" w:rsidP="0027007E">
      <w:pPr>
        <w:pStyle w:val="FootnoteText"/>
        <w:rPr>
          <w:rFonts w:ascii="Verdana" w:hAnsi="Verdana"/>
          <w:sz w:val="16"/>
          <w:szCs w:val="16"/>
        </w:rPr>
      </w:pPr>
    </w:p>
  </w:footnote>
  <w:footnote w:id="371">
    <w:p w14:paraId="5C822BE5"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w:t>
      </w:r>
      <w:proofErr w:type="spellStart"/>
      <w:r w:rsidRPr="001D32B8">
        <w:rPr>
          <w:rFonts w:ascii="Verdana" w:hAnsi="Verdana"/>
          <w:sz w:val="16"/>
          <w:szCs w:val="16"/>
        </w:rPr>
        <w:t>párr</w:t>
      </w:r>
      <w:r>
        <w:rPr>
          <w:rFonts w:ascii="Verdana" w:hAnsi="Verdana"/>
          <w:sz w:val="16"/>
          <w:szCs w:val="16"/>
        </w:rPr>
        <w:t>s</w:t>
      </w:r>
      <w:proofErr w:type="spellEnd"/>
      <w:r w:rsidRPr="001D32B8">
        <w:rPr>
          <w:rFonts w:ascii="Verdana" w:hAnsi="Verdana"/>
          <w:sz w:val="16"/>
          <w:szCs w:val="16"/>
        </w:rPr>
        <w:t xml:space="preserve">. 143 y 146.  </w:t>
      </w:r>
    </w:p>
    <w:p w14:paraId="08DADDD1" w14:textId="77777777" w:rsidR="00837BB9" w:rsidRPr="001D32B8" w:rsidRDefault="00837BB9" w:rsidP="0027007E">
      <w:pPr>
        <w:pStyle w:val="FootnoteText"/>
        <w:jc w:val="both"/>
        <w:rPr>
          <w:rFonts w:ascii="Verdana" w:hAnsi="Verdana"/>
          <w:sz w:val="16"/>
          <w:szCs w:val="16"/>
        </w:rPr>
      </w:pPr>
    </w:p>
  </w:footnote>
  <w:footnote w:id="372">
    <w:p w14:paraId="4F7C446F" w14:textId="77777777" w:rsidR="00837BB9" w:rsidRPr="001D32B8" w:rsidRDefault="00837BB9" w:rsidP="0027007E">
      <w:pPr>
        <w:pStyle w:val="FootnoteText"/>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w:t>
      </w:r>
      <w:proofErr w:type="spellStart"/>
      <w:r w:rsidRPr="001D32B8">
        <w:rPr>
          <w:rFonts w:ascii="Verdana" w:hAnsi="Verdana"/>
          <w:sz w:val="16"/>
          <w:szCs w:val="16"/>
        </w:rPr>
        <w:t>párrs</w:t>
      </w:r>
      <w:proofErr w:type="spellEnd"/>
      <w:r w:rsidRPr="001D32B8">
        <w:rPr>
          <w:rFonts w:ascii="Verdana" w:hAnsi="Verdana"/>
          <w:sz w:val="16"/>
          <w:szCs w:val="16"/>
        </w:rPr>
        <w:t xml:space="preserve">. 64 y 65. </w:t>
      </w:r>
    </w:p>
    <w:p w14:paraId="6D5A484A" w14:textId="77777777" w:rsidR="00837BB9" w:rsidRPr="001D32B8" w:rsidRDefault="00837BB9" w:rsidP="0027007E">
      <w:pPr>
        <w:pStyle w:val="FootnoteText"/>
        <w:jc w:val="both"/>
        <w:rPr>
          <w:rFonts w:ascii="Verdana" w:hAnsi="Verdana"/>
          <w:sz w:val="16"/>
          <w:szCs w:val="16"/>
        </w:rPr>
      </w:pPr>
    </w:p>
  </w:footnote>
  <w:footnote w:id="373">
    <w:p w14:paraId="3B94234A"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Sentencia de 8 de febrero de 2018. Serie C No. 348, párr. 192.</w:t>
      </w:r>
    </w:p>
    <w:p w14:paraId="3D1A90A5" w14:textId="77777777" w:rsidR="00837BB9" w:rsidRPr="001D32B8" w:rsidRDefault="00837BB9" w:rsidP="0027007E">
      <w:pPr>
        <w:pStyle w:val="FootnoteText"/>
        <w:jc w:val="both"/>
        <w:rPr>
          <w:rFonts w:ascii="Verdana" w:hAnsi="Verdana"/>
          <w:sz w:val="16"/>
          <w:szCs w:val="16"/>
        </w:rPr>
      </w:pPr>
    </w:p>
  </w:footnote>
  <w:footnote w:id="374">
    <w:p w14:paraId="3F2BDDB6"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Sentencia de 8 de febrero de 2018. Serie C No. 348, párr. 193.</w:t>
      </w:r>
    </w:p>
    <w:p w14:paraId="10E56BCF" w14:textId="77777777" w:rsidR="00837BB9" w:rsidRPr="001D32B8" w:rsidRDefault="00837BB9" w:rsidP="0027007E">
      <w:pPr>
        <w:pStyle w:val="FootnoteText"/>
        <w:jc w:val="both"/>
        <w:rPr>
          <w:rFonts w:ascii="Verdana" w:hAnsi="Verdana"/>
          <w:sz w:val="16"/>
          <w:szCs w:val="16"/>
        </w:rPr>
      </w:pPr>
    </w:p>
  </w:footnote>
  <w:footnote w:id="375">
    <w:p w14:paraId="4C658BC3"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115. </w:t>
      </w:r>
    </w:p>
    <w:p w14:paraId="6EAF8E14" w14:textId="77777777" w:rsidR="00837BB9" w:rsidRPr="001D32B8" w:rsidRDefault="00837BB9" w:rsidP="0027007E">
      <w:pPr>
        <w:pStyle w:val="FootnoteText"/>
        <w:jc w:val="both"/>
        <w:rPr>
          <w:rFonts w:ascii="Verdana" w:hAnsi="Verdana"/>
          <w:sz w:val="16"/>
          <w:szCs w:val="16"/>
        </w:rPr>
      </w:pPr>
    </w:p>
  </w:footnote>
  <w:footnote w:id="376">
    <w:p w14:paraId="5FEA9817" w14:textId="77777777" w:rsidR="00837BB9" w:rsidRPr="001D32B8" w:rsidRDefault="00837BB9" w:rsidP="0027007E">
      <w:pPr>
        <w:jc w:val="both"/>
        <w:rPr>
          <w:rFonts w:ascii="Verdana" w:eastAsia="Times New Roman" w:hAnsi="Verdana" w:cs="Tahoma"/>
          <w:color w:val="333333"/>
          <w:sz w:val="16"/>
          <w:szCs w:val="16"/>
          <w:shd w:val="clear" w:color="auto" w:fill="FFFFFF"/>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t xml:space="preserve">Esto ha sido ampliamente documento por la Comisión Interamericana de Derechos Humanos en tres informes (2003, 2009 y 2017) respecto de Venezuela y la situación de derechos humanos. </w:t>
      </w:r>
      <w:r w:rsidRPr="001D32B8">
        <w:rPr>
          <w:rFonts w:ascii="Verdana" w:hAnsi="Verdana"/>
          <w:i/>
          <w:sz w:val="16"/>
          <w:szCs w:val="16"/>
        </w:rPr>
        <w:t>Cfr.</w:t>
      </w:r>
      <w:r w:rsidRPr="001D32B8">
        <w:rPr>
          <w:rFonts w:ascii="Verdana" w:hAnsi="Verdana"/>
          <w:sz w:val="16"/>
          <w:szCs w:val="16"/>
        </w:rPr>
        <w:t xml:space="preserve"> Situación de los derechos humanos en Venezuela, </w:t>
      </w:r>
      <w:r w:rsidRPr="001D32B8">
        <w:rPr>
          <w:rFonts w:ascii="Verdana" w:hAnsi="Verdana" w:cs="Times New Roman"/>
          <w:sz w:val="16"/>
          <w:szCs w:val="16"/>
          <w:lang w:val="es-MX"/>
        </w:rPr>
        <w:t>OEA/</w:t>
      </w:r>
      <w:proofErr w:type="spellStart"/>
      <w:r w:rsidRPr="001D32B8">
        <w:rPr>
          <w:rFonts w:ascii="Verdana" w:hAnsi="Verdana" w:cs="Times New Roman"/>
          <w:sz w:val="16"/>
          <w:szCs w:val="16"/>
          <w:lang w:val="es-MX"/>
        </w:rPr>
        <w:t>Ser.L</w:t>
      </w:r>
      <w:proofErr w:type="spellEnd"/>
      <w:r w:rsidRPr="001D32B8">
        <w:rPr>
          <w:rFonts w:ascii="Verdana" w:hAnsi="Verdana" w:cs="Times New Roman"/>
          <w:sz w:val="16"/>
          <w:szCs w:val="16"/>
          <w:lang w:val="es-MX"/>
        </w:rPr>
        <w:t xml:space="preserve">/V/II.118, Doc. 4 </w:t>
      </w:r>
      <w:proofErr w:type="spellStart"/>
      <w:r w:rsidRPr="001D32B8">
        <w:rPr>
          <w:rFonts w:ascii="Verdana" w:hAnsi="Verdana" w:cs="Times New Roman"/>
          <w:sz w:val="16"/>
          <w:szCs w:val="16"/>
          <w:lang w:val="es-MX"/>
        </w:rPr>
        <w:t>rev.</w:t>
      </w:r>
      <w:proofErr w:type="spellEnd"/>
      <w:r w:rsidRPr="001D32B8">
        <w:rPr>
          <w:rFonts w:ascii="Verdana" w:hAnsi="Verdana" w:cs="Times New Roman"/>
          <w:sz w:val="16"/>
          <w:szCs w:val="16"/>
          <w:lang w:val="es-MX"/>
        </w:rPr>
        <w:t xml:space="preserve"> 1, </w:t>
      </w:r>
      <w:r w:rsidRPr="001D32B8">
        <w:rPr>
          <w:rFonts w:ascii="Verdana" w:hAnsi="Verdana" w:cs="Times New Roman"/>
          <w:sz w:val="16"/>
          <w:szCs w:val="16"/>
          <w:lang w:val="es-CO"/>
        </w:rPr>
        <w:t>24 octubre 2003</w:t>
      </w:r>
      <w:r w:rsidRPr="001D32B8">
        <w:rPr>
          <w:rFonts w:ascii="Verdana" w:hAnsi="Verdana"/>
          <w:sz w:val="16"/>
          <w:szCs w:val="16"/>
        </w:rPr>
        <w:t xml:space="preserve">, </w:t>
      </w:r>
      <w:proofErr w:type="spellStart"/>
      <w:r w:rsidRPr="001D32B8">
        <w:rPr>
          <w:rFonts w:ascii="Verdana" w:hAnsi="Verdana"/>
          <w:sz w:val="16"/>
          <w:szCs w:val="16"/>
        </w:rPr>
        <w:t>párrs</w:t>
      </w:r>
      <w:proofErr w:type="spellEnd"/>
      <w:r w:rsidRPr="001D32B8">
        <w:rPr>
          <w:rFonts w:ascii="Verdana" w:hAnsi="Verdana"/>
          <w:sz w:val="16"/>
          <w:szCs w:val="16"/>
        </w:rPr>
        <w:t xml:space="preserve">. 153 a 220; Democracia y Derechos Humanos en Venezuela, </w:t>
      </w:r>
      <w:r w:rsidRPr="001D32B8">
        <w:rPr>
          <w:rFonts w:ascii="Verdana" w:hAnsi="Verdana" w:cs="Times New Roman"/>
          <w:sz w:val="16"/>
          <w:szCs w:val="16"/>
          <w:lang w:val="es-ES"/>
        </w:rPr>
        <w:t>OEA/</w:t>
      </w:r>
      <w:proofErr w:type="spellStart"/>
      <w:r w:rsidRPr="001D32B8">
        <w:rPr>
          <w:rFonts w:ascii="Verdana" w:hAnsi="Verdana" w:cs="Times New Roman"/>
          <w:sz w:val="16"/>
          <w:szCs w:val="16"/>
          <w:lang w:val="es-ES"/>
        </w:rPr>
        <w:t>Ser.L</w:t>
      </w:r>
      <w:proofErr w:type="spellEnd"/>
      <w:r w:rsidRPr="001D32B8">
        <w:rPr>
          <w:rFonts w:ascii="Verdana" w:hAnsi="Verdana" w:cs="Times New Roman"/>
          <w:sz w:val="16"/>
          <w:szCs w:val="16"/>
          <w:lang w:val="es-ES"/>
        </w:rPr>
        <w:t xml:space="preserve">/V/IIDoc.54, 30 diciembre 2009, </w:t>
      </w:r>
      <w:proofErr w:type="spellStart"/>
      <w:r w:rsidRPr="001D32B8">
        <w:rPr>
          <w:rFonts w:ascii="Verdana" w:hAnsi="Verdana"/>
          <w:sz w:val="16"/>
          <w:szCs w:val="16"/>
        </w:rPr>
        <w:t>párrs</w:t>
      </w:r>
      <w:proofErr w:type="spellEnd"/>
      <w:r w:rsidRPr="001D32B8">
        <w:rPr>
          <w:rFonts w:ascii="Verdana" w:hAnsi="Verdana"/>
          <w:sz w:val="16"/>
          <w:szCs w:val="16"/>
        </w:rPr>
        <w:t>. 180 a 339</w:t>
      </w:r>
      <w:r>
        <w:rPr>
          <w:rFonts w:ascii="Verdana" w:hAnsi="Verdana"/>
          <w:sz w:val="16"/>
          <w:szCs w:val="16"/>
        </w:rPr>
        <w:t>;</w:t>
      </w:r>
      <w:r w:rsidRPr="001D32B8">
        <w:rPr>
          <w:rFonts w:ascii="Verdana" w:hAnsi="Verdana"/>
          <w:sz w:val="16"/>
          <w:szCs w:val="16"/>
        </w:rPr>
        <w:t xml:space="preserve"> y </w:t>
      </w:r>
      <w:r w:rsidRPr="001D32B8">
        <w:rPr>
          <w:rFonts w:ascii="Verdana" w:eastAsia="Times New Roman" w:hAnsi="Verdana" w:cs="Tahoma"/>
          <w:sz w:val="16"/>
          <w:szCs w:val="16"/>
          <w:shd w:val="clear" w:color="auto" w:fill="FFFFFF"/>
          <w:lang w:val="es-MX"/>
        </w:rPr>
        <w:t xml:space="preserve">Situación de </w:t>
      </w:r>
      <w:r>
        <w:rPr>
          <w:rFonts w:ascii="Verdana" w:eastAsia="Times New Roman" w:hAnsi="Verdana" w:cs="Tahoma"/>
          <w:sz w:val="16"/>
          <w:szCs w:val="16"/>
          <w:shd w:val="clear" w:color="auto" w:fill="FFFFFF"/>
          <w:lang w:val="es-MX"/>
        </w:rPr>
        <w:t>derechos humanos en Venezuela-</w:t>
      </w:r>
      <w:r w:rsidRPr="001D32B8">
        <w:rPr>
          <w:rFonts w:ascii="Verdana" w:eastAsia="Times New Roman" w:hAnsi="Verdana" w:cs="Tahoma"/>
          <w:sz w:val="16"/>
          <w:szCs w:val="16"/>
          <w:shd w:val="clear" w:color="auto" w:fill="FFFFFF"/>
          <w:lang w:val="es-MX"/>
        </w:rPr>
        <w:t xml:space="preserve">Institucionalidad democrática, Estado de derecho y derechos humanos en Venezuela", </w:t>
      </w:r>
      <w:r w:rsidRPr="001D32B8">
        <w:rPr>
          <w:rFonts w:ascii="Verdana" w:hAnsi="Verdana" w:cs="Times New Roman"/>
          <w:sz w:val="16"/>
          <w:szCs w:val="16"/>
          <w:lang w:val="es-MX"/>
        </w:rPr>
        <w:t>OEA/</w:t>
      </w:r>
      <w:proofErr w:type="spellStart"/>
      <w:r w:rsidRPr="001D32B8">
        <w:rPr>
          <w:rFonts w:ascii="Verdana" w:hAnsi="Verdana" w:cs="Times New Roman"/>
          <w:sz w:val="16"/>
          <w:szCs w:val="16"/>
          <w:lang w:val="es-MX"/>
        </w:rPr>
        <w:t>Ser.L</w:t>
      </w:r>
      <w:proofErr w:type="spellEnd"/>
      <w:r w:rsidRPr="001D32B8">
        <w:rPr>
          <w:rFonts w:ascii="Verdana" w:hAnsi="Verdana" w:cs="Times New Roman"/>
          <w:sz w:val="16"/>
          <w:szCs w:val="16"/>
          <w:lang w:val="es-MX"/>
        </w:rPr>
        <w:t xml:space="preserve">/V/II. Doc. 20, 931 diciembre 2017, pp. 45 a 84. </w:t>
      </w:r>
    </w:p>
    <w:p w14:paraId="45D989BD" w14:textId="77777777" w:rsidR="00837BB9" w:rsidRPr="001D32B8" w:rsidRDefault="00837BB9" w:rsidP="0027007E">
      <w:pPr>
        <w:jc w:val="both"/>
        <w:rPr>
          <w:rFonts w:ascii="Verdana" w:eastAsia="Times New Roman" w:hAnsi="Verdana" w:cs="Tahoma"/>
          <w:color w:val="333333"/>
          <w:sz w:val="16"/>
          <w:szCs w:val="16"/>
          <w:shd w:val="clear" w:color="auto" w:fill="FFFFFF"/>
          <w:lang w:val="es-MX"/>
        </w:rPr>
      </w:pPr>
    </w:p>
  </w:footnote>
  <w:footnote w:id="377">
    <w:p w14:paraId="3FDEDE0B" w14:textId="244752B2" w:rsidR="00837BB9" w:rsidRPr="001D32B8" w:rsidRDefault="00837BB9" w:rsidP="00E10368">
      <w:pPr>
        <w:pStyle w:val="FootnoteText"/>
        <w:rPr>
          <w:rFonts w:ascii="Verdana" w:hAnsi="Verdana" w:cs="Tahoma"/>
          <w:color w:val="333333"/>
          <w:sz w:val="16"/>
          <w:szCs w:val="16"/>
          <w:shd w:val="clear" w:color="auto" w:fill="FFFFFF"/>
          <w:lang w:val="es-MX"/>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Sentencia de 8 de febrero de 2018. Serie C No. 348, párr. 209.</w:t>
      </w:r>
    </w:p>
  </w:footnote>
  <w:footnote w:id="378">
    <w:p w14:paraId="63F90F94" w14:textId="77777777"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cs="Verdana"/>
          <w:i/>
          <w:sz w:val="16"/>
          <w:szCs w:val="16"/>
          <w:lang w:val="es-ES"/>
        </w:rPr>
        <w:t>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192. </w:t>
      </w:r>
    </w:p>
    <w:p w14:paraId="64D79AD2" w14:textId="77777777" w:rsidR="00837BB9" w:rsidRPr="001D32B8" w:rsidRDefault="00837BB9" w:rsidP="0027007E">
      <w:pPr>
        <w:pStyle w:val="FootnoteText"/>
        <w:jc w:val="both"/>
        <w:rPr>
          <w:rFonts w:ascii="Verdana" w:hAnsi="Verdana"/>
          <w:sz w:val="16"/>
          <w:szCs w:val="16"/>
        </w:rPr>
      </w:pPr>
    </w:p>
  </w:footnote>
  <w:footnote w:id="379">
    <w:p w14:paraId="53731C8F" w14:textId="5F3C46FC" w:rsidR="00837BB9" w:rsidRPr="001D32B8" w:rsidRDefault="00837BB9" w:rsidP="0027007E">
      <w:pPr>
        <w:pStyle w:val="FootnoteText"/>
        <w:jc w:val="both"/>
        <w:rPr>
          <w:rFonts w:ascii="Verdana" w:hAnsi="Verdana"/>
          <w:sz w:val="16"/>
          <w:szCs w:val="16"/>
        </w:rPr>
      </w:pPr>
      <w:r w:rsidRPr="001D32B8">
        <w:rPr>
          <w:rStyle w:val="FootnoteReference"/>
          <w:rFonts w:ascii="Verdana" w:hAnsi="Verdana"/>
          <w:sz w:val="16"/>
          <w:szCs w:val="16"/>
        </w:rPr>
        <w:footnoteRef/>
      </w:r>
      <w:r w:rsidRPr="001D32B8">
        <w:rPr>
          <w:rFonts w:ascii="Verdana" w:hAnsi="Verdana"/>
          <w:sz w:val="16"/>
          <w:szCs w:val="16"/>
        </w:rPr>
        <w:t xml:space="preserve"> </w:t>
      </w:r>
      <w:r w:rsidRPr="001D32B8">
        <w:rPr>
          <w:rFonts w:ascii="Verdana" w:hAnsi="Verdana"/>
          <w:sz w:val="16"/>
          <w:szCs w:val="16"/>
        </w:rPr>
        <w:tab/>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221. </w:t>
      </w:r>
    </w:p>
  </w:footnote>
  <w:footnote w:id="380">
    <w:p w14:paraId="021B6FD2" w14:textId="77777777" w:rsidR="00837BB9" w:rsidRPr="001D32B8" w:rsidRDefault="00837BB9" w:rsidP="0027007E">
      <w:pPr>
        <w:pStyle w:val="FootnoteText"/>
        <w:jc w:val="both"/>
        <w:rPr>
          <w:rFonts w:ascii="Verdana" w:hAnsi="Verdana"/>
          <w:sz w:val="16"/>
          <w:szCs w:val="16"/>
          <w:u w:val="single"/>
        </w:rPr>
      </w:pPr>
      <w:r w:rsidRPr="001D32B8">
        <w:rPr>
          <w:rStyle w:val="FootnoteReference"/>
          <w:rFonts w:ascii="Verdana" w:hAnsi="Verdana"/>
          <w:sz w:val="16"/>
          <w:szCs w:val="16"/>
        </w:rPr>
        <w:footnoteRef/>
      </w:r>
      <w:r w:rsidRPr="001D32B8">
        <w:rPr>
          <w:rFonts w:ascii="Verdana" w:hAnsi="Verdana"/>
          <w:sz w:val="16"/>
        </w:rPr>
        <w:t xml:space="preserve"> </w:t>
      </w:r>
      <w:r w:rsidRPr="001D32B8">
        <w:rPr>
          <w:rFonts w:ascii="Verdana" w:hAnsi="Verdana"/>
          <w:sz w:val="16"/>
          <w:szCs w:val="16"/>
        </w:rPr>
        <w:tab/>
        <w:t xml:space="preserve">En este sentido, en la Sentencia se constató lo siguiente: “145. </w:t>
      </w:r>
      <w:r w:rsidRPr="001D32B8">
        <w:rPr>
          <w:rFonts w:ascii="Verdana" w:eastAsia="Calibri" w:hAnsi="Verdana"/>
          <w:sz w:val="16"/>
          <w:szCs w:val="16"/>
        </w:rPr>
        <w:t>La Corte considera que, en ese contexto</w:t>
      </w:r>
      <w:r w:rsidRPr="001D32B8">
        <w:rPr>
          <w:rFonts w:ascii="Verdana" w:hAnsi="Verdana"/>
          <w:sz w:val="16"/>
          <w:szCs w:val="16"/>
        </w:rPr>
        <w:t xml:space="preserve"> y por la alta investidura de quienes los pronunciaron y su reiteración</w:t>
      </w:r>
      <w:r w:rsidRPr="001D32B8">
        <w:rPr>
          <w:rFonts w:ascii="Verdana" w:eastAsia="Calibri" w:hAnsi="Verdana"/>
          <w:sz w:val="16"/>
          <w:szCs w:val="16"/>
        </w:rPr>
        <w:t>,</w:t>
      </w:r>
      <w:r w:rsidRPr="001D32B8">
        <w:rPr>
          <w:rFonts w:ascii="Verdana" w:hAnsi="Verdana"/>
          <w:sz w:val="16"/>
          <w:szCs w:val="16"/>
        </w:rPr>
        <w:t xml:space="preserve"> dichos pronunciamientos de altos funcionarios públicos dirigidas a desincentivar la participación política no contribuyeron a impedir, e incluso pudieron propiciar o exacerbar, situaciones de hostilidad e intolerancia hacia la disidencia política, lo cual es incompatible con la obligación estatal de garantizar el derecho de participación política. </w:t>
      </w:r>
      <w:r w:rsidRPr="001D32B8">
        <w:rPr>
          <w:rFonts w:ascii="Verdana" w:eastAsia="Calibri" w:hAnsi="Verdana"/>
          <w:sz w:val="16"/>
          <w:szCs w:val="16"/>
          <w:u w:val="single"/>
        </w:rPr>
        <w:t xml:space="preserve">En este sentido, otras declaraciones de funcionarios </w:t>
      </w:r>
      <w:r w:rsidRPr="001D32B8">
        <w:rPr>
          <w:rFonts w:ascii="Verdana" w:hAnsi="Verdana"/>
          <w:sz w:val="16"/>
          <w:szCs w:val="16"/>
          <w:u w:val="single"/>
        </w:rPr>
        <w:t>que indicaban que “nadie puede ser perseguido” o una retractación del Ministro de Salud […], no contribuyeron a impedir los efectos intimidatorios, de incertidumbre y de polarización que pudieron generar las demás manifestaciones en ese contexto”. [Énfasis añadido]</w:t>
      </w:r>
      <w:r w:rsidRPr="001D32B8">
        <w:rPr>
          <w:rFonts w:ascii="Verdana" w:hAnsi="Verdana" w:cs="Verdana"/>
          <w:i/>
          <w:sz w:val="16"/>
          <w:szCs w:val="16"/>
          <w:lang w:val="es-ES"/>
        </w:rPr>
        <w:t xml:space="preserve"> Cfr.</w:t>
      </w:r>
      <w:r w:rsidRPr="001D32B8">
        <w:rPr>
          <w:rFonts w:ascii="Verdana" w:hAnsi="Verdana" w:cs="Verdana"/>
          <w:sz w:val="16"/>
          <w:szCs w:val="16"/>
          <w:lang w:val="es-ES"/>
        </w:rPr>
        <w:t xml:space="preserve"> </w:t>
      </w:r>
      <w:r w:rsidRPr="001D32B8">
        <w:rPr>
          <w:rFonts w:ascii="Verdana" w:hAnsi="Verdana"/>
          <w:i/>
          <w:sz w:val="16"/>
          <w:szCs w:val="16"/>
        </w:rPr>
        <w:t>Caso San Miguel Sosa y otras Vs. Venezuela. Fondo, Reparaciones y Costas</w:t>
      </w:r>
      <w:r w:rsidRPr="001D32B8">
        <w:rPr>
          <w:rFonts w:ascii="Verdana" w:hAnsi="Verdana"/>
          <w:sz w:val="16"/>
          <w:szCs w:val="16"/>
        </w:rPr>
        <w:t xml:space="preserve">. Sentencia de 8 de febrero de 2018. Serie C No. 348, párr. 145 y 64. </w:t>
      </w:r>
    </w:p>
    <w:p w14:paraId="719D84E8" w14:textId="77777777" w:rsidR="00837BB9" w:rsidRPr="001D32B8" w:rsidRDefault="00837BB9" w:rsidP="0027007E">
      <w:pPr>
        <w:pStyle w:val="FootnoteText"/>
        <w:jc w:val="both"/>
        <w:rPr>
          <w:rFonts w:ascii="Verdana" w:hAnsi="Verdana"/>
          <w:sz w:val="16"/>
          <w:szCs w:val="16"/>
        </w:rPr>
      </w:pPr>
    </w:p>
  </w:footnote>
  <w:footnote w:id="381">
    <w:p w14:paraId="417A699B" w14:textId="77777777" w:rsidR="00837BB9" w:rsidRPr="00954476" w:rsidRDefault="00837BB9" w:rsidP="0027007E">
      <w:pPr>
        <w:pStyle w:val="FootnoteText"/>
        <w:spacing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lang w:val="es-CL"/>
        </w:rPr>
        <w:t>En adelante, la Sentencia.</w:t>
      </w:r>
    </w:p>
  </w:footnote>
  <w:footnote w:id="382">
    <w:p w14:paraId="10323627" w14:textId="77777777" w:rsidR="00837BB9" w:rsidRPr="00954476" w:rsidRDefault="00837BB9" w:rsidP="0027007E">
      <w:pPr>
        <w:pStyle w:val="FootnoteText"/>
        <w:spacing w:after="120"/>
        <w:jc w:val="both"/>
        <w:rPr>
          <w:rFonts w:ascii="Verdana" w:hAnsi="Verdana"/>
          <w:i/>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rPr>
        <w:t>“</w:t>
      </w:r>
      <w:r w:rsidRPr="00954476">
        <w:rPr>
          <w:rFonts w:ascii="Verdana" w:hAnsi="Verdana"/>
          <w:i/>
          <w:sz w:val="16"/>
          <w:szCs w:val="16"/>
        </w:rPr>
        <w:t xml:space="preserve">El Estado es responsable por la violación </w:t>
      </w:r>
      <w:r w:rsidRPr="00954476">
        <w:rPr>
          <w:rFonts w:ascii="Verdana" w:eastAsia="Batang" w:hAnsi="Verdana" w:cs="Times"/>
          <w:i/>
          <w:spacing w:val="-2"/>
          <w:sz w:val="16"/>
          <w:szCs w:val="16"/>
        </w:rPr>
        <w:t xml:space="preserve">del derecho al trabajo, reconocido en el artículo 26 </w:t>
      </w:r>
      <w:r w:rsidRPr="00954476">
        <w:rPr>
          <w:rFonts w:ascii="Verdana" w:hAnsi="Verdana"/>
          <w:i/>
          <w:spacing w:val="-2"/>
          <w:sz w:val="16"/>
          <w:szCs w:val="16"/>
        </w:rPr>
        <w:t xml:space="preserve">de la Convención Americana sobre Derechos Humanos, </w:t>
      </w:r>
      <w:r w:rsidRPr="00954476">
        <w:rPr>
          <w:rFonts w:ascii="Verdana" w:eastAsia="Cambria" w:hAnsi="Verdana" w:cs="Cambria"/>
          <w:i/>
          <w:color w:val="000000"/>
          <w:sz w:val="16"/>
          <w:szCs w:val="16"/>
          <w:u w:color="000000"/>
          <w:lang w:eastAsia="es-ES"/>
        </w:rPr>
        <w:t>en relación con los derechos a la participación política, a la libertad de expresión y de acceso a la justicia, así como con el principio de no discriminación, reconocidos en los artículos 23.1, 13.1, 8.1, 25.1 y 1.1 de aquel instrumento,</w:t>
      </w:r>
      <w:r w:rsidRPr="00954476">
        <w:rPr>
          <w:rFonts w:ascii="Verdana" w:hAnsi="Verdana"/>
          <w:i/>
          <w:spacing w:val="-2"/>
          <w:sz w:val="16"/>
          <w:szCs w:val="16"/>
        </w:rPr>
        <w:t xml:space="preserve"> en perjuicio de </w:t>
      </w:r>
      <w:r w:rsidRPr="00954476">
        <w:rPr>
          <w:rFonts w:ascii="Verdana" w:hAnsi="Verdana"/>
          <w:i/>
          <w:sz w:val="16"/>
          <w:szCs w:val="16"/>
        </w:rPr>
        <w:t xml:space="preserve">las señoras Rocío San Miguel Sosa, </w:t>
      </w:r>
      <w:proofErr w:type="spellStart"/>
      <w:r w:rsidRPr="00954476">
        <w:rPr>
          <w:rFonts w:ascii="Verdana" w:hAnsi="Verdana"/>
          <w:i/>
          <w:sz w:val="16"/>
          <w:szCs w:val="16"/>
        </w:rPr>
        <w:t>Magally</w:t>
      </w:r>
      <w:proofErr w:type="spellEnd"/>
      <w:r w:rsidRPr="00954476">
        <w:rPr>
          <w:rFonts w:ascii="Verdana" w:hAnsi="Verdana"/>
          <w:i/>
          <w:sz w:val="16"/>
          <w:szCs w:val="16"/>
        </w:rPr>
        <w:t xml:space="preserve"> Chang Girón y Thais Coromoto Peña, </w:t>
      </w:r>
      <w:r w:rsidRPr="00954476">
        <w:rPr>
          <w:rFonts w:ascii="Verdana" w:hAnsi="Verdana"/>
          <w:i/>
          <w:spacing w:val="-2"/>
          <w:sz w:val="16"/>
          <w:szCs w:val="16"/>
        </w:rPr>
        <w:t>en los términos de los párrafos 211 a 222 de esta Sentencia.”</w:t>
      </w:r>
    </w:p>
  </w:footnote>
  <w:footnote w:id="383">
    <w:p w14:paraId="71543DA6" w14:textId="77777777" w:rsidR="00837BB9" w:rsidRPr="00954476" w:rsidRDefault="00837BB9" w:rsidP="0027007E">
      <w:pPr>
        <w:pStyle w:val="FootnoteText"/>
        <w:spacing w:before="120"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lang w:val="es-CL"/>
        </w:rPr>
        <w:t>En adelante la Convención.</w:t>
      </w:r>
    </w:p>
  </w:footnote>
  <w:footnote w:id="384">
    <w:p w14:paraId="47CDEE15" w14:textId="77777777" w:rsidR="00837BB9" w:rsidRDefault="00837BB9" w:rsidP="0027007E">
      <w:pPr>
        <w:spacing w:before="120" w:after="120" w:line="240" w:lineRule="auto"/>
        <w:contextualSpacing/>
        <w:jc w:val="both"/>
        <w:rPr>
          <w:rFonts w:ascii="Verdana" w:hAnsi="Verdana"/>
          <w:i/>
          <w:spacing w:val="-2"/>
          <w:sz w:val="16"/>
          <w:szCs w:val="16"/>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i/>
          <w:sz w:val="16"/>
          <w:szCs w:val="16"/>
        </w:rPr>
        <w:t>“</w:t>
      </w:r>
      <w:r w:rsidRPr="00954476">
        <w:rPr>
          <w:rFonts w:ascii="Verdana" w:hAnsi="Verdana"/>
          <w:i/>
          <w:spacing w:val="-2"/>
          <w:sz w:val="16"/>
          <w:szCs w:val="16"/>
        </w:rPr>
        <w:t xml:space="preserve">El Estado no es responsable por la alegada violación del derecho a las garantías judiciales, específicamente a ser oído por un juez independiente y en un plazo razonable, reconocido en el artículo 8.1 de la Convención Americana sobre Derechos Humanos, por las razones señaladas en los párrafos </w:t>
      </w:r>
      <w:r>
        <w:rPr>
          <w:rFonts w:ascii="Verdana" w:hAnsi="Verdana"/>
          <w:i/>
          <w:spacing w:val="-2"/>
          <w:sz w:val="16"/>
          <w:szCs w:val="16"/>
        </w:rPr>
        <w:t xml:space="preserve">197 y </w:t>
      </w:r>
      <w:r w:rsidRPr="00954476">
        <w:rPr>
          <w:rFonts w:ascii="Verdana" w:hAnsi="Verdana"/>
          <w:i/>
          <w:spacing w:val="-2"/>
          <w:sz w:val="16"/>
          <w:szCs w:val="16"/>
        </w:rPr>
        <w:t>201 a 210 de esta Sentencia.”</w:t>
      </w:r>
    </w:p>
    <w:p w14:paraId="4233814F" w14:textId="77777777" w:rsidR="00837BB9" w:rsidRPr="00954476" w:rsidRDefault="00837BB9" w:rsidP="0027007E">
      <w:pPr>
        <w:spacing w:before="120" w:after="120" w:line="240" w:lineRule="auto"/>
        <w:contextualSpacing/>
        <w:jc w:val="both"/>
        <w:rPr>
          <w:rFonts w:ascii="Verdana" w:hAnsi="Verdana"/>
          <w:i/>
          <w:spacing w:val="-2"/>
          <w:sz w:val="16"/>
          <w:szCs w:val="16"/>
        </w:rPr>
      </w:pPr>
    </w:p>
  </w:footnote>
  <w:footnote w:id="385">
    <w:p w14:paraId="4CF479D5" w14:textId="77777777" w:rsidR="00837BB9" w:rsidRPr="00E10368" w:rsidRDefault="00837BB9" w:rsidP="0027007E">
      <w:pPr>
        <w:spacing w:before="120" w:after="120" w:line="240" w:lineRule="auto"/>
        <w:jc w:val="both"/>
        <w:rPr>
          <w:rFonts w:ascii="Verdana" w:hAnsi="Verdana"/>
          <w:i/>
          <w:sz w:val="16"/>
          <w:szCs w:val="16"/>
          <w:lang w:val="es-ES"/>
        </w:rPr>
      </w:pPr>
      <w:r w:rsidRPr="00E10368">
        <w:rPr>
          <w:rStyle w:val="FootnoteReference"/>
          <w:i/>
          <w:sz w:val="16"/>
          <w:szCs w:val="16"/>
        </w:rPr>
        <w:footnoteRef/>
      </w:r>
      <w:r w:rsidRPr="00E10368">
        <w:rPr>
          <w:rFonts w:ascii="Verdana" w:hAnsi="Verdana"/>
          <w:i/>
          <w:sz w:val="16"/>
          <w:szCs w:val="16"/>
        </w:rPr>
        <w:t xml:space="preserve"> </w:t>
      </w:r>
      <w:r w:rsidRPr="00E10368">
        <w:rPr>
          <w:rFonts w:ascii="Verdana" w:hAnsi="Verdana"/>
          <w:i/>
          <w:sz w:val="16"/>
          <w:szCs w:val="16"/>
        </w:rPr>
        <w:tab/>
        <w:t xml:space="preserve">Voto Individual del Juez Eduardo Vio Grossi, Corte Interamericana de Derechos Humanos, </w:t>
      </w:r>
      <w:r w:rsidRPr="00E10368">
        <w:rPr>
          <w:rStyle w:val="Strong"/>
          <w:rFonts w:ascii="Verdana" w:hAnsi="Verdana"/>
          <w:b w:val="0"/>
          <w:i/>
          <w:color w:val="000000"/>
          <w:sz w:val="16"/>
          <w:szCs w:val="16"/>
          <w:shd w:val="clear" w:color="auto" w:fill="FFFFFF"/>
        </w:rPr>
        <w:t xml:space="preserve">Caso Trabajadores Cesados de Petroperú y otros Vs. Perú. Excepciones Preliminares, Fondo, Reparaciones y Costas. </w:t>
      </w:r>
      <w:r w:rsidRPr="00E10368">
        <w:rPr>
          <w:rStyle w:val="Strong"/>
          <w:rFonts w:ascii="Verdana" w:hAnsi="Verdana"/>
          <w:b w:val="0"/>
          <w:color w:val="000000"/>
          <w:sz w:val="16"/>
          <w:szCs w:val="16"/>
          <w:shd w:val="clear" w:color="auto" w:fill="FFFFFF"/>
        </w:rPr>
        <w:t>Sentencia de 23 de noviembre 2017. Serie C No. 344</w:t>
      </w:r>
      <w:r w:rsidRPr="00E10368">
        <w:rPr>
          <w:rStyle w:val="Strong"/>
          <w:rFonts w:ascii="Verdana" w:hAnsi="Verdana"/>
          <w:b w:val="0"/>
          <w:i/>
          <w:color w:val="000000"/>
          <w:sz w:val="16"/>
          <w:szCs w:val="16"/>
          <w:shd w:val="clear" w:color="auto" w:fill="FFFFFF"/>
        </w:rPr>
        <w:t>; y</w:t>
      </w:r>
      <w:r w:rsidRPr="00E10368">
        <w:rPr>
          <w:rStyle w:val="Strong"/>
          <w:rFonts w:ascii="Verdana" w:hAnsi="Verdana"/>
          <w:i/>
          <w:color w:val="000000"/>
          <w:sz w:val="16"/>
          <w:szCs w:val="16"/>
          <w:shd w:val="clear" w:color="auto" w:fill="FFFFFF"/>
        </w:rPr>
        <w:t xml:space="preserve"> </w:t>
      </w:r>
      <w:r w:rsidRPr="00E10368">
        <w:rPr>
          <w:rFonts w:ascii="Verdana" w:hAnsi="Verdana"/>
          <w:i/>
          <w:sz w:val="16"/>
          <w:szCs w:val="16"/>
          <w:lang w:val="es-ES"/>
        </w:rPr>
        <w:t xml:space="preserve">Voto Parcialmente Disidente del Juez Eduardo Vio Grossi, Corte Interamericana de Derechos Humanos, </w:t>
      </w:r>
      <w:r w:rsidRPr="00E10368">
        <w:rPr>
          <w:rStyle w:val="Strong"/>
          <w:rFonts w:ascii="Verdana" w:hAnsi="Verdana"/>
          <w:b w:val="0"/>
          <w:i/>
          <w:color w:val="000000"/>
          <w:sz w:val="16"/>
          <w:szCs w:val="16"/>
          <w:shd w:val="clear" w:color="auto" w:fill="FFFFFF"/>
        </w:rPr>
        <w:t>Caso Lagos del Campo Vs. Perú.</w:t>
      </w:r>
      <w:r w:rsidRPr="00E10368">
        <w:rPr>
          <w:rFonts w:ascii="Verdana" w:hAnsi="Verdana"/>
          <w:i/>
          <w:sz w:val="16"/>
          <w:szCs w:val="16"/>
          <w:lang w:val="es-ES"/>
        </w:rPr>
        <w:t xml:space="preserve"> Excepciones Preliminares, Fondo, Reparaciones y Costas</w:t>
      </w:r>
      <w:r w:rsidRPr="00E10368">
        <w:rPr>
          <w:rStyle w:val="Strong"/>
          <w:rFonts w:ascii="Verdana" w:hAnsi="Verdana"/>
          <w:i/>
          <w:color w:val="000000"/>
          <w:sz w:val="16"/>
          <w:szCs w:val="16"/>
          <w:shd w:val="clear" w:color="auto" w:fill="FFFFFF"/>
        </w:rPr>
        <w:t xml:space="preserve">. </w:t>
      </w:r>
      <w:r w:rsidRPr="00AC1A4B">
        <w:rPr>
          <w:rStyle w:val="Strong"/>
          <w:rFonts w:ascii="Verdana" w:hAnsi="Verdana"/>
          <w:b w:val="0"/>
          <w:color w:val="000000"/>
          <w:sz w:val="16"/>
          <w:szCs w:val="16"/>
          <w:shd w:val="clear" w:color="auto" w:fill="FFFFFF"/>
        </w:rPr>
        <w:t>Sentencia de 31 de agosto de 2017. Serie C No. 340.</w:t>
      </w:r>
    </w:p>
  </w:footnote>
  <w:footnote w:id="386">
    <w:p w14:paraId="59F2BAD1" w14:textId="77777777" w:rsidR="00837BB9" w:rsidRPr="00954476" w:rsidRDefault="00837BB9" w:rsidP="0027007E">
      <w:pPr>
        <w:pStyle w:val="FootnoteText"/>
        <w:spacing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lang w:val="es-CL"/>
        </w:rPr>
        <w:t>En adelante, la Corte.</w:t>
      </w:r>
    </w:p>
  </w:footnote>
  <w:footnote w:id="387">
    <w:p w14:paraId="4FF5C6FB" w14:textId="77777777" w:rsidR="00837BB9" w:rsidRPr="007026DC" w:rsidRDefault="00837BB9" w:rsidP="0027007E">
      <w:pPr>
        <w:pStyle w:val="FootnoteText"/>
        <w:spacing w:after="120"/>
        <w:rPr>
          <w:rFonts w:ascii="Verdana" w:hAnsi="Verdana"/>
          <w:sz w:val="16"/>
          <w:szCs w:val="16"/>
          <w:lang w:val="es-CL"/>
        </w:rPr>
      </w:pPr>
      <w:r w:rsidRPr="007026DC">
        <w:rPr>
          <w:rStyle w:val="FootnoteReference"/>
          <w:sz w:val="16"/>
          <w:szCs w:val="16"/>
        </w:rPr>
        <w:footnoteRef/>
      </w:r>
      <w:r w:rsidRPr="007026DC">
        <w:rPr>
          <w:rFonts w:ascii="Verdana" w:hAnsi="Verdana"/>
          <w:sz w:val="16"/>
          <w:szCs w:val="16"/>
        </w:rPr>
        <w:t xml:space="preserve"> </w:t>
      </w:r>
      <w:r>
        <w:rPr>
          <w:rFonts w:ascii="Verdana" w:hAnsi="Verdana"/>
          <w:sz w:val="16"/>
          <w:szCs w:val="16"/>
        </w:rPr>
        <w:tab/>
      </w:r>
      <w:r w:rsidRPr="007026DC">
        <w:rPr>
          <w:rFonts w:ascii="Verdana" w:hAnsi="Verdana"/>
          <w:sz w:val="16"/>
          <w:szCs w:val="16"/>
          <w:lang w:val="es-CL"/>
        </w:rPr>
        <w:t>En adelante, el Estado.</w:t>
      </w:r>
    </w:p>
  </w:footnote>
  <w:footnote w:id="388">
    <w:p w14:paraId="22DF69F8" w14:textId="77777777" w:rsidR="00837BB9" w:rsidRPr="007026DC" w:rsidRDefault="00837BB9" w:rsidP="0027007E">
      <w:pPr>
        <w:spacing w:after="120" w:line="240" w:lineRule="auto"/>
        <w:jc w:val="both"/>
        <w:rPr>
          <w:rFonts w:ascii="Verdana" w:hAnsi="Verdana"/>
          <w:i/>
          <w:sz w:val="16"/>
          <w:szCs w:val="16"/>
          <w:lang w:val="es-ES"/>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rPr>
        <w:t>Art. 26. “</w:t>
      </w:r>
      <w:r w:rsidRPr="007026DC">
        <w:rPr>
          <w:rFonts w:ascii="Verdana" w:hAnsi="Verdana"/>
          <w:i/>
          <w:sz w:val="16"/>
          <w:szCs w:val="16"/>
          <w:lang w:val="es-ES"/>
        </w:rP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389">
    <w:p w14:paraId="6FF12050" w14:textId="77777777" w:rsidR="00837BB9" w:rsidRPr="00AC1A4B" w:rsidRDefault="00837BB9" w:rsidP="0027007E">
      <w:pPr>
        <w:pStyle w:val="FootnoteText"/>
        <w:spacing w:after="120"/>
        <w:jc w:val="both"/>
        <w:rPr>
          <w:rFonts w:ascii="Verdana" w:hAnsi="Verdana"/>
          <w:b/>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i/>
          <w:sz w:val="16"/>
          <w:szCs w:val="16"/>
        </w:rPr>
        <w:t>Voto Individual del Juez Eduardo Vio Grossi, Corte Interamericana de Derechos Humanos</w:t>
      </w:r>
      <w:r w:rsidRPr="00AC1A4B">
        <w:rPr>
          <w:rFonts w:ascii="Verdana" w:hAnsi="Verdana"/>
          <w:b/>
          <w:i/>
          <w:sz w:val="16"/>
          <w:szCs w:val="16"/>
        </w:rPr>
        <w:t xml:space="preserve">, </w:t>
      </w:r>
      <w:r w:rsidRPr="00AC1A4B">
        <w:rPr>
          <w:rStyle w:val="Strong"/>
          <w:rFonts w:ascii="Verdana" w:hAnsi="Verdana"/>
          <w:b w:val="0"/>
          <w:i/>
          <w:color w:val="000000"/>
          <w:sz w:val="16"/>
          <w:szCs w:val="16"/>
          <w:shd w:val="clear" w:color="auto" w:fill="FFFFFF"/>
        </w:rPr>
        <w:t>Caso Trabajadores Cesados de Petroperú y otros Vs. Perú, cit.</w:t>
      </w:r>
    </w:p>
  </w:footnote>
  <w:footnote w:id="390">
    <w:p w14:paraId="1071995F" w14:textId="77777777" w:rsidR="00837BB9" w:rsidRPr="00954476" w:rsidRDefault="00837BB9" w:rsidP="0027007E">
      <w:pPr>
        <w:spacing w:after="120" w:line="240" w:lineRule="auto"/>
        <w:jc w:val="both"/>
        <w:rPr>
          <w:rFonts w:ascii="Verdana" w:hAnsi="Verdana"/>
          <w:sz w:val="16"/>
          <w:szCs w:val="16"/>
          <w:lang w:val="es-ES"/>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954476">
        <w:rPr>
          <w:rFonts w:ascii="Verdana" w:hAnsi="Verdana"/>
          <w:sz w:val="16"/>
          <w:szCs w:val="16"/>
        </w:rPr>
        <w:t xml:space="preserve">Art.62.3 de la Convención: </w:t>
      </w:r>
      <w:r w:rsidRPr="00954476">
        <w:rPr>
          <w:rFonts w:ascii="Verdana" w:hAnsi="Verdana"/>
          <w:i/>
          <w:sz w:val="16"/>
          <w:szCs w:val="16"/>
        </w:rPr>
        <w:t>“</w:t>
      </w:r>
      <w:r w:rsidRPr="00954476">
        <w:rPr>
          <w:rFonts w:ascii="Verdana" w:hAnsi="Verdana"/>
          <w:i/>
          <w:sz w:val="16"/>
          <w:szCs w:val="16"/>
          <w:lang w:val="es-ES"/>
        </w:rPr>
        <w:t>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footnote>
  <w:footnote w:id="391">
    <w:p w14:paraId="7115922C" w14:textId="77777777" w:rsidR="00837BB9" w:rsidRPr="00653B07" w:rsidRDefault="00837BB9" w:rsidP="0027007E">
      <w:pPr>
        <w:pStyle w:val="FootnoteText"/>
        <w:spacing w:after="120"/>
        <w:jc w:val="both"/>
        <w:rPr>
          <w:rFonts w:ascii="Verdana" w:hAnsi="Verdana"/>
          <w:sz w:val="16"/>
          <w:szCs w:val="16"/>
          <w:lang w:val="es-CL"/>
        </w:rPr>
      </w:pPr>
      <w:r w:rsidRPr="00954476">
        <w:rPr>
          <w:rStyle w:val="FootnoteReference"/>
          <w:spacing w:val="-12"/>
          <w:sz w:val="16"/>
          <w:szCs w:val="16"/>
        </w:rPr>
        <w:footnoteRef/>
      </w:r>
      <w:r w:rsidRPr="00954476">
        <w:rPr>
          <w:rFonts w:ascii="Verdana" w:hAnsi="Verdana"/>
          <w:spacing w:val="-12"/>
          <w:sz w:val="16"/>
          <w:szCs w:val="16"/>
        </w:rPr>
        <w:t xml:space="preserve"> </w:t>
      </w:r>
      <w:r>
        <w:rPr>
          <w:rFonts w:ascii="Verdana" w:hAnsi="Verdana"/>
          <w:spacing w:val="-12"/>
          <w:sz w:val="16"/>
          <w:szCs w:val="16"/>
        </w:rPr>
        <w:tab/>
      </w:r>
      <w:r w:rsidRPr="00A763A1">
        <w:rPr>
          <w:rFonts w:ascii="Verdana" w:hAnsi="Verdana"/>
          <w:sz w:val="16"/>
          <w:szCs w:val="16"/>
        </w:rPr>
        <w:t>Párr.208. de la Sentencia.</w:t>
      </w:r>
      <w:r w:rsidRPr="00653B07">
        <w:rPr>
          <w:rFonts w:ascii="Verdana" w:hAnsi="Verdana"/>
          <w:sz w:val="16"/>
          <w:szCs w:val="16"/>
        </w:rPr>
        <w:t xml:space="preserve"> </w:t>
      </w:r>
      <w:r>
        <w:rPr>
          <w:rFonts w:ascii="Verdana" w:hAnsi="Verdana"/>
          <w:sz w:val="16"/>
          <w:szCs w:val="16"/>
        </w:rPr>
        <w:t>En lo sucesivo, cada vez que se haga referencia a “párr.” se entenderá que lo es al párrafo correspondiente de la Sentencia.</w:t>
      </w:r>
    </w:p>
  </w:footnote>
  <w:footnote w:id="392">
    <w:p w14:paraId="639598D2" w14:textId="77777777" w:rsidR="00837BB9" w:rsidRPr="00954476" w:rsidRDefault="00837BB9" w:rsidP="0027007E">
      <w:pPr>
        <w:pStyle w:val="FootnoteText"/>
        <w:spacing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t>Párr. 210.</w:t>
      </w:r>
    </w:p>
  </w:footnote>
  <w:footnote w:id="393">
    <w:p w14:paraId="7D148D46" w14:textId="77777777" w:rsidR="00837BB9" w:rsidRPr="00954476" w:rsidRDefault="00837BB9" w:rsidP="0027007E">
      <w:pPr>
        <w:pStyle w:val="FootnoteText"/>
        <w:spacing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Pr>
          <w:rFonts w:ascii="Verdana" w:hAnsi="Verdana"/>
          <w:sz w:val="16"/>
          <w:szCs w:val="16"/>
          <w:lang w:val="es-CL"/>
        </w:rPr>
        <w:t>Párr.143</w:t>
      </w:r>
      <w:r w:rsidRPr="00954476">
        <w:rPr>
          <w:rFonts w:ascii="Verdana" w:hAnsi="Verdana"/>
          <w:sz w:val="16"/>
          <w:szCs w:val="16"/>
          <w:lang w:val="es-CL"/>
        </w:rPr>
        <w:t>.</w:t>
      </w:r>
    </w:p>
  </w:footnote>
  <w:footnote w:id="394">
    <w:p w14:paraId="187CA03B" w14:textId="77777777" w:rsidR="00837BB9" w:rsidRPr="001E429C" w:rsidRDefault="00837BB9" w:rsidP="0027007E">
      <w:pPr>
        <w:pStyle w:val="FootnoteText"/>
        <w:spacing w:after="120"/>
        <w:rPr>
          <w:lang w:val="es-CL"/>
        </w:rPr>
      </w:pPr>
      <w:r>
        <w:rPr>
          <w:rStyle w:val="FootnoteReference"/>
        </w:rPr>
        <w:footnoteRef/>
      </w:r>
      <w:r>
        <w:t xml:space="preserve"> </w:t>
      </w:r>
      <w:r>
        <w:tab/>
      </w:r>
      <w:r w:rsidRPr="00A763A1">
        <w:rPr>
          <w:rFonts w:ascii="Verdana" w:hAnsi="Verdana"/>
          <w:sz w:val="16"/>
          <w:szCs w:val="16"/>
          <w:lang w:val="es-CL"/>
        </w:rPr>
        <w:t>Párr.146.</w:t>
      </w:r>
    </w:p>
  </w:footnote>
  <w:footnote w:id="395">
    <w:p w14:paraId="001BBD32" w14:textId="77777777" w:rsidR="00837BB9" w:rsidRDefault="00837BB9" w:rsidP="0027007E">
      <w:pPr>
        <w:pStyle w:val="FootnoteText"/>
        <w:spacing w:after="120"/>
        <w:jc w:val="both"/>
        <w:rPr>
          <w:rFonts w:ascii="Verdana" w:hAnsi="Verdana"/>
          <w:sz w:val="16"/>
          <w:szCs w:val="16"/>
          <w:lang w:val="es-CL"/>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proofErr w:type="spellStart"/>
      <w:r>
        <w:rPr>
          <w:rFonts w:ascii="Verdana" w:hAnsi="Verdana"/>
          <w:sz w:val="16"/>
          <w:szCs w:val="16"/>
          <w:lang w:val="es-CL"/>
        </w:rPr>
        <w:t>Párrs</w:t>
      </w:r>
      <w:proofErr w:type="spellEnd"/>
      <w:r>
        <w:rPr>
          <w:rFonts w:ascii="Verdana" w:hAnsi="Verdana"/>
          <w:sz w:val="16"/>
          <w:szCs w:val="16"/>
          <w:lang w:val="es-CL"/>
        </w:rPr>
        <w:t>. 157 y 158</w:t>
      </w:r>
      <w:r w:rsidRPr="00954476">
        <w:rPr>
          <w:rFonts w:ascii="Verdana" w:hAnsi="Verdana"/>
          <w:sz w:val="16"/>
          <w:szCs w:val="16"/>
          <w:lang w:val="es-CL"/>
        </w:rPr>
        <w:t>.</w:t>
      </w:r>
    </w:p>
    <w:p w14:paraId="5DCD23B0" w14:textId="77777777" w:rsidR="00AC1A4B" w:rsidRPr="00954476" w:rsidRDefault="00AC1A4B" w:rsidP="0027007E">
      <w:pPr>
        <w:pStyle w:val="FootnoteText"/>
        <w:spacing w:after="120"/>
        <w:jc w:val="both"/>
        <w:rPr>
          <w:rFonts w:ascii="Verdana" w:hAnsi="Verdana"/>
          <w:sz w:val="16"/>
          <w:szCs w:val="16"/>
          <w:lang w:val="es-CL"/>
        </w:rPr>
      </w:pPr>
    </w:p>
  </w:footnote>
  <w:footnote w:id="396">
    <w:p w14:paraId="4335DEC3" w14:textId="77777777" w:rsidR="00837BB9" w:rsidRPr="00954476" w:rsidRDefault="00837BB9" w:rsidP="0027007E">
      <w:pPr>
        <w:pStyle w:val="FootnoteText"/>
        <w:spacing w:after="120"/>
        <w:jc w:val="both"/>
        <w:rPr>
          <w:rFonts w:ascii="Verdana" w:hAnsi="Verdana"/>
          <w:sz w:val="16"/>
          <w:szCs w:val="16"/>
        </w:rPr>
      </w:pPr>
      <w:r w:rsidRPr="00954476">
        <w:rPr>
          <w:rStyle w:val="FootnoteReference"/>
          <w:sz w:val="16"/>
          <w:szCs w:val="16"/>
        </w:rPr>
        <w:footnoteRef/>
      </w:r>
      <w:r w:rsidRPr="00954476">
        <w:rPr>
          <w:rFonts w:ascii="Verdana" w:hAnsi="Verdana"/>
          <w:sz w:val="16"/>
          <w:szCs w:val="16"/>
        </w:rPr>
        <w:t xml:space="preserve"> </w:t>
      </w:r>
      <w:r>
        <w:rPr>
          <w:rFonts w:ascii="Verdana" w:hAnsi="Verdana"/>
          <w:sz w:val="16"/>
          <w:szCs w:val="16"/>
        </w:rPr>
        <w:tab/>
      </w:r>
      <w:r w:rsidRPr="00653B07">
        <w:rPr>
          <w:rFonts w:ascii="Verdana" w:hAnsi="Verdana"/>
          <w:spacing w:val="-12"/>
          <w:sz w:val="16"/>
          <w:szCs w:val="16"/>
          <w:lang w:val="es-VE"/>
        </w:rPr>
        <w:t>Párr. 209.</w:t>
      </w:r>
    </w:p>
  </w:footnote>
  <w:footnote w:id="397">
    <w:p w14:paraId="42B291BB" w14:textId="77777777" w:rsidR="00837BB9" w:rsidRPr="005E3764" w:rsidRDefault="00837BB9" w:rsidP="0027007E">
      <w:pPr>
        <w:pStyle w:val="FootnoteText"/>
        <w:jc w:val="both"/>
        <w:rPr>
          <w:rFonts w:ascii="Verdana" w:hAnsi="Verdana"/>
          <w:bCs/>
          <w:i/>
          <w:color w:val="000000"/>
          <w:sz w:val="16"/>
          <w:szCs w:val="16"/>
          <w:shd w:val="clear" w:color="auto" w:fill="FFFFFF"/>
        </w:rPr>
      </w:pPr>
      <w:r w:rsidRPr="005E3764">
        <w:rPr>
          <w:rStyle w:val="FootnoteReference"/>
          <w:rFonts w:ascii="Verdana" w:hAnsi="Verdana"/>
          <w:i/>
          <w:sz w:val="16"/>
          <w:szCs w:val="16"/>
        </w:rPr>
        <w:footnoteRef/>
      </w:r>
      <w:r w:rsidRPr="005E3764">
        <w:rPr>
          <w:rFonts w:ascii="Verdana" w:hAnsi="Verdana"/>
          <w:i/>
          <w:sz w:val="16"/>
          <w:szCs w:val="16"/>
        </w:rPr>
        <w:t xml:space="preserve"> </w:t>
      </w:r>
      <w:r w:rsidRPr="005E3764">
        <w:rPr>
          <w:rFonts w:ascii="Verdana" w:hAnsi="Verdana"/>
          <w:i/>
          <w:sz w:val="16"/>
          <w:szCs w:val="16"/>
        </w:rPr>
        <w:tab/>
      </w:r>
      <w:r w:rsidRPr="005E3764">
        <w:rPr>
          <w:rStyle w:val="Strong"/>
          <w:rFonts w:ascii="Verdana" w:hAnsi="Verdana"/>
          <w:b w:val="0"/>
          <w:i/>
          <w:color w:val="000000"/>
          <w:sz w:val="16"/>
          <w:szCs w:val="16"/>
          <w:shd w:val="clear" w:color="auto" w:fill="FFFFFF"/>
        </w:rPr>
        <w:t xml:space="preserve">Caso Trabajadores Cesados de Petroperú y otros Vs. Perú. Excepciones Preliminares, Fondo, Reparaciones y Costas. Sentencia de 23 de noviembre 2017. Serie C No. 344, Voto parcialmente disidente del Juez Antonio Humberto Sierra Porto. </w:t>
      </w:r>
    </w:p>
  </w:footnote>
  <w:footnote w:id="398">
    <w:p w14:paraId="578D84E7" w14:textId="77777777" w:rsidR="00837BB9" w:rsidRPr="005E3764" w:rsidRDefault="00837BB9" w:rsidP="0027007E">
      <w:pPr>
        <w:pStyle w:val="FootnoteText"/>
        <w:spacing w:before="120" w:after="120"/>
        <w:jc w:val="both"/>
        <w:rPr>
          <w:rFonts w:ascii="Verdana" w:hAnsi="Verdana"/>
          <w:bCs/>
          <w:i/>
          <w:color w:val="000000"/>
          <w:sz w:val="16"/>
          <w:szCs w:val="16"/>
          <w:shd w:val="clear" w:color="auto" w:fill="FFFFFF"/>
        </w:rPr>
      </w:pPr>
      <w:r w:rsidRPr="005E3764">
        <w:rPr>
          <w:rStyle w:val="FootnoteReference"/>
          <w:rFonts w:ascii="Verdana" w:hAnsi="Verdana"/>
          <w:i/>
          <w:sz w:val="16"/>
          <w:szCs w:val="16"/>
        </w:rPr>
        <w:footnoteRef/>
      </w:r>
      <w:r w:rsidRPr="005E3764">
        <w:rPr>
          <w:rFonts w:ascii="Verdana" w:hAnsi="Verdana"/>
          <w:i/>
          <w:sz w:val="16"/>
          <w:szCs w:val="16"/>
        </w:rPr>
        <w:t xml:space="preserve"> </w:t>
      </w:r>
      <w:r w:rsidRPr="005E3764">
        <w:rPr>
          <w:rFonts w:ascii="Verdana" w:hAnsi="Verdana"/>
          <w:i/>
          <w:sz w:val="16"/>
          <w:szCs w:val="16"/>
        </w:rPr>
        <w:tab/>
      </w:r>
      <w:r w:rsidRPr="005E3764">
        <w:rPr>
          <w:rStyle w:val="Strong"/>
          <w:rFonts w:ascii="Verdana" w:hAnsi="Verdana"/>
          <w:b w:val="0"/>
          <w:i/>
          <w:color w:val="000000"/>
          <w:sz w:val="16"/>
          <w:szCs w:val="16"/>
          <w:shd w:val="clear" w:color="auto" w:fill="FFFFFF"/>
        </w:rPr>
        <w:t>Caso Lagos del Campo Vs. Perú. Excepciones Preliminares, Fondo, Reparaciones y Costas. Sentencia de 31 de agosto de 2017. Serie C No. 340. Voto parcialmente disidente del Juez Antonio Humberto Sierra Porto.</w:t>
      </w:r>
    </w:p>
  </w:footnote>
  <w:footnote w:id="399">
    <w:p w14:paraId="6B30872E" w14:textId="77777777" w:rsidR="00837BB9" w:rsidRPr="005E3764" w:rsidRDefault="00837BB9" w:rsidP="0027007E">
      <w:pPr>
        <w:pStyle w:val="FootnoteText"/>
        <w:spacing w:before="120" w:after="120"/>
        <w:jc w:val="both"/>
        <w:rPr>
          <w:rFonts w:ascii="Verdana" w:hAnsi="Verdana"/>
          <w:i/>
          <w:sz w:val="16"/>
          <w:szCs w:val="16"/>
          <w:lang w:val="es-CR"/>
        </w:rPr>
      </w:pPr>
      <w:r w:rsidRPr="005E3764">
        <w:rPr>
          <w:rStyle w:val="FootnoteReference"/>
          <w:rFonts w:ascii="Verdana" w:hAnsi="Verdana"/>
          <w:i/>
          <w:sz w:val="16"/>
          <w:szCs w:val="16"/>
        </w:rPr>
        <w:footnoteRef/>
      </w:r>
      <w:r w:rsidRPr="005E3764">
        <w:rPr>
          <w:rFonts w:ascii="Verdana" w:hAnsi="Verdana"/>
          <w:i/>
          <w:sz w:val="16"/>
          <w:szCs w:val="16"/>
        </w:rPr>
        <w:t xml:space="preserve"> </w:t>
      </w:r>
      <w:r w:rsidRPr="005E3764">
        <w:rPr>
          <w:rFonts w:ascii="Verdana" w:hAnsi="Verdana"/>
          <w:i/>
          <w:sz w:val="16"/>
          <w:szCs w:val="16"/>
          <w:lang w:val="es-CR"/>
        </w:rPr>
        <w:tab/>
      </w:r>
      <w:r w:rsidRPr="005E3764">
        <w:rPr>
          <w:rStyle w:val="Strong"/>
          <w:rFonts w:ascii="Verdana" w:hAnsi="Verdana"/>
          <w:b w:val="0"/>
          <w:i/>
          <w:color w:val="000000"/>
          <w:sz w:val="16"/>
          <w:szCs w:val="16"/>
          <w:shd w:val="clear" w:color="auto" w:fill="FFFFFF"/>
        </w:rPr>
        <w:t xml:space="preserve">Caso Gonzales </w:t>
      </w:r>
      <w:proofErr w:type="spellStart"/>
      <w:r w:rsidRPr="005E3764">
        <w:rPr>
          <w:rStyle w:val="Strong"/>
          <w:rFonts w:ascii="Verdana" w:hAnsi="Verdana"/>
          <w:b w:val="0"/>
          <w:i/>
          <w:color w:val="000000"/>
          <w:sz w:val="16"/>
          <w:szCs w:val="16"/>
          <w:shd w:val="clear" w:color="auto" w:fill="FFFFFF"/>
        </w:rPr>
        <w:t>Lluy</w:t>
      </w:r>
      <w:proofErr w:type="spellEnd"/>
      <w:r w:rsidRPr="005E3764">
        <w:rPr>
          <w:rStyle w:val="Strong"/>
          <w:rFonts w:ascii="Verdana" w:hAnsi="Verdana"/>
          <w:b w:val="0"/>
          <w:i/>
          <w:color w:val="000000"/>
          <w:sz w:val="16"/>
          <w:szCs w:val="16"/>
          <w:shd w:val="clear" w:color="auto" w:fill="FFFFFF"/>
        </w:rPr>
        <w:t xml:space="preserve"> y otros Vs. Ecuador. Excepciones Preliminares, Fondo, Reparaciones y Costas. Sentencia de 1 de septiembre de 2015. Serie C No. 298. Voto Concurrente del Juez Humberto Antonio Sierra Porto.</w:t>
      </w:r>
    </w:p>
  </w:footnote>
  <w:footnote w:id="400">
    <w:p w14:paraId="3FBED3D1" w14:textId="77777777" w:rsidR="00837BB9" w:rsidRPr="005E3764" w:rsidRDefault="00837BB9" w:rsidP="0027007E">
      <w:pPr>
        <w:jc w:val="both"/>
        <w:rPr>
          <w:rFonts w:ascii="Verdana" w:hAnsi="Verdana"/>
          <w:noProof/>
          <w:sz w:val="16"/>
          <w:szCs w:val="16"/>
        </w:rPr>
      </w:pPr>
      <w:r w:rsidRPr="005E3764">
        <w:rPr>
          <w:rStyle w:val="FootnoteReference"/>
          <w:rFonts w:ascii="Verdana" w:hAnsi="Verdana"/>
          <w:i/>
          <w:sz w:val="16"/>
          <w:szCs w:val="16"/>
        </w:rPr>
        <w:footnoteRef/>
      </w:r>
      <w:r w:rsidRPr="005E3764">
        <w:rPr>
          <w:rFonts w:ascii="Verdana" w:hAnsi="Verdana"/>
          <w:i/>
          <w:sz w:val="16"/>
          <w:szCs w:val="16"/>
        </w:rPr>
        <w:t xml:space="preserve"> </w:t>
      </w:r>
      <w:r w:rsidRPr="005E3764">
        <w:rPr>
          <w:rFonts w:ascii="Verdana" w:hAnsi="Verdana"/>
          <w:i/>
          <w:sz w:val="16"/>
          <w:szCs w:val="16"/>
        </w:rPr>
        <w:tab/>
        <w:t xml:space="preserve">Caso </w:t>
      </w:r>
      <w:proofErr w:type="spellStart"/>
      <w:r w:rsidRPr="005E3764">
        <w:rPr>
          <w:rFonts w:ascii="Verdana" w:hAnsi="Verdana"/>
          <w:i/>
          <w:sz w:val="16"/>
          <w:szCs w:val="16"/>
        </w:rPr>
        <w:t>Ivcher</w:t>
      </w:r>
      <w:proofErr w:type="spellEnd"/>
      <w:r w:rsidRPr="005E3764">
        <w:rPr>
          <w:rFonts w:ascii="Verdana" w:hAnsi="Verdana"/>
          <w:i/>
          <w:sz w:val="16"/>
          <w:szCs w:val="16"/>
        </w:rPr>
        <w:t xml:space="preserve"> </w:t>
      </w:r>
      <w:proofErr w:type="spellStart"/>
      <w:r w:rsidRPr="005E3764">
        <w:rPr>
          <w:rFonts w:ascii="Verdana" w:hAnsi="Verdana"/>
          <w:i/>
          <w:sz w:val="16"/>
          <w:szCs w:val="16"/>
        </w:rPr>
        <w:t>Bronstein</w:t>
      </w:r>
      <w:proofErr w:type="spellEnd"/>
      <w:r w:rsidRPr="005E3764">
        <w:rPr>
          <w:rFonts w:ascii="Verdana" w:hAnsi="Verdana"/>
          <w:i/>
          <w:sz w:val="16"/>
          <w:szCs w:val="16"/>
        </w:rPr>
        <w:t xml:space="preserve">, </w:t>
      </w:r>
      <w:r w:rsidRPr="005E3764">
        <w:rPr>
          <w:rFonts w:ascii="Verdana" w:hAnsi="Verdana"/>
          <w:bCs/>
          <w:i/>
          <w:sz w:val="16"/>
          <w:szCs w:val="16"/>
        </w:rPr>
        <w:t>Vs. Perú. Fondo, Reparaciones y Costas. Sentencia de 6 de febrero de 2001. Serie C No. 74</w:t>
      </w:r>
      <w:r w:rsidRPr="005E3764">
        <w:rPr>
          <w:rFonts w:ascii="Verdana" w:hAnsi="Verdana"/>
          <w:i/>
          <w:sz w:val="16"/>
          <w:szCs w:val="16"/>
        </w:rPr>
        <w:t xml:space="preserve">, párr. 146; Caso </w:t>
      </w:r>
      <w:r w:rsidRPr="005E3764">
        <w:rPr>
          <w:rFonts w:ascii="Verdana" w:hAnsi="Verdana"/>
          <w:bCs/>
          <w:i/>
          <w:sz w:val="16"/>
          <w:szCs w:val="16"/>
        </w:rPr>
        <w:t>"La Última Tentación de Cristo" (Olmedo Bustos y otros) Vs. Chile. Fondo, Reparaciones y Costas. Sentencia de 5 de febrero de 2001. Serie C No. 73</w:t>
      </w:r>
      <w:r w:rsidRPr="005E3764">
        <w:rPr>
          <w:rFonts w:ascii="Verdana" w:hAnsi="Verdana"/>
          <w:i/>
          <w:sz w:val="16"/>
          <w:szCs w:val="16"/>
        </w:rPr>
        <w:t xml:space="preserve">, párr. 64; y </w:t>
      </w:r>
      <w:r w:rsidRPr="005E3764">
        <w:rPr>
          <w:rFonts w:ascii="Verdana" w:hAnsi="Verdana"/>
          <w:bCs/>
          <w:i/>
          <w:sz w:val="16"/>
          <w:szCs w:val="16"/>
        </w:rPr>
        <w:t>La colegiación obligatoria de periodistas (Arts. 13 y 29 Convención Americana sobre Derechos Humanos). Opinión Consultiva OC-5/85 de 13 de noviembre de 1985. Serie A No. 5</w:t>
      </w:r>
      <w:r w:rsidRPr="005E3764">
        <w:rPr>
          <w:rFonts w:ascii="Verdana" w:hAnsi="Verdana"/>
          <w:i/>
          <w:noProof/>
          <w:sz w:val="16"/>
          <w:szCs w:val="16"/>
        </w:rPr>
        <w:t>, párr. 30.</w:t>
      </w:r>
    </w:p>
    <w:p w14:paraId="16D0C62E" w14:textId="77777777" w:rsidR="00837BB9" w:rsidRPr="005E3764" w:rsidRDefault="00837BB9" w:rsidP="0027007E">
      <w:pPr>
        <w:jc w:val="both"/>
        <w:rPr>
          <w:rFonts w:ascii="Verdana" w:hAnsi="Verdana"/>
          <w:noProof/>
          <w:sz w:val="16"/>
          <w:szCs w:val="16"/>
        </w:rPr>
      </w:pPr>
    </w:p>
  </w:footnote>
  <w:footnote w:id="401">
    <w:p w14:paraId="624F909A" w14:textId="77777777" w:rsidR="00837BB9" w:rsidRDefault="00837BB9" w:rsidP="0027007E">
      <w:pPr>
        <w:pStyle w:val="FootnoteText"/>
        <w:jc w:val="both"/>
        <w:rPr>
          <w:rFonts w:ascii="Verdana" w:hAnsi="Verdana"/>
          <w:noProof/>
          <w:sz w:val="16"/>
          <w:szCs w:val="16"/>
        </w:rPr>
      </w:pPr>
      <w:r w:rsidRPr="005E3764">
        <w:rPr>
          <w:rStyle w:val="FootnoteReference"/>
          <w:rFonts w:ascii="Verdana" w:hAnsi="Verdana"/>
          <w:sz w:val="16"/>
          <w:szCs w:val="16"/>
        </w:rPr>
        <w:footnoteRef/>
      </w:r>
      <w:r w:rsidRPr="005E3764">
        <w:rPr>
          <w:rFonts w:ascii="Verdana" w:hAnsi="Verdana"/>
          <w:sz w:val="16"/>
          <w:szCs w:val="16"/>
        </w:rPr>
        <w:t xml:space="preserve"> </w:t>
      </w:r>
      <w:r w:rsidRPr="005E3764">
        <w:rPr>
          <w:rFonts w:ascii="Verdana" w:hAnsi="Verdana"/>
          <w:sz w:val="16"/>
          <w:szCs w:val="16"/>
        </w:rPr>
        <w:tab/>
      </w:r>
      <w:r w:rsidRPr="005E3764">
        <w:rPr>
          <w:rFonts w:ascii="Verdana" w:hAnsi="Verdana"/>
          <w:i/>
          <w:sz w:val="16"/>
          <w:szCs w:val="16"/>
        </w:rPr>
        <w:t xml:space="preserve">Caso </w:t>
      </w:r>
      <w:proofErr w:type="spellStart"/>
      <w:r w:rsidRPr="005E3764">
        <w:rPr>
          <w:rFonts w:ascii="Verdana" w:hAnsi="Verdana"/>
          <w:i/>
          <w:sz w:val="16"/>
          <w:szCs w:val="16"/>
        </w:rPr>
        <w:t>Ivcher</w:t>
      </w:r>
      <w:proofErr w:type="spellEnd"/>
      <w:r w:rsidRPr="005E3764">
        <w:rPr>
          <w:rFonts w:ascii="Verdana" w:hAnsi="Verdana"/>
          <w:i/>
          <w:sz w:val="16"/>
          <w:szCs w:val="16"/>
        </w:rPr>
        <w:t xml:space="preserve"> </w:t>
      </w:r>
      <w:proofErr w:type="spellStart"/>
      <w:r w:rsidRPr="005E3764">
        <w:rPr>
          <w:rFonts w:ascii="Verdana" w:hAnsi="Verdana"/>
          <w:i/>
          <w:sz w:val="16"/>
          <w:szCs w:val="16"/>
        </w:rPr>
        <w:t>Bronstein</w:t>
      </w:r>
      <w:proofErr w:type="spellEnd"/>
      <w:r w:rsidRPr="005E3764">
        <w:rPr>
          <w:rFonts w:ascii="Verdana" w:hAnsi="Verdana"/>
          <w:i/>
          <w:sz w:val="16"/>
          <w:szCs w:val="16"/>
        </w:rPr>
        <w:t xml:space="preserve">, </w:t>
      </w:r>
      <w:r w:rsidRPr="005E3764">
        <w:rPr>
          <w:rFonts w:ascii="Verdana" w:hAnsi="Verdana"/>
          <w:bCs/>
          <w:i/>
          <w:sz w:val="16"/>
          <w:szCs w:val="16"/>
        </w:rPr>
        <w:t>Vs. Perú. Fondo, Reparaciones y Costas. Sentencia de 6 de febrero de 2001. Serie C No. 74</w:t>
      </w:r>
      <w:r w:rsidRPr="005E3764">
        <w:rPr>
          <w:rFonts w:ascii="Verdana" w:hAnsi="Verdana"/>
          <w:sz w:val="16"/>
          <w:szCs w:val="16"/>
        </w:rPr>
        <w:t xml:space="preserve">, párr. 147; </w:t>
      </w:r>
      <w:r w:rsidRPr="005E3764">
        <w:rPr>
          <w:rFonts w:ascii="Verdana" w:hAnsi="Verdana"/>
          <w:i/>
          <w:sz w:val="16"/>
          <w:szCs w:val="16"/>
        </w:rPr>
        <w:t xml:space="preserve">Caso </w:t>
      </w:r>
      <w:r w:rsidRPr="005E3764">
        <w:rPr>
          <w:rFonts w:ascii="Verdana" w:hAnsi="Verdana"/>
          <w:bCs/>
          <w:i/>
          <w:sz w:val="16"/>
          <w:szCs w:val="16"/>
        </w:rPr>
        <w:t>"La Última Tentación de Cristo" (Olmedo Bustos y otros) Vs. Chile. Fondo, Reparaciones y Costas. Sentencia de 5 de febrero de 2001. Serie C No. 73</w:t>
      </w:r>
      <w:r w:rsidRPr="005E3764">
        <w:rPr>
          <w:rFonts w:ascii="Verdana" w:hAnsi="Verdana"/>
          <w:sz w:val="16"/>
          <w:szCs w:val="16"/>
        </w:rPr>
        <w:t>,</w:t>
      </w:r>
      <w:r w:rsidRPr="005E3764">
        <w:rPr>
          <w:rFonts w:ascii="Verdana" w:hAnsi="Verdana"/>
          <w:i/>
          <w:sz w:val="16"/>
          <w:szCs w:val="16"/>
        </w:rPr>
        <w:t xml:space="preserve"> </w:t>
      </w:r>
      <w:r w:rsidRPr="005E3764">
        <w:rPr>
          <w:rFonts w:ascii="Verdana" w:hAnsi="Verdana"/>
          <w:sz w:val="16"/>
          <w:szCs w:val="16"/>
        </w:rPr>
        <w:t xml:space="preserve">párr. 65; y </w:t>
      </w:r>
      <w:r w:rsidRPr="005E3764">
        <w:rPr>
          <w:rFonts w:ascii="Verdana" w:hAnsi="Verdana"/>
          <w:bCs/>
          <w:i/>
          <w:sz w:val="16"/>
          <w:szCs w:val="16"/>
        </w:rPr>
        <w:t>La colegiación obligatoria de periodistas (Arts. 13 y 29 Convención Americana sobre Derechos Humanos). Opinión Consultiva OC-5/85 de 13 de noviembre de 1985. Serie A No. 5</w:t>
      </w:r>
      <w:r w:rsidRPr="005E3764">
        <w:rPr>
          <w:rFonts w:ascii="Verdana" w:hAnsi="Verdana"/>
          <w:i/>
          <w:noProof/>
          <w:sz w:val="16"/>
          <w:szCs w:val="16"/>
        </w:rPr>
        <w:t xml:space="preserve">, </w:t>
      </w:r>
      <w:r w:rsidRPr="005E3764">
        <w:rPr>
          <w:rFonts w:ascii="Verdana" w:hAnsi="Verdana"/>
          <w:noProof/>
          <w:sz w:val="16"/>
          <w:szCs w:val="16"/>
        </w:rPr>
        <w:t>párr. 31.</w:t>
      </w:r>
    </w:p>
    <w:p w14:paraId="216B3F23" w14:textId="77777777" w:rsidR="00837BB9" w:rsidRPr="005E3764" w:rsidRDefault="00837BB9" w:rsidP="0027007E">
      <w:pPr>
        <w:pStyle w:val="FootnoteText"/>
        <w:jc w:val="both"/>
        <w:rPr>
          <w:rFonts w:ascii="Verdana" w:hAnsi="Verdana"/>
          <w:noProof/>
          <w:sz w:val="16"/>
          <w:szCs w:val="16"/>
        </w:rPr>
      </w:pPr>
    </w:p>
  </w:footnote>
  <w:footnote w:id="402">
    <w:p w14:paraId="2A61D75D" w14:textId="77777777" w:rsidR="00837BB9" w:rsidRPr="005E3764" w:rsidRDefault="00837BB9" w:rsidP="0027007E">
      <w:pPr>
        <w:pStyle w:val="FootnoteText"/>
        <w:jc w:val="both"/>
        <w:rPr>
          <w:rFonts w:ascii="Verdana" w:hAnsi="Verdana"/>
          <w:sz w:val="16"/>
        </w:rPr>
      </w:pPr>
      <w:r w:rsidRPr="005E3764">
        <w:rPr>
          <w:rStyle w:val="FootnoteReference"/>
          <w:rFonts w:ascii="Verdana" w:hAnsi="Verdana"/>
          <w:sz w:val="16"/>
        </w:rPr>
        <w:footnoteRef/>
      </w:r>
      <w:r w:rsidRPr="005E3764">
        <w:rPr>
          <w:rFonts w:ascii="Verdana" w:hAnsi="Verdana"/>
          <w:sz w:val="16"/>
        </w:rPr>
        <w:t xml:space="preserve"> </w:t>
      </w:r>
      <w:r w:rsidRPr="005E3764">
        <w:rPr>
          <w:rFonts w:ascii="Verdana" w:hAnsi="Verdana"/>
          <w:sz w:val="16"/>
        </w:rPr>
        <w:tab/>
      </w:r>
      <w:r w:rsidRPr="005E3764">
        <w:rPr>
          <w:rFonts w:ascii="Verdana" w:hAnsi="Verdana"/>
          <w:i/>
          <w:sz w:val="16"/>
          <w:szCs w:val="16"/>
        </w:rPr>
        <w:t xml:space="preserve">Caso </w:t>
      </w:r>
      <w:proofErr w:type="spellStart"/>
      <w:r w:rsidRPr="005E3764">
        <w:rPr>
          <w:rFonts w:ascii="Verdana" w:hAnsi="Verdana"/>
          <w:i/>
          <w:sz w:val="16"/>
          <w:szCs w:val="16"/>
        </w:rPr>
        <w:t>Ivcher</w:t>
      </w:r>
      <w:proofErr w:type="spellEnd"/>
      <w:r w:rsidRPr="005E3764">
        <w:rPr>
          <w:rFonts w:ascii="Verdana" w:hAnsi="Verdana"/>
          <w:i/>
          <w:sz w:val="16"/>
          <w:szCs w:val="16"/>
        </w:rPr>
        <w:t xml:space="preserve"> </w:t>
      </w:r>
      <w:proofErr w:type="spellStart"/>
      <w:r w:rsidRPr="005E3764">
        <w:rPr>
          <w:rFonts w:ascii="Verdana" w:hAnsi="Verdana"/>
          <w:i/>
          <w:sz w:val="16"/>
          <w:szCs w:val="16"/>
        </w:rPr>
        <w:t>Bronstein</w:t>
      </w:r>
      <w:proofErr w:type="spellEnd"/>
      <w:r w:rsidRPr="005E3764">
        <w:rPr>
          <w:rFonts w:ascii="Verdana" w:hAnsi="Verdana"/>
          <w:i/>
          <w:sz w:val="16"/>
          <w:szCs w:val="16"/>
        </w:rPr>
        <w:t xml:space="preserve">, </w:t>
      </w:r>
      <w:r w:rsidRPr="005E3764">
        <w:rPr>
          <w:rFonts w:ascii="Verdana" w:hAnsi="Verdana"/>
          <w:bCs/>
          <w:i/>
          <w:sz w:val="16"/>
          <w:szCs w:val="16"/>
        </w:rPr>
        <w:t>Vs. Perú. Fondo, Reparaciones y Costas. Sentencia de 6 de febrero de 2001. Serie C No. 74</w:t>
      </w:r>
      <w:r w:rsidRPr="005E3764">
        <w:rPr>
          <w:rFonts w:ascii="Verdana" w:hAnsi="Verdana"/>
          <w:i/>
          <w:sz w:val="16"/>
          <w:szCs w:val="16"/>
        </w:rPr>
        <w:t xml:space="preserve">, párr. 147; Caso </w:t>
      </w:r>
      <w:r w:rsidRPr="005E3764">
        <w:rPr>
          <w:rFonts w:ascii="Verdana" w:hAnsi="Verdana"/>
          <w:bCs/>
          <w:i/>
          <w:sz w:val="16"/>
          <w:szCs w:val="16"/>
        </w:rPr>
        <w:t>"La Última Tentación de Cristo" (Olmedo Bustos y otros) Vs. Chile. Fondo, Reparaciones y Costas. Sentencia de 5 de febrero de 2001. Serie C No. 73</w:t>
      </w:r>
      <w:r w:rsidRPr="005E3764">
        <w:rPr>
          <w:rFonts w:ascii="Verdana" w:hAnsi="Verdana"/>
          <w:i/>
          <w:sz w:val="16"/>
          <w:szCs w:val="16"/>
        </w:rPr>
        <w:t xml:space="preserve">, párr. 65; y </w:t>
      </w:r>
      <w:r w:rsidRPr="005E3764">
        <w:rPr>
          <w:rFonts w:ascii="Verdana" w:hAnsi="Verdana"/>
          <w:bCs/>
          <w:i/>
          <w:sz w:val="16"/>
          <w:szCs w:val="16"/>
        </w:rPr>
        <w:t>La colegiación obligatoria de periodistas (Arts. 13 y 29 Convención Americana sobre Derechos Humanos). Opinión Consultiva OC-5/85 de 13 de noviembre de 1985. Serie A No. 5</w:t>
      </w:r>
      <w:r w:rsidRPr="005E3764">
        <w:rPr>
          <w:rFonts w:ascii="Verdana" w:hAnsi="Verdana"/>
          <w:i/>
          <w:noProof/>
          <w:sz w:val="16"/>
          <w:szCs w:val="16"/>
        </w:rPr>
        <w:t>, párr. 36.</w:t>
      </w:r>
      <w:r w:rsidRPr="005E3764">
        <w:rPr>
          <w:rFonts w:ascii="Verdana" w:hAnsi="Verdana"/>
          <w:noProof/>
          <w:sz w:val="16"/>
        </w:rPr>
        <w:t xml:space="preserve"> </w:t>
      </w:r>
    </w:p>
    <w:p w14:paraId="068FE6BA" w14:textId="77777777" w:rsidR="00837BB9" w:rsidRPr="005E3764" w:rsidRDefault="00837BB9" w:rsidP="0027007E">
      <w:pPr>
        <w:pStyle w:val="FootnoteText"/>
        <w:jc w:val="both"/>
        <w:rPr>
          <w:rFonts w:ascii="Verdana" w:hAnsi="Verdana"/>
          <w:sz w:val="16"/>
        </w:rPr>
      </w:pPr>
    </w:p>
  </w:footnote>
  <w:footnote w:id="403">
    <w:p w14:paraId="59931C2D" w14:textId="77777777" w:rsidR="00837BB9" w:rsidRPr="005E3764" w:rsidRDefault="00837BB9" w:rsidP="0027007E">
      <w:pPr>
        <w:pStyle w:val="FootnoteText"/>
        <w:jc w:val="both"/>
        <w:rPr>
          <w:rFonts w:ascii="Verdana" w:hAnsi="Verdana"/>
          <w:i/>
          <w:noProof/>
          <w:sz w:val="16"/>
          <w:szCs w:val="16"/>
        </w:rPr>
      </w:pPr>
      <w:r w:rsidRPr="005E3764">
        <w:rPr>
          <w:rStyle w:val="FootnoteReference"/>
          <w:rFonts w:ascii="Verdana" w:hAnsi="Verdana"/>
          <w:sz w:val="16"/>
        </w:rPr>
        <w:footnoteRef/>
      </w:r>
      <w:r w:rsidRPr="005E3764">
        <w:rPr>
          <w:rFonts w:ascii="Verdana" w:hAnsi="Verdana"/>
          <w:sz w:val="16"/>
        </w:rPr>
        <w:t xml:space="preserve"> </w:t>
      </w:r>
      <w:r w:rsidRPr="005E3764">
        <w:rPr>
          <w:rFonts w:ascii="Verdana" w:hAnsi="Verdana"/>
          <w:sz w:val="16"/>
        </w:rPr>
        <w:tab/>
      </w:r>
      <w:r w:rsidRPr="005E3764">
        <w:rPr>
          <w:rFonts w:ascii="Verdana" w:hAnsi="Verdana"/>
          <w:i/>
          <w:sz w:val="16"/>
          <w:szCs w:val="16"/>
        </w:rPr>
        <w:t xml:space="preserve">Caso </w:t>
      </w:r>
      <w:proofErr w:type="spellStart"/>
      <w:r w:rsidRPr="005E3764">
        <w:rPr>
          <w:rFonts w:ascii="Verdana" w:hAnsi="Verdana"/>
          <w:i/>
          <w:sz w:val="16"/>
          <w:szCs w:val="16"/>
        </w:rPr>
        <w:t>Ivcher</w:t>
      </w:r>
      <w:proofErr w:type="spellEnd"/>
      <w:r w:rsidRPr="005E3764">
        <w:rPr>
          <w:rFonts w:ascii="Verdana" w:hAnsi="Verdana"/>
          <w:i/>
          <w:sz w:val="16"/>
          <w:szCs w:val="16"/>
        </w:rPr>
        <w:t xml:space="preserve"> </w:t>
      </w:r>
      <w:proofErr w:type="spellStart"/>
      <w:r w:rsidRPr="005E3764">
        <w:rPr>
          <w:rFonts w:ascii="Verdana" w:hAnsi="Verdana"/>
          <w:i/>
          <w:sz w:val="16"/>
          <w:szCs w:val="16"/>
        </w:rPr>
        <w:t>Bronstein</w:t>
      </w:r>
      <w:proofErr w:type="spellEnd"/>
      <w:r w:rsidRPr="005E3764">
        <w:rPr>
          <w:rFonts w:ascii="Verdana" w:hAnsi="Verdana"/>
          <w:i/>
          <w:sz w:val="16"/>
          <w:szCs w:val="16"/>
        </w:rPr>
        <w:t xml:space="preserve">, </w:t>
      </w:r>
      <w:r w:rsidRPr="005E3764">
        <w:rPr>
          <w:rFonts w:ascii="Verdana" w:hAnsi="Verdana"/>
          <w:bCs/>
          <w:i/>
          <w:sz w:val="16"/>
          <w:szCs w:val="16"/>
        </w:rPr>
        <w:t>Vs. Perú. Fondo, Reparaciones y Costas. Sentencia de 6 de febrero de 2001. Serie C No. 74</w:t>
      </w:r>
      <w:r w:rsidRPr="005E3764">
        <w:rPr>
          <w:rFonts w:ascii="Verdana" w:hAnsi="Verdana"/>
          <w:i/>
          <w:sz w:val="16"/>
          <w:szCs w:val="16"/>
        </w:rPr>
        <w:t xml:space="preserve">, párr. 148; Caso </w:t>
      </w:r>
      <w:r w:rsidRPr="005E3764">
        <w:rPr>
          <w:rFonts w:ascii="Verdana" w:hAnsi="Verdana"/>
          <w:bCs/>
          <w:i/>
          <w:sz w:val="16"/>
          <w:szCs w:val="16"/>
        </w:rPr>
        <w:t>"La Última Tentación de Cristo" (Olmedo Bustos y otros) Vs. Chile. Fondo, Reparaciones y Costas. Sentencia de 5 de febrero de 2001. Serie C No. 73</w:t>
      </w:r>
      <w:r w:rsidRPr="005E3764">
        <w:rPr>
          <w:rFonts w:ascii="Verdana" w:hAnsi="Verdana"/>
          <w:i/>
          <w:sz w:val="16"/>
          <w:szCs w:val="16"/>
        </w:rPr>
        <w:t xml:space="preserve">, párr. 66; y </w:t>
      </w:r>
      <w:r w:rsidRPr="005E3764">
        <w:rPr>
          <w:rFonts w:ascii="Verdana" w:hAnsi="Verdana"/>
          <w:bCs/>
          <w:i/>
          <w:sz w:val="16"/>
          <w:szCs w:val="16"/>
        </w:rPr>
        <w:t>La colegiación obligatoria de periodistas (Arts. 13 y 29 Convención Americana sobre Derechos Humanos). Opinión Consultiva OC-5/85 de 13 de noviembre de 1985. Serie A No. 5</w:t>
      </w:r>
      <w:r w:rsidRPr="005E3764">
        <w:rPr>
          <w:rFonts w:ascii="Verdana" w:hAnsi="Verdana"/>
          <w:i/>
          <w:noProof/>
          <w:sz w:val="16"/>
          <w:szCs w:val="16"/>
        </w:rPr>
        <w:t>, párr. 32.</w:t>
      </w:r>
    </w:p>
    <w:p w14:paraId="7BACC36F" w14:textId="77777777" w:rsidR="00837BB9" w:rsidRPr="005E3764" w:rsidRDefault="00837BB9" w:rsidP="0027007E">
      <w:pPr>
        <w:pStyle w:val="FootnoteText"/>
        <w:jc w:val="both"/>
        <w:rPr>
          <w:rFonts w:ascii="Verdana" w:hAnsi="Verdana"/>
          <w:sz w:val="16"/>
        </w:rPr>
      </w:pPr>
    </w:p>
  </w:footnote>
  <w:footnote w:id="404">
    <w:p w14:paraId="2DD27867" w14:textId="77777777" w:rsidR="00837BB9" w:rsidRPr="005E3764" w:rsidRDefault="00837BB9" w:rsidP="0027007E">
      <w:pPr>
        <w:pStyle w:val="FootnoteText"/>
        <w:jc w:val="both"/>
        <w:rPr>
          <w:rFonts w:ascii="Verdana" w:hAnsi="Verdana"/>
          <w:sz w:val="16"/>
        </w:rPr>
      </w:pPr>
      <w:r w:rsidRPr="005E3764">
        <w:rPr>
          <w:rStyle w:val="FootnoteReference"/>
          <w:rFonts w:ascii="Verdana" w:hAnsi="Verdana"/>
          <w:sz w:val="16"/>
        </w:rPr>
        <w:footnoteRef/>
      </w:r>
      <w:r w:rsidRPr="005E3764">
        <w:rPr>
          <w:rFonts w:ascii="Verdana" w:hAnsi="Verdana"/>
          <w:sz w:val="16"/>
        </w:rPr>
        <w:t xml:space="preserve"> </w:t>
      </w:r>
      <w:r w:rsidRPr="005E3764">
        <w:rPr>
          <w:rFonts w:ascii="Verdana" w:hAnsi="Verdana"/>
          <w:sz w:val="16"/>
        </w:rPr>
        <w:tab/>
      </w:r>
      <w:r w:rsidRPr="005E3764">
        <w:rPr>
          <w:rFonts w:ascii="Verdana" w:hAnsi="Verdana"/>
          <w:i/>
          <w:sz w:val="16"/>
          <w:szCs w:val="16"/>
        </w:rPr>
        <w:t xml:space="preserve">Caso </w:t>
      </w:r>
      <w:proofErr w:type="spellStart"/>
      <w:r w:rsidRPr="005E3764">
        <w:rPr>
          <w:rFonts w:ascii="Verdana" w:hAnsi="Verdana"/>
          <w:i/>
          <w:sz w:val="16"/>
          <w:szCs w:val="16"/>
        </w:rPr>
        <w:t>Ivcher</w:t>
      </w:r>
      <w:proofErr w:type="spellEnd"/>
      <w:r w:rsidRPr="005E3764">
        <w:rPr>
          <w:rFonts w:ascii="Verdana" w:hAnsi="Verdana"/>
          <w:i/>
          <w:sz w:val="16"/>
          <w:szCs w:val="16"/>
        </w:rPr>
        <w:t xml:space="preserve"> </w:t>
      </w:r>
      <w:proofErr w:type="spellStart"/>
      <w:r w:rsidRPr="005E3764">
        <w:rPr>
          <w:rFonts w:ascii="Verdana" w:hAnsi="Verdana"/>
          <w:i/>
          <w:sz w:val="16"/>
          <w:szCs w:val="16"/>
        </w:rPr>
        <w:t>Bronstein</w:t>
      </w:r>
      <w:proofErr w:type="spellEnd"/>
      <w:r w:rsidRPr="005E3764">
        <w:rPr>
          <w:rFonts w:ascii="Verdana" w:hAnsi="Verdana"/>
          <w:i/>
          <w:sz w:val="16"/>
          <w:szCs w:val="16"/>
        </w:rPr>
        <w:t xml:space="preserve">, </w:t>
      </w:r>
      <w:r w:rsidRPr="005E3764">
        <w:rPr>
          <w:rFonts w:ascii="Verdana" w:hAnsi="Verdana"/>
          <w:bCs/>
          <w:i/>
          <w:sz w:val="16"/>
          <w:szCs w:val="16"/>
        </w:rPr>
        <w:t>Vs. Perú. Fondo, Reparaciones y Costas. Sentencia de 6 de febrero de 2001. Serie C No. 74</w:t>
      </w:r>
      <w:r w:rsidRPr="005E3764">
        <w:rPr>
          <w:rFonts w:ascii="Verdana" w:hAnsi="Verdana"/>
          <w:i/>
          <w:sz w:val="16"/>
          <w:szCs w:val="16"/>
        </w:rPr>
        <w:t xml:space="preserve">, párr. 149; Caso </w:t>
      </w:r>
      <w:r w:rsidRPr="005E3764">
        <w:rPr>
          <w:rFonts w:ascii="Verdana" w:hAnsi="Verdana"/>
          <w:bCs/>
          <w:i/>
          <w:sz w:val="16"/>
          <w:szCs w:val="16"/>
        </w:rPr>
        <w:t>"La Última Tentación de Cristo" (Olmedo Bustos y otros) Vs. Chile. Fondo, Reparaciones y Costas. Sentencia de 5 de febrero de 2001. Serie C No. 73</w:t>
      </w:r>
      <w:r w:rsidRPr="005E3764">
        <w:rPr>
          <w:rFonts w:ascii="Verdana" w:hAnsi="Verdana"/>
          <w:i/>
          <w:sz w:val="16"/>
          <w:szCs w:val="16"/>
        </w:rPr>
        <w:t xml:space="preserve">, párr. 67; y </w:t>
      </w:r>
      <w:r w:rsidRPr="005E3764">
        <w:rPr>
          <w:rFonts w:ascii="Verdana" w:hAnsi="Verdana"/>
          <w:bCs/>
          <w:i/>
          <w:sz w:val="16"/>
          <w:szCs w:val="16"/>
        </w:rPr>
        <w:t>La colegiación obligatoria de periodistas (Arts. 13 y 29 Convención Americana sobre Derechos Humanos). Opinión Consultiva OC-5/85 de 13 de noviembre de 1985. Serie A No. 5</w:t>
      </w:r>
      <w:r w:rsidRPr="005E3764">
        <w:rPr>
          <w:rFonts w:ascii="Verdana" w:hAnsi="Verdana"/>
          <w:i/>
          <w:noProof/>
          <w:sz w:val="16"/>
          <w:szCs w:val="16"/>
        </w:rPr>
        <w:t>, párr. 32.</w:t>
      </w:r>
    </w:p>
  </w:footnote>
  <w:footnote w:id="405">
    <w:p w14:paraId="7E61E3A7" w14:textId="77777777" w:rsidR="00837BB9" w:rsidRPr="00B27195" w:rsidRDefault="00837BB9" w:rsidP="0027007E">
      <w:pPr>
        <w:pStyle w:val="FootnoteText"/>
        <w:rPr>
          <w:rFonts w:ascii="Verdana" w:hAnsi="Verdana"/>
          <w:i/>
          <w:sz w:val="16"/>
          <w:szCs w:val="16"/>
        </w:rPr>
      </w:pPr>
      <w:r w:rsidRPr="00B27195">
        <w:rPr>
          <w:rStyle w:val="FootnoteReference"/>
          <w:rFonts w:ascii="Verdana" w:hAnsi="Verdana"/>
          <w:i/>
          <w:sz w:val="16"/>
          <w:szCs w:val="16"/>
        </w:rPr>
        <w:footnoteRef/>
      </w:r>
      <w:r w:rsidRPr="00B27195">
        <w:rPr>
          <w:rFonts w:ascii="Verdana" w:hAnsi="Verdana"/>
          <w:i/>
          <w:sz w:val="16"/>
          <w:szCs w:val="16"/>
        </w:rPr>
        <w:t xml:space="preserve"> </w:t>
      </w:r>
      <w:r w:rsidRPr="00B27195">
        <w:rPr>
          <w:rFonts w:ascii="Verdana" w:hAnsi="Verdana"/>
          <w:bCs/>
          <w:i/>
          <w:sz w:val="16"/>
          <w:szCs w:val="16"/>
          <w:lang w:val="es-ES_tradnl"/>
        </w:rPr>
        <w:t xml:space="preserve">Caso Ricardo </w:t>
      </w:r>
      <w:proofErr w:type="spellStart"/>
      <w:r w:rsidRPr="00B27195">
        <w:rPr>
          <w:rFonts w:ascii="Verdana" w:hAnsi="Verdana"/>
          <w:bCs/>
          <w:i/>
          <w:sz w:val="16"/>
          <w:szCs w:val="16"/>
          <w:lang w:val="es-ES_tradnl"/>
        </w:rPr>
        <w:t>Canese</w:t>
      </w:r>
      <w:proofErr w:type="spellEnd"/>
      <w:r w:rsidRPr="00B27195">
        <w:rPr>
          <w:rFonts w:ascii="Verdana" w:hAnsi="Verdana"/>
          <w:bCs/>
          <w:i/>
          <w:sz w:val="16"/>
          <w:szCs w:val="16"/>
          <w:lang w:val="es-ES_tradnl"/>
        </w:rPr>
        <w:t xml:space="preserve"> Vs. Paraguay. Fondo, Reparaciones y Costas. Sentencia de 31 de agosto de 2004. Serie C No. 111, </w:t>
      </w:r>
      <w:r w:rsidRPr="00B27195">
        <w:rPr>
          <w:rFonts w:ascii="Verdana" w:hAnsi="Verdana"/>
          <w:i/>
          <w:sz w:val="16"/>
          <w:szCs w:val="16"/>
        </w:rPr>
        <w:t>párr. 88.</w:t>
      </w:r>
    </w:p>
  </w:footnote>
  <w:footnote w:id="406">
    <w:p w14:paraId="0C676E83" w14:textId="77777777" w:rsidR="00837BB9" w:rsidRPr="008910BB" w:rsidRDefault="00837BB9" w:rsidP="0027007E">
      <w:pPr>
        <w:pStyle w:val="FootnoteText"/>
        <w:spacing w:before="120" w:after="120"/>
        <w:jc w:val="both"/>
        <w:rPr>
          <w:rFonts w:ascii="Verdana" w:hAnsi="Verdana"/>
          <w:sz w:val="16"/>
          <w:szCs w:val="16"/>
        </w:rPr>
      </w:pPr>
      <w:r w:rsidRPr="008910BB">
        <w:rPr>
          <w:rStyle w:val="FootnoteReference"/>
          <w:rFonts w:ascii="Verdana" w:hAnsi="Verdana"/>
          <w:sz w:val="16"/>
          <w:szCs w:val="16"/>
        </w:rPr>
        <w:footnoteRef/>
      </w:r>
      <w:r w:rsidRPr="008910BB">
        <w:rPr>
          <w:rFonts w:ascii="Verdana" w:hAnsi="Verdana"/>
          <w:sz w:val="16"/>
          <w:szCs w:val="16"/>
        </w:rPr>
        <w:t xml:space="preserve"> </w:t>
      </w:r>
      <w:r>
        <w:rPr>
          <w:rFonts w:ascii="Verdana" w:hAnsi="Verdana"/>
          <w:sz w:val="16"/>
          <w:szCs w:val="16"/>
        </w:rPr>
        <w:tab/>
      </w:r>
      <w:r w:rsidRPr="00280CE2">
        <w:rPr>
          <w:rFonts w:ascii="Verdana" w:hAnsi="Verdana"/>
          <w:bCs/>
          <w:i/>
          <w:sz w:val="16"/>
          <w:szCs w:val="16"/>
          <w:lang w:val="es-ES_tradnl"/>
        </w:rPr>
        <w:t>Caso Lagos del Campo Vs. Perú. Excepciones Preliminares, Fondo, Reparaciones y Costas. Sentencia de 31 de agosto de 2017. Serie C No. 340</w:t>
      </w:r>
      <w:r w:rsidRPr="00280CE2">
        <w:rPr>
          <w:rFonts w:ascii="Verdana" w:hAnsi="Verdana"/>
          <w:i/>
          <w:sz w:val="16"/>
          <w:szCs w:val="16"/>
        </w:rPr>
        <w:t xml:space="preserve">, párr. 154; y </w:t>
      </w:r>
      <w:r w:rsidRPr="00280CE2">
        <w:rPr>
          <w:rFonts w:ascii="Verdana" w:hAnsi="Verdana"/>
          <w:bCs/>
          <w:i/>
          <w:sz w:val="16"/>
          <w:szCs w:val="16"/>
          <w:lang w:val="es-ES_tradnl"/>
        </w:rPr>
        <w:t>Caso Trabajadores Cesados de Petroperú y otros Vs. Perú. Excepciones Preliminares, Fondo, Reparaciones y Costas. Sentencia de 23 de noviembre de 2017. Serie C No. 344</w:t>
      </w:r>
      <w:r w:rsidRPr="00280CE2">
        <w:rPr>
          <w:rStyle w:val="Strong"/>
          <w:rFonts w:ascii="Verdana" w:hAnsi="Verdana"/>
          <w:b w:val="0"/>
          <w:i/>
          <w:color w:val="000000"/>
          <w:sz w:val="16"/>
          <w:szCs w:val="16"/>
          <w:shd w:val="clear" w:color="auto" w:fill="FFFFFF"/>
        </w:rPr>
        <w:t>, párr. 192.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75373"/>
      <w:docPartObj>
        <w:docPartGallery w:val="Page Numbers (Top of Page)"/>
        <w:docPartUnique/>
      </w:docPartObj>
    </w:sdtPr>
    <w:sdtEndPr>
      <w:rPr>
        <w:noProof/>
      </w:rPr>
    </w:sdtEndPr>
    <w:sdtContent>
      <w:p w14:paraId="22917E89" w14:textId="784D2B8A" w:rsidR="00837BB9" w:rsidRPr="00216011" w:rsidRDefault="00837BB9">
        <w:pPr>
          <w:pStyle w:val="Header"/>
          <w:jc w:val="center"/>
          <w:rPr>
            <w:sz w:val="12"/>
          </w:rPr>
        </w:pPr>
        <w:r>
          <w:fldChar w:fldCharType="begin"/>
        </w:r>
        <w:r>
          <w:instrText xml:space="preserve"> PAGE   \* MERGEFORMAT </w:instrText>
        </w:r>
        <w:r>
          <w:fldChar w:fldCharType="separate"/>
        </w:r>
        <w:r w:rsidR="00AC1A4B">
          <w:rPr>
            <w:noProof/>
          </w:rPr>
          <w:t>24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FB024" w14:textId="77777777" w:rsidR="00837BB9" w:rsidRDefault="00837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187887"/>
      <w:docPartObj>
        <w:docPartGallery w:val="Page Numbers (Top of Page)"/>
        <w:docPartUnique/>
      </w:docPartObj>
    </w:sdtPr>
    <w:sdtContent>
      <w:p w14:paraId="55C3C320" w14:textId="77777777" w:rsidR="00837BB9" w:rsidRDefault="00837BB9" w:rsidP="0027007E">
        <w:pPr>
          <w:pStyle w:val="Header"/>
          <w:jc w:val="center"/>
        </w:pPr>
      </w:p>
    </w:sdtContent>
  </w:sdt>
  <w:p w14:paraId="52217AE4" w14:textId="77777777" w:rsidR="00837BB9" w:rsidRDefault="00837B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EECC9" w14:textId="77777777" w:rsidR="00837BB9" w:rsidRDefault="00837B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76031" w14:textId="77777777" w:rsidR="00837BB9" w:rsidRDefault="00837B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AF63" w14:textId="77777777" w:rsidR="00837BB9" w:rsidRDefault="00837B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BBEFF" w14:textId="77777777" w:rsidR="00837BB9" w:rsidRDefault="00837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D7242152"/>
    <w:lvl w:ilvl="0">
      <w:start w:val="3"/>
      <w:numFmt w:val="decimal"/>
      <w:lvlText w:val="%1."/>
      <w:lvlJc w:val="left"/>
      <w:pPr>
        <w:tabs>
          <w:tab w:val="num" w:pos="360"/>
        </w:tabs>
        <w:ind w:left="360" w:hanging="360"/>
      </w:pPr>
      <w:rPr>
        <w:rFonts w:ascii="Verdana" w:hAnsi="Verdana" w:hint="default"/>
        <w:b w:val="0"/>
        <w:i w:val="0"/>
        <w:strike w:val="0"/>
        <w:color w:val="auto"/>
        <w:sz w:val="20"/>
        <w:szCs w:val="20"/>
      </w:rPr>
    </w:lvl>
    <w:lvl w:ilvl="1">
      <w:start w:val="1"/>
      <w:numFmt w:val="decimal"/>
      <w:lvlText w:val="%2."/>
      <w:lvlJc w:val="left"/>
      <w:pPr>
        <w:tabs>
          <w:tab w:val="num" w:pos="1080"/>
        </w:tabs>
        <w:ind w:left="1080" w:hanging="360"/>
      </w:pPr>
      <w:rPr>
        <w:lang w:val="es-C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2955EA"/>
    <w:multiLevelType w:val="hybridMultilevel"/>
    <w:tmpl w:val="F2321CF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1635947"/>
    <w:multiLevelType w:val="multilevel"/>
    <w:tmpl w:val="DC28719C"/>
    <w:lvl w:ilvl="0">
      <w:start w:val="1"/>
      <w:numFmt w:val="upperLetter"/>
      <w:pStyle w:val="Heading2"/>
      <w:lvlText w:val="%1."/>
      <w:lvlJc w:val="left"/>
      <w:pPr>
        <w:ind w:left="1080" w:hanging="360"/>
      </w:pPr>
      <w:rPr>
        <w:rFonts w:hint="default"/>
        <w:b/>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b/>
        <w:i/>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3958CE"/>
    <w:multiLevelType w:val="hybridMultilevel"/>
    <w:tmpl w:val="C1E86906"/>
    <w:lvl w:ilvl="0" w:tplc="93162BF4">
      <w:start w:val="1"/>
      <w:numFmt w:val="upperLetter"/>
      <w:lvlText w:val="%1."/>
      <w:lvlJc w:val="left"/>
      <w:pPr>
        <w:ind w:left="720" w:hanging="360"/>
      </w:pPr>
      <w:rPr>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3E17B53"/>
    <w:multiLevelType w:val="hybridMultilevel"/>
    <w:tmpl w:val="F3549630"/>
    <w:lvl w:ilvl="0" w:tplc="D27ED4C6">
      <w:start w:val="1"/>
      <w:numFmt w:val="decimal"/>
      <w:lvlText w:val="%1."/>
      <w:lvlJc w:val="left"/>
      <w:pPr>
        <w:ind w:left="502"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44A2D4E"/>
    <w:multiLevelType w:val="hybridMultilevel"/>
    <w:tmpl w:val="BC2C5C16"/>
    <w:lvl w:ilvl="0" w:tplc="7FC2C5BE">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5FC320B"/>
    <w:multiLevelType w:val="hybridMultilevel"/>
    <w:tmpl w:val="9AA2C426"/>
    <w:lvl w:ilvl="0" w:tplc="94809758">
      <w:start w:val="1"/>
      <w:numFmt w:val="decimal"/>
      <w:lvlText w:val="%1."/>
      <w:lvlJc w:val="left"/>
      <w:pPr>
        <w:ind w:left="720" w:hanging="360"/>
      </w:pPr>
      <w:rPr>
        <w:rFonts w:ascii="Verdana" w:hAnsi="Verdana" w:hint="default"/>
        <w:sz w:val="20"/>
        <w:szCs w:val="20"/>
      </w:rPr>
    </w:lvl>
    <w:lvl w:ilvl="1" w:tplc="81EA946E">
      <w:numFmt w:val="bullet"/>
      <w:lvlText w:val="-"/>
      <w:lvlJc w:val="left"/>
      <w:pPr>
        <w:ind w:left="1440" w:hanging="360"/>
      </w:pPr>
      <w:rPr>
        <w:rFonts w:ascii="Verdana" w:eastAsia="Calibri" w:hAnsi="Verdana" w:cs="Times New Roman"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F2209ED"/>
    <w:multiLevelType w:val="hybridMultilevel"/>
    <w:tmpl w:val="7AEAF58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0AA581A"/>
    <w:multiLevelType w:val="hybridMultilevel"/>
    <w:tmpl w:val="A530ABAA"/>
    <w:lvl w:ilvl="0" w:tplc="2EBA0AE8">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10022AF"/>
    <w:multiLevelType w:val="hybridMultilevel"/>
    <w:tmpl w:val="3FAC22E0"/>
    <w:lvl w:ilvl="0" w:tplc="B22E0C32">
      <w:start w:val="1"/>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E9F4301"/>
    <w:multiLevelType w:val="hybridMultilevel"/>
    <w:tmpl w:val="AFE6B690"/>
    <w:lvl w:ilvl="0" w:tplc="5280688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F6623E9"/>
    <w:multiLevelType w:val="hybridMultilevel"/>
    <w:tmpl w:val="CB82DFD2"/>
    <w:lvl w:ilvl="0" w:tplc="0C0A000F">
      <w:start w:val="6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6D84848"/>
    <w:multiLevelType w:val="hybridMultilevel"/>
    <w:tmpl w:val="0C1E2CD4"/>
    <w:lvl w:ilvl="0" w:tplc="57945EAA">
      <w:start w:val="1"/>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99D03AA"/>
    <w:multiLevelType w:val="hybridMultilevel"/>
    <w:tmpl w:val="A4D28258"/>
    <w:lvl w:ilvl="0" w:tplc="8294F2E4">
      <w:start w:val="210"/>
      <w:numFmt w:val="decimal"/>
      <w:lvlText w:val="%1."/>
      <w:lvlJc w:val="left"/>
      <w:pPr>
        <w:ind w:left="820" w:hanging="4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BA16168"/>
    <w:multiLevelType w:val="hybridMultilevel"/>
    <w:tmpl w:val="EE4EE620"/>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18FCCB44">
      <w:start w:val="1"/>
      <w:numFmt w:val="lowerLetter"/>
      <w:lvlText w:val="%3."/>
      <w:lvlJc w:val="left"/>
      <w:pPr>
        <w:ind w:left="2651" w:hanging="180"/>
      </w:pPr>
      <w:rPr>
        <w:b w:val="0"/>
      </w:r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3C9D01BF"/>
    <w:multiLevelType w:val="hybridMultilevel"/>
    <w:tmpl w:val="F91E776A"/>
    <w:lvl w:ilvl="0" w:tplc="140A0015">
      <w:start w:val="1"/>
      <w:numFmt w:val="upperLetter"/>
      <w:lvlText w:val="%1."/>
      <w:lvlJc w:val="left"/>
      <w:pPr>
        <w:ind w:left="1440" w:hanging="360"/>
      </w:pPr>
    </w:lvl>
    <w:lvl w:ilvl="1" w:tplc="140A0019">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nsid w:val="3D93793E"/>
    <w:multiLevelType w:val="hybridMultilevel"/>
    <w:tmpl w:val="AFE6B690"/>
    <w:lvl w:ilvl="0" w:tplc="52806886">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442B6979"/>
    <w:multiLevelType w:val="multilevel"/>
    <w:tmpl w:val="AB28B5F6"/>
    <w:lvl w:ilvl="0">
      <w:start w:val="1"/>
      <w:numFmt w:val="decimal"/>
      <w:lvlText w:val="%1."/>
      <w:lvlJc w:val="left"/>
      <w:pPr>
        <w:ind w:left="928" w:hanging="360"/>
      </w:pPr>
      <w:rPr>
        <w:b/>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46C4221D"/>
    <w:multiLevelType w:val="hybridMultilevel"/>
    <w:tmpl w:val="EE4EE620"/>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18FCCB44">
      <w:start w:val="1"/>
      <w:numFmt w:val="lowerLetter"/>
      <w:lvlText w:val="%3."/>
      <w:lvlJc w:val="left"/>
      <w:pPr>
        <w:ind w:left="2651" w:hanging="180"/>
      </w:pPr>
      <w:rPr>
        <w:b w:val="0"/>
      </w:r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4C366D43"/>
    <w:multiLevelType w:val="hybridMultilevel"/>
    <w:tmpl w:val="D1BE0240"/>
    <w:lvl w:ilvl="0" w:tplc="E84A0D6E">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C5469CD"/>
    <w:multiLevelType w:val="hybridMultilevel"/>
    <w:tmpl w:val="D7FED382"/>
    <w:lvl w:ilvl="0" w:tplc="264CB88E">
      <w:start w:val="1"/>
      <w:numFmt w:val="decimal"/>
      <w:lvlText w:val="%1."/>
      <w:lvlJc w:val="left"/>
      <w:pPr>
        <w:ind w:left="720" w:hanging="360"/>
      </w:pPr>
      <w:rPr>
        <w:rFonts w:ascii="Verdana" w:eastAsia="Calibri" w:hAnsi="Verdana" w:cs="Times New Roman" w:hint="default"/>
        <w:b w:val="0"/>
        <w:i w:val="0"/>
        <w:strike w:val="0"/>
        <w:dstrike w:val="0"/>
        <w:color w:val="auto"/>
        <w:sz w:val="20"/>
        <w:szCs w:val="20"/>
        <w:u w:val="none"/>
        <w:effect w:val="none"/>
      </w:rPr>
    </w:lvl>
    <w:lvl w:ilvl="1" w:tplc="9B3E45F0">
      <w:start w:val="1"/>
      <w:numFmt w:val="lowerLetter"/>
      <w:pStyle w:val="Estilo4"/>
      <w:lvlText w:val="%2)"/>
      <w:lvlJc w:val="left"/>
      <w:pPr>
        <w:ind w:left="1440" w:hanging="360"/>
      </w:pPr>
      <w:rPr>
        <w:rFonts w:ascii="Verdana" w:hAnsi="Verdana" w:cs="Times New Roman" w:hint="default"/>
        <w:b w:val="0"/>
        <w:i/>
        <w:caps w:val="0"/>
        <w:strike w:val="0"/>
        <w:dstrike w:val="0"/>
        <w:vanish w:val="0"/>
        <w:webHidden w:val="0"/>
        <w:color w:val="auto"/>
        <w:sz w:val="20"/>
        <w:u w:val="none"/>
        <w:effect w:val="none"/>
        <w:vertAlign w:val="baseline"/>
        <w:specVanish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7005BD0"/>
    <w:multiLevelType w:val="hybridMultilevel"/>
    <w:tmpl w:val="3126D8E8"/>
    <w:lvl w:ilvl="0" w:tplc="F444953E">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783021A"/>
    <w:multiLevelType w:val="hybridMultilevel"/>
    <w:tmpl w:val="EE4EE620"/>
    <w:lvl w:ilvl="0" w:tplc="04090019">
      <w:start w:val="1"/>
      <w:numFmt w:val="lowerLetter"/>
      <w:lvlText w:val="%1."/>
      <w:lvlJc w:val="left"/>
      <w:pPr>
        <w:ind w:left="1211" w:hanging="360"/>
      </w:pPr>
    </w:lvl>
    <w:lvl w:ilvl="1" w:tplc="04090019">
      <w:start w:val="1"/>
      <w:numFmt w:val="lowerLetter"/>
      <w:lvlText w:val="%2."/>
      <w:lvlJc w:val="left"/>
      <w:pPr>
        <w:ind w:left="1931" w:hanging="360"/>
      </w:pPr>
    </w:lvl>
    <w:lvl w:ilvl="2" w:tplc="18FCCB44">
      <w:start w:val="1"/>
      <w:numFmt w:val="lowerLetter"/>
      <w:lvlText w:val="%3."/>
      <w:lvlJc w:val="left"/>
      <w:pPr>
        <w:ind w:left="2651" w:hanging="180"/>
      </w:pPr>
      <w:rPr>
        <w:b w:val="0"/>
      </w:r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nsid w:val="5A8C0434"/>
    <w:multiLevelType w:val="hybridMultilevel"/>
    <w:tmpl w:val="FA5E765A"/>
    <w:lvl w:ilvl="0" w:tplc="D9564908">
      <w:start w:val="1"/>
      <w:numFmt w:val="decimal"/>
      <w:lvlText w:val="%1."/>
      <w:lvlJc w:val="left"/>
      <w:pPr>
        <w:ind w:left="720" w:hanging="360"/>
      </w:pPr>
      <w:rPr>
        <w:rFonts w:hint="default"/>
        <w:b w:val="0"/>
        <w:i w:val="0"/>
        <w:strike w:val="0"/>
        <w:sz w:val="2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nsid w:val="5F3716A9"/>
    <w:multiLevelType w:val="hybridMultilevel"/>
    <w:tmpl w:val="2BAE20DC"/>
    <w:lvl w:ilvl="0" w:tplc="4EB84B40">
      <w:start w:val="1"/>
      <w:numFmt w:val="decimal"/>
      <w:lvlText w:val="C.%1"/>
      <w:lvlJc w:val="left"/>
      <w:pPr>
        <w:ind w:left="185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450298B"/>
    <w:multiLevelType w:val="hybridMultilevel"/>
    <w:tmpl w:val="9A926182"/>
    <w:lvl w:ilvl="0" w:tplc="2C5ADC88">
      <w:start w:val="1"/>
      <w:numFmt w:val="decimal"/>
      <w:lvlText w:val="%1."/>
      <w:lvlJc w:val="left"/>
      <w:pPr>
        <w:ind w:left="2340" w:hanging="360"/>
      </w:pPr>
      <w:rPr>
        <w:rFonts w:ascii="Verdana" w:hAnsi="Verdana" w:hint="default"/>
        <w:b w:val="0"/>
        <w:i w:val="0"/>
        <w:strike w:val="0"/>
        <w:color w:val="auto"/>
        <w:sz w:val="20"/>
        <w:szCs w:val="2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B5B564A"/>
    <w:multiLevelType w:val="hybridMultilevel"/>
    <w:tmpl w:val="49E08560"/>
    <w:lvl w:ilvl="0" w:tplc="29109F32">
      <w:start w:val="1"/>
      <w:numFmt w:val="decimal"/>
      <w:lvlText w:val="A.%1"/>
      <w:lvlJc w:val="left"/>
      <w:pPr>
        <w:ind w:left="1800" w:hanging="360"/>
      </w:pPr>
      <w:rPr>
        <w:rFonts w:hint="default"/>
        <w:b/>
        <w:i/>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27">
    <w:nsid w:val="710D4F29"/>
    <w:multiLevelType w:val="hybridMultilevel"/>
    <w:tmpl w:val="AAE484F8"/>
    <w:lvl w:ilvl="0" w:tplc="5498C22C">
      <w:start w:val="115"/>
      <w:numFmt w:val="decimal"/>
      <w:lvlText w:val="%1."/>
      <w:lvlJc w:val="left"/>
      <w:pPr>
        <w:ind w:left="820" w:hanging="4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8DC5ED8"/>
    <w:multiLevelType w:val="hybridMultilevel"/>
    <w:tmpl w:val="DD08354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A816FBF"/>
    <w:multiLevelType w:val="hybridMultilevel"/>
    <w:tmpl w:val="96EEC01C"/>
    <w:lvl w:ilvl="0" w:tplc="B7142E10">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0">
    <w:nsid w:val="7B7A5A46"/>
    <w:multiLevelType w:val="hybridMultilevel"/>
    <w:tmpl w:val="75F233F0"/>
    <w:lvl w:ilvl="0" w:tplc="01BAADA8">
      <w:start w:val="1"/>
      <w:numFmt w:val="upperRoman"/>
      <w:lvlText w:val="%1."/>
      <w:lvlJc w:val="left"/>
      <w:pPr>
        <w:ind w:left="1080" w:hanging="72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CE64D32"/>
    <w:multiLevelType w:val="hybridMultilevel"/>
    <w:tmpl w:val="2402DBC8"/>
    <w:lvl w:ilvl="0" w:tplc="CA26B65A">
      <w:start w:val="1"/>
      <w:numFmt w:val="decimal"/>
      <w:lvlText w:val="%1."/>
      <w:lvlJc w:val="left"/>
      <w:pPr>
        <w:tabs>
          <w:tab w:val="num" w:pos="20245"/>
        </w:tabs>
      </w:pPr>
      <w:rPr>
        <w:rFonts w:ascii="Verdana" w:eastAsia="Times New Roman" w:hAnsi="Verdana"/>
        <w:b w:val="0"/>
        <w:bCs w:val="0"/>
        <w:i w:val="0"/>
        <w:iCs w:val="0"/>
        <w:strike w:val="0"/>
        <w:color w:val="auto"/>
        <w:sz w:val="20"/>
        <w:szCs w:val="20"/>
        <w:lang w:val="es-ES_tradnl"/>
      </w:rPr>
    </w:lvl>
    <w:lvl w:ilvl="1" w:tplc="04090019">
      <w:start w:val="1"/>
      <w:numFmt w:val="lowerLetter"/>
      <w:lvlText w:val="%2)"/>
      <w:lvlJc w:val="left"/>
      <w:pPr>
        <w:tabs>
          <w:tab w:val="num" w:pos="1080"/>
        </w:tabs>
        <w:ind w:left="1080" w:hanging="360"/>
      </w:pPr>
      <w:rPr>
        <w:rFonts w:hint="default"/>
        <w:b w:val="0"/>
        <w:bCs w:val="0"/>
        <w:i w:val="0"/>
        <w:iCs w:val="0"/>
        <w:sz w:val="20"/>
        <w:szCs w:val="20"/>
      </w:rPr>
    </w:lvl>
    <w:lvl w:ilvl="2" w:tplc="04090019">
      <w:start w:val="1"/>
      <w:numFmt w:val="lowerRoman"/>
      <w:lvlText w:val="%3."/>
      <w:lvlJc w:val="right"/>
      <w:pPr>
        <w:tabs>
          <w:tab w:val="num" w:pos="1530"/>
        </w:tabs>
        <w:ind w:left="1530" w:hanging="180"/>
      </w:pPr>
      <w:rPr>
        <w:b w:val="0"/>
        <w:strike w:val="0"/>
      </w:rPr>
    </w:lvl>
    <w:lvl w:ilvl="3" w:tplc="0409000F">
      <w:start w:val="1"/>
      <w:numFmt w:val="decimal"/>
      <w:lvlText w:val="%4."/>
      <w:lvlJc w:val="left"/>
      <w:pPr>
        <w:tabs>
          <w:tab w:val="num" w:pos="2880"/>
        </w:tabs>
        <w:ind w:left="2880" w:hanging="360"/>
      </w:pPr>
    </w:lvl>
    <w:lvl w:ilvl="4" w:tplc="337A4176">
      <w:start w:val="1"/>
      <w:numFmt w:val="lowerLetter"/>
      <w:pStyle w:val="Heading6"/>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D1C61E7"/>
    <w:multiLevelType w:val="hybridMultilevel"/>
    <w:tmpl w:val="162ABEB2"/>
    <w:lvl w:ilvl="0" w:tplc="3E6070D0">
      <w:start w:val="1"/>
      <w:numFmt w:val="lowerLetter"/>
      <w:pStyle w:val="Estilo5"/>
      <w:lvlText w:val="%1)"/>
      <w:lvlJc w:val="left"/>
      <w:pPr>
        <w:ind w:left="3480" w:hanging="360"/>
      </w:pPr>
      <w:rPr>
        <w:rFonts w:ascii="Verdana" w:eastAsia="Calibri" w:hAnsi="Verdana" w:cs="Times New Roman"/>
        <w:b w:val="0"/>
        <w:i w:val="0"/>
        <w:caps w:val="0"/>
        <w:strike w:val="0"/>
        <w:dstrike w:val="0"/>
        <w:vanish w:val="0"/>
        <w:color w:val="auto"/>
        <w:sz w:val="20"/>
        <w:vertAlign w:val="baseline"/>
      </w:rPr>
    </w:lvl>
    <w:lvl w:ilvl="1" w:tplc="3CBC84D2"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3">
    <w:nsid w:val="7D28363C"/>
    <w:multiLevelType w:val="hybridMultilevel"/>
    <w:tmpl w:val="3126D8E8"/>
    <w:lvl w:ilvl="0" w:tplc="F444953E">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E8035D3"/>
    <w:multiLevelType w:val="hybridMultilevel"/>
    <w:tmpl w:val="63006568"/>
    <w:lvl w:ilvl="0" w:tplc="E40C5FA2">
      <w:start w:val="1"/>
      <w:numFmt w:val="bullet"/>
      <w:lvlText w:val="-"/>
      <w:lvlJc w:val="left"/>
      <w:pPr>
        <w:ind w:left="720" w:hanging="360"/>
      </w:pPr>
      <w:rPr>
        <w:rFonts w:ascii="Verdana" w:eastAsia="Verdana" w:hAnsi="Verdana" w:cs="Verdana"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9"/>
  </w:num>
  <w:num w:numId="4">
    <w:abstractNumId w:val="23"/>
  </w:num>
  <w:num w:numId="5">
    <w:abstractNumId w:val="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9"/>
  </w:num>
  <w:num w:numId="9">
    <w:abstractNumId w:val="5"/>
  </w:num>
  <w:num w:numId="10">
    <w:abstractNumId w:val="26"/>
  </w:num>
  <w:num w:numId="11">
    <w:abstractNumId w:val="24"/>
  </w:num>
  <w:num w:numId="12">
    <w:abstractNumId w:val="9"/>
  </w:num>
  <w:num w:numId="13">
    <w:abstractNumId w:val="12"/>
  </w:num>
  <w:num w:numId="14">
    <w:abstractNumId w:val="34"/>
  </w:num>
  <w:num w:numId="15">
    <w:abstractNumId w:val="15"/>
  </w:num>
  <w:num w:numId="16">
    <w:abstractNumId w:val="33"/>
  </w:num>
  <w:num w:numId="17">
    <w:abstractNumId w:val="16"/>
  </w:num>
  <w:num w:numId="18">
    <w:abstractNumId w:val="8"/>
  </w:num>
  <w:num w:numId="19">
    <w:abstractNumId w:val="10"/>
  </w:num>
  <w:num w:numId="20">
    <w:abstractNumId w:val="2"/>
  </w:num>
  <w:num w:numId="21">
    <w:abstractNumId w:val="2"/>
  </w:num>
  <w:num w:numId="22">
    <w:abstractNumId w:val="28"/>
  </w:num>
  <w:num w:numId="23">
    <w:abstractNumId w:val="1"/>
  </w:num>
  <w:num w:numId="24">
    <w:abstractNumId w:val="21"/>
  </w:num>
  <w:num w:numId="25">
    <w:abstractNumId w:val="2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4"/>
  </w:num>
  <w:num w:numId="29">
    <w:abstractNumId w:val="0"/>
  </w:num>
  <w:num w:numId="30">
    <w:abstractNumId w:val="22"/>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4"/>
  </w:num>
  <w:num w:numId="35">
    <w:abstractNumId w:val="13"/>
  </w:num>
  <w:num w:numId="36">
    <w:abstractNumId w:val="11"/>
  </w:num>
  <w:num w:numId="37">
    <w:abstractNumId w:val="27"/>
  </w:num>
  <w:num w:numId="38">
    <w:abstractNumId w:val="30"/>
  </w:num>
  <w:num w:numId="39">
    <w:abstractNumId w:val="7"/>
  </w:num>
  <w:num w:numId="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1E"/>
    <w:rsid w:val="0000003F"/>
    <w:rsid w:val="00000407"/>
    <w:rsid w:val="000011B3"/>
    <w:rsid w:val="00001B70"/>
    <w:rsid w:val="000046F8"/>
    <w:rsid w:val="00006023"/>
    <w:rsid w:val="000065AA"/>
    <w:rsid w:val="00006DA7"/>
    <w:rsid w:val="00010CC4"/>
    <w:rsid w:val="000112DE"/>
    <w:rsid w:val="000114AD"/>
    <w:rsid w:val="000117A2"/>
    <w:rsid w:val="00011F8F"/>
    <w:rsid w:val="00012BDA"/>
    <w:rsid w:val="000137B3"/>
    <w:rsid w:val="000140FC"/>
    <w:rsid w:val="0001481C"/>
    <w:rsid w:val="000149EE"/>
    <w:rsid w:val="00015289"/>
    <w:rsid w:val="000152D1"/>
    <w:rsid w:val="000154D2"/>
    <w:rsid w:val="00015EE9"/>
    <w:rsid w:val="0001669F"/>
    <w:rsid w:val="000169BD"/>
    <w:rsid w:val="00016A62"/>
    <w:rsid w:val="00016D64"/>
    <w:rsid w:val="00016E05"/>
    <w:rsid w:val="000171AF"/>
    <w:rsid w:val="000175F9"/>
    <w:rsid w:val="00017975"/>
    <w:rsid w:val="00017EF6"/>
    <w:rsid w:val="00020326"/>
    <w:rsid w:val="00020340"/>
    <w:rsid w:val="00020851"/>
    <w:rsid w:val="000214CD"/>
    <w:rsid w:val="00021FF5"/>
    <w:rsid w:val="000238A9"/>
    <w:rsid w:val="000239AA"/>
    <w:rsid w:val="000239C8"/>
    <w:rsid w:val="000244E1"/>
    <w:rsid w:val="00024A41"/>
    <w:rsid w:val="00026521"/>
    <w:rsid w:val="000268B0"/>
    <w:rsid w:val="000272D9"/>
    <w:rsid w:val="000304DD"/>
    <w:rsid w:val="00030D2A"/>
    <w:rsid w:val="00030F75"/>
    <w:rsid w:val="0003115F"/>
    <w:rsid w:val="0003211A"/>
    <w:rsid w:val="000324B9"/>
    <w:rsid w:val="000327A5"/>
    <w:rsid w:val="00032CA2"/>
    <w:rsid w:val="000331C4"/>
    <w:rsid w:val="00033BCB"/>
    <w:rsid w:val="0003429B"/>
    <w:rsid w:val="00034A0A"/>
    <w:rsid w:val="00035060"/>
    <w:rsid w:val="000352E4"/>
    <w:rsid w:val="00035AE9"/>
    <w:rsid w:val="00035B89"/>
    <w:rsid w:val="00035F47"/>
    <w:rsid w:val="00036214"/>
    <w:rsid w:val="0003633D"/>
    <w:rsid w:val="0003633F"/>
    <w:rsid w:val="000375B5"/>
    <w:rsid w:val="00041559"/>
    <w:rsid w:val="00041A32"/>
    <w:rsid w:val="000429FF"/>
    <w:rsid w:val="00042F2C"/>
    <w:rsid w:val="00042FB6"/>
    <w:rsid w:val="0004380B"/>
    <w:rsid w:val="00043AD9"/>
    <w:rsid w:val="00043BD8"/>
    <w:rsid w:val="0004426B"/>
    <w:rsid w:val="000442E2"/>
    <w:rsid w:val="00044404"/>
    <w:rsid w:val="000453FB"/>
    <w:rsid w:val="00045A89"/>
    <w:rsid w:val="00045BDF"/>
    <w:rsid w:val="00046B4A"/>
    <w:rsid w:val="000501BE"/>
    <w:rsid w:val="0005161E"/>
    <w:rsid w:val="000520AF"/>
    <w:rsid w:val="0005297F"/>
    <w:rsid w:val="000532E0"/>
    <w:rsid w:val="000536CF"/>
    <w:rsid w:val="00054642"/>
    <w:rsid w:val="00054C99"/>
    <w:rsid w:val="000553F2"/>
    <w:rsid w:val="00055B33"/>
    <w:rsid w:val="00055E8E"/>
    <w:rsid w:val="000562B0"/>
    <w:rsid w:val="00056E4F"/>
    <w:rsid w:val="00056F6B"/>
    <w:rsid w:val="00057702"/>
    <w:rsid w:val="000613CF"/>
    <w:rsid w:val="00061538"/>
    <w:rsid w:val="00061B60"/>
    <w:rsid w:val="00062D17"/>
    <w:rsid w:val="0006444F"/>
    <w:rsid w:val="00064A4C"/>
    <w:rsid w:val="00064AA4"/>
    <w:rsid w:val="00064BE9"/>
    <w:rsid w:val="00064C44"/>
    <w:rsid w:val="00065E20"/>
    <w:rsid w:val="0006601B"/>
    <w:rsid w:val="0006669E"/>
    <w:rsid w:val="00066DFA"/>
    <w:rsid w:val="000679E3"/>
    <w:rsid w:val="00067F5B"/>
    <w:rsid w:val="000702C7"/>
    <w:rsid w:val="00071A70"/>
    <w:rsid w:val="00072439"/>
    <w:rsid w:val="00072E4D"/>
    <w:rsid w:val="00072FD1"/>
    <w:rsid w:val="000732D4"/>
    <w:rsid w:val="000739D8"/>
    <w:rsid w:val="000739E2"/>
    <w:rsid w:val="000739F0"/>
    <w:rsid w:val="000755CC"/>
    <w:rsid w:val="0007578E"/>
    <w:rsid w:val="00076404"/>
    <w:rsid w:val="00081A1A"/>
    <w:rsid w:val="000827F5"/>
    <w:rsid w:val="00082A46"/>
    <w:rsid w:val="000830BB"/>
    <w:rsid w:val="00083B0D"/>
    <w:rsid w:val="00085444"/>
    <w:rsid w:val="00085632"/>
    <w:rsid w:val="00085767"/>
    <w:rsid w:val="00085B49"/>
    <w:rsid w:val="00085B90"/>
    <w:rsid w:val="0008685D"/>
    <w:rsid w:val="000868DF"/>
    <w:rsid w:val="000871DD"/>
    <w:rsid w:val="0008797F"/>
    <w:rsid w:val="00090598"/>
    <w:rsid w:val="00090DC4"/>
    <w:rsid w:val="00091229"/>
    <w:rsid w:val="000915D8"/>
    <w:rsid w:val="000917CC"/>
    <w:rsid w:val="00092061"/>
    <w:rsid w:val="00092274"/>
    <w:rsid w:val="000927B9"/>
    <w:rsid w:val="00093356"/>
    <w:rsid w:val="000936C3"/>
    <w:rsid w:val="000937DA"/>
    <w:rsid w:val="00094740"/>
    <w:rsid w:val="0009496E"/>
    <w:rsid w:val="00094E81"/>
    <w:rsid w:val="00096397"/>
    <w:rsid w:val="00096FE5"/>
    <w:rsid w:val="000978A5"/>
    <w:rsid w:val="000A04B5"/>
    <w:rsid w:val="000A09CE"/>
    <w:rsid w:val="000A19C2"/>
    <w:rsid w:val="000A1D25"/>
    <w:rsid w:val="000A235B"/>
    <w:rsid w:val="000A2B82"/>
    <w:rsid w:val="000A3149"/>
    <w:rsid w:val="000A43A4"/>
    <w:rsid w:val="000A4D07"/>
    <w:rsid w:val="000A5CB1"/>
    <w:rsid w:val="000A6467"/>
    <w:rsid w:val="000A6520"/>
    <w:rsid w:val="000A71BC"/>
    <w:rsid w:val="000A759E"/>
    <w:rsid w:val="000B00B5"/>
    <w:rsid w:val="000B0993"/>
    <w:rsid w:val="000B0C38"/>
    <w:rsid w:val="000B1DA9"/>
    <w:rsid w:val="000B2314"/>
    <w:rsid w:val="000B31AC"/>
    <w:rsid w:val="000B3FD0"/>
    <w:rsid w:val="000B4958"/>
    <w:rsid w:val="000B4B87"/>
    <w:rsid w:val="000B4DFB"/>
    <w:rsid w:val="000B4E24"/>
    <w:rsid w:val="000B4FD8"/>
    <w:rsid w:val="000B5203"/>
    <w:rsid w:val="000B540F"/>
    <w:rsid w:val="000B5525"/>
    <w:rsid w:val="000B5C21"/>
    <w:rsid w:val="000B5CA0"/>
    <w:rsid w:val="000B5F93"/>
    <w:rsid w:val="000B6932"/>
    <w:rsid w:val="000B7A78"/>
    <w:rsid w:val="000B7B85"/>
    <w:rsid w:val="000B7FD9"/>
    <w:rsid w:val="000C01B9"/>
    <w:rsid w:val="000C0305"/>
    <w:rsid w:val="000C0308"/>
    <w:rsid w:val="000C0485"/>
    <w:rsid w:val="000C0929"/>
    <w:rsid w:val="000C094F"/>
    <w:rsid w:val="000C0F08"/>
    <w:rsid w:val="000C12FF"/>
    <w:rsid w:val="000C20B5"/>
    <w:rsid w:val="000C25FB"/>
    <w:rsid w:val="000C446B"/>
    <w:rsid w:val="000C4655"/>
    <w:rsid w:val="000C4A11"/>
    <w:rsid w:val="000C5198"/>
    <w:rsid w:val="000C58FC"/>
    <w:rsid w:val="000C5BEF"/>
    <w:rsid w:val="000C6742"/>
    <w:rsid w:val="000C6BAB"/>
    <w:rsid w:val="000D0C17"/>
    <w:rsid w:val="000D0C73"/>
    <w:rsid w:val="000D0FFF"/>
    <w:rsid w:val="000D1E65"/>
    <w:rsid w:val="000D2CFA"/>
    <w:rsid w:val="000D368C"/>
    <w:rsid w:val="000D4060"/>
    <w:rsid w:val="000D420E"/>
    <w:rsid w:val="000D4327"/>
    <w:rsid w:val="000D537D"/>
    <w:rsid w:val="000D5733"/>
    <w:rsid w:val="000D5BCC"/>
    <w:rsid w:val="000D5D42"/>
    <w:rsid w:val="000D6029"/>
    <w:rsid w:val="000D6BCB"/>
    <w:rsid w:val="000D70E6"/>
    <w:rsid w:val="000D7733"/>
    <w:rsid w:val="000D7986"/>
    <w:rsid w:val="000D7E45"/>
    <w:rsid w:val="000D7F43"/>
    <w:rsid w:val="000D7FD3"/>
    <w:rsid w:val="000E03A7"/>
    <w:rsid w:val="000E051B"/>
    <w:rsid w:val="000E086E"/>
    <w:rsid w:val="000E1039"/>
    <w:rsid w:val="000E1268"/>
    <w:rsid w:val="000E1713"/>
    <w:rsid w:val="000E19F1"/>
    <w:rsid w:val="000E1C47"/>
    <w:rsid w:val="000E289B"/>
    <w:rsid w:val="000E2992"/>
    <w:rsid w:val="000E2A37"/>
    <w:rsid w:val="000E2EE7"/>
    <w:rsid w:val="000E32B9"/>
    <w:rsid w:val="000E3B2B"/>
    <w:rsid w:val="000E5864"/>
    <w:rsid w:val="000E5A01"/>
    <w:rsid w:val="000E5F2D"/>
    <w:rsid w:val="000E6403"/>
    <w:rsid w:val="000E6E46"/>
    <w:rsid w:val="000E76CD"/>
    <w:rsid w:val="000E7735"/>
    <w:rsid w:val="000F1969"/>
    <w:rsid w:val="000F1993"/>
    <w:rsid w:val="000F1A31"/>
    <w:rsid w:val="000F1AE1"/>
    <w:rsid w:val="000F25C4"/>
    <w:rsid w:val="000F272C"/>
    <w:rsid w:val="000F3300"/>
    <w:rsid w:val="000F3F62"/>
    <w:rsid w:val="000F425E"/>
    <w:rsid w:val="000F4A9F"/>
    <w:rsid w:val="000F51A2"/>
    <w:rsid w:val="000F53D9"/>
    <w:rsid w:val="000F5BED"/>
    <w:rsid w:val="000F5E6B"/>
    <w:rsid w:val="000F7294"/>
    <w:rsid w:val="000F73F2"/>
    <w:rsid w:val="000F79B2"/>
    <w:rsid w:val="0010002D"/>
    <w:rsid w:val="001002B2"/>
    <w:rsid w:val="0010125E"/>
    <w:rsid w:val="00102BB2"/>
    <w:rsid w:val="00103BEF"/>
    <w:rsid w:val="00104380"/>
    <w:rsid w:val="00105153"/>
    <w:rsid w:val="00106D12"/>
    <w:rsid w:val="00106EFA"/>
    <w:rsid w:val="0010710C"/>
    <w:rsid w:val="00107363"/>
    <w:rsid w:val="001075C4"/>
    <w:rsid w:val="00107AE7"/>
    <w:rsid w:val="00107CBB"/>
    <w:rsid w:val="001103D5"/>
    <w:rsid w:val="001105C4"/>
    <w:rsid w:val="00110BEB"/>
    <w:rsid w:val="00110E38"/>
    <w:rsid w:val="001113D0"/>
    <w:rsid w:val="00111B53"/>
    <w:rsid w:val="0011221E"/>
    <w:rsid w:val="001125B2"/>
    <w:rsid w:val="00114544"/>
    <w:rsid w:val="00114B41"/>
    <w:rsid w:val="00114CCA"/>
    <w:rsid w:val="00114D38"/>
    <w:rsid w:val="001155E8"/>
    <w:rsid w:val="00115DCE"/>
    <w:rsid w:val="00116188"/>
    <w:rsid w:val="00116D3E"/>
    <w:rsid w:val="00116DF6"/>
    <w:rsid w:val="00116FC4"/>
    <w:rsid w:val="00120975"/>
    <w:rsid w:val="00122E7C"/>
    <w:rsid w:val="001238BB"/>
    <w:rsid w:val="0012407E"/>
    <w:rsid w:val="001244CB"/>
    <w:rsid w:val="00124C67"/>
    <w:rsid w:val="00126381"/>
    <w:rsid w:val="00126F45"/>
    <w:rsid w:val="0012771E"/>
    <w:rsid w:val="00127CB8"/>
    <w:rsid w:val="0013033E"/>
    <w:rsid w:val="001305E7"/>
    <w:rsid w:val="0013078A"/>
    <w:rsid w:val="001308C2"/>
    <w:rsid w:val="00130D14"/>
    <w:rsid w:val="00131688"/>
    <w:rsid w:val="0013182B"/>
    <w:rsid w:val="00133A3F"/>
    <w:rsid w:val="00133D7A"/>
    <w:rsid w:val="0013401A"/>
    <w:rsid w:val="0013423A"/>
    <w:rsid w:val="00134A3C"/>
    <w:rsid w:val="00135128"/>
    <w:rsid w:val="00135168"/>
    <w:rsid w:val="00136482"/>
    <w:rsid w:val="00136616"/>
    <w:rsid w:val="00136686"/>
    <w:rsid w:val="00137BF8"/>
    <w:rsid w:val="00137CC3"/>
    <w:rsid w:val="0014030C"/>
    <w:rsid w:val="001404C1"/>
    <w:rsid w:val="001407A7"/>
    <w:rsid w:val="00141232"/>
    <w:rsid w:val="00141292"/>
    <w:rsid w:val="001416EC"/>
    <w:rsid w:val="00142065"/>
    <w:rsid w:val="0014236B"/>
    <w:rsid w:val="00142BBB"/>
    <w:rsid w:val="00143C69"/>
    <w:rsid w:val="00144029"/>
    <w:rsid w:val="001446DC"/>
    <w:rsid w:val="0014470D"/>
    <w:rsid w:val="00145B56"/>
    <w:rsid w:val="00145EAC"/>
    <w:rsid w:val="00146A19"/>
    <w:rsid w:val="00147324"/>
    <w:rsid w:val="001502A9"/>
    <w:rsid w:val="00150351"/>
    <w:rsid w:val="001504F8"/>
    <w:rsid w:val="00150681"/>
    <w:rsid w:val="0015088A"/>
    <w:rsid w:val="00150B1C"/>
    <w:rsid w:val="001519E5"/>
    <w:rsid w:val="00151C0B"/>
    <w:rsid w:val="00151F34"/>
    <w:rsid w:val="00151FEE"/>
    <w:rsid w:val="00152034"/>
    <w:rsid w:val="00152493"/>
    <w:rsid w:val="00152CC1"/>
    <w:rsid w:val="00152D05"/>
    <w:rsid w:val="001532F1"/>
    <w:rsid w:val="00153B3E"/>
    <w:rsid w:val="00153B9E"/>
    <w:rsid w:val="00154053"/>
    <w:rsid w:val="001546C4"/>
    <w:rsid w:val="00154EC3"/>
    <w:rsid w:val="00155883"/>
    <w:rsid w:val="00155E59"/>
    <w:rsid w:val="00157195"/>
    <w:rsid w:val="001572A7"/>
    <w:rsid w:val="00157BB4"/>
    <w:rsid w:val="00160526"/>
    <w:rsid w:val="00160615"/>
    <w:rsid w:val="001608CB"/>
    <w:rsid w:val="00160D1F"/>
    <w:rsid w:val="00160F7D"/>
    <w:rsid w:val="0016111C"/>
    <w:rsid w:val="0016169D"/>
    <w:rsid w:val="00161D0F"/>
    <w:rsid w:val="00161F7F"/>
    <w:rsid w:val="00162541"/>
    <w:rsid w:val="001627E9"/>
    <w:rsid w:val="00162F98"/>
    <w:rsid w:val="00163580"/>
    <w:rsid w:val="0016435A"/>
    <w:rsid w:val="00164F14"/>
    <w:rsid w:val="00164F52"/>
    <w:rsid w:val="00164F6C"/>
    <w:rsid w:val="00165115"/>
    <w:rsid w:val="0017003B"/>
    <w:rsid w:val="0017064F"/>
    <w:rsid w:val="00170EA6"/>
    <w:rsid w:val="00170EE9"/>
    <w:rsid w:val="00171647"/>
    <w:rsid w:val="0017277E"/>
    <w:rsid w:val="00172971"/>
    <w:rsid w:val="001729D3"/>
    <w:rsid w:val="001740CA"/>
    <w:rsid w:val="00174433"/>
    <w:rsid w:val="00174EBB"/>
    <w:rsid w:val="00174ECF"/>
    <w:rsid w:val="00174F06"/>
    <w:rsid w:val="00175970"/>
    <w:rsid w:val="00176A91"/>
    <w:rsid w:val="00177304"/>
    <w:rsid w:val="0017767A"/>
    <w:rsid w:val="0017791D"/>
    <w:rsid w:val="00177D5A"/>
    <w:rsid w:val="001801D1"/>
    <w:rsid w:val="001803BB"/>
    <w:rsid w:val="001805B7"/>
    <w:rsid w:val="001806E6"/>
    <w:rsid w:val="00182452"/>
    <w:rsid w:val="00182D0F"/>
    <w:rsid w:val="001840E2"/>
    <w:rsid w:val="001845E1"/>
    <w:rsid w:val="0018524A"/>
    <w:rsid w:val="00185810"/>
    <w:rsid w:val="0018591C"/>
    <w:rsid w:val="00185BEA"/>
    <w:rsid w:val="00186D4D"/>
    <w:rsid w:val="00187A4C"/>
    <w:rsid w:val="00187C83"/>
    <w:rsid w:val="00187ED2"/>
    <w:rsid w:val="00190525"/>
    <w:rsid w:val="00190E8C"/>
    <w:rsid w:val="00191F92"/>
    <w:rsid w:val="0019210E"/>
    <w:rsid w:val="001923B1"/>
    <w:rsid w:val="00193C8E"/>
    <w:rsid w:val="00193FF3"/>
    <w:rsid w:val="00194B0E"/>
    <w:rsid w:val="001950C4"/>
    <w:rsid w:val="001958FB"/>
    <w:rsid w:val="00195C0C"/>
    <w:rsid w:val="00196028"/>
    <w:rsid w:val="0019643C"/>
    <w:rsid w:val="00196447"/>
    <w:rsid w:val="0019675F"/>
    <w:rsid w:val="001978DC"/>
    <w:rsid w:val="001A05C5"/>
    <w:rsid w:val="001A0AB7"/>
    <w:rsid w:val="001A0CA5"/>
    <w:rsid w:val="001A24EB"/>
    <w:rsid w:val="001A2605"/>
    <w:rsid w:val="001A2D41"/>
    <w:rsid w:val="001A2F70"/>
    <w:rsid w:val="001A396F"/>
    <w:rsid w:val="001A55A2"/>
    <w:rsid w:val="001A5ED2"/>
    <w:rsid w:val="001A6189"/>
    <w:rsid w:val="001A61E0"/>
    <w:rsid w:val="001A62E0"/>
    <w:rsid w:val="001A666A"/>
    <w:rsid w:val="001A6711"/>
    <w:rsid w:val="001A711A"/>
    <w:rsid w:val="001A73B5"/>
    <w:rsid w:val="001B0841"/>
    <w:rsid w:val="001B0E00"/>
    <w:rsid w:val="001B1626"/>
    <w:rsid w:val="001B19C1"/>
    <w:rsid w:val="001B1E19"/>
    <w:rsid w:val="001B2103"/>
    <w:rsid w:val="001B27B0"/>
    <w:rsid w:val="001B2C45"/>
    <w:rsid w:val="001B32C9"/>
    <w:rsid w:val="001B33CC"/>
    <w:rsid w:val="001B3A3F"/>
    <w:rsid w:val="001B41A2"/>
    <w:rsid w:val="001B423C"/>
    <w:rsid w:val="001B4509"/>
    <w:rsid w:val="001B4CB8"/>
    <w:rsid w:val="001B573A"/>
    <w:rsid w:val="001B5897"/>
    <w:rsid w:val="001B6C5F"/>
    <w:rsid w:val="001B6F49"/>
    <w:rsid w:val="001B7665"/>
    <w:rsid w:val="001B7C62"/>
    <w:rsid w:val="001C023C"/>
    <w:rsid w:val="001C0566"/>
    <w:rsid w:val="001C0B47"/>
    <w:rsid w:val="001C16AC"/>
    <w:rsid w:val="001C1855"/>
    <w:rsid w:val="001C232B"/>
    <w:rsid w:val="001C596C"/>
    <w:rsid w:val="001C685E"/>
    <w:rsid w:val="001C6865"/>
    <w:rsid w:val="001C6AA5"/>
    <w:rsid w:val="001C715C"/>
    <w:rsid w:val="001C7C21"/>
    <w:rsid w:val="001D1180"/>
    <w:rsid w:val="001D16D6"/>
    <w:rsid w:val="001D1C62"/>
    <w:rsid w:val="001D2625"/>
    <w:rsid w:val="001D26E0"/>
    <w:rsid w:val="001D352D"/>
    <w:rsid w:val="001D3BBB"/>
    <w:rsid w:val="001D3DD7"/>
    <w:rsid w:val="001D41EE"/>
    <w:rsid w:val="001D4A98"/>
    <w:rsid w:val="001D69BB"/>
    <w:rsid w:val="001D76BC"/>
    <w:rsid w:val="001E0377"/>
    <w:rsid w:val="001E0725"/>
    <w:rsid w:val="001E09A9"/>
    <w:rsid w:val="001E0D3C"/>
    <w:rsid w:val="001E0E67"/>
    <w:rsid w:val="001E0F5C"/>
    <w:rsid w:val="001E1177"/>
    <w:rsid w:val="001E14E8"/>
    <w:rsid w:val="001E1BB3"/>
    <w:rsid w:val="001E2F8D"/>
    <w:rsid w:val="001E3700"/>
    <w:rsid w:val="001E46EC"/>
    <w:rsid w:val="001E496D"/>
    <w:rsid w:val="001E4CE4"/>
    <w:rsid w:val="001E7609"/>
    <w:rsid w:val="001F09C8"/>
    <w:rsid w:val="001F128F"/>
    <w:rsid w:val="001F189B"/>
    <w:rsid w:val="001F18CB"/>
    <w:rsid w:val="001F1B0F"/>
    <w:rsid w:val="001F2792"/>
    <w:rsid w:val="001F2A5A"/>
    <w:rsid w:val="001F2C8C"/>
    <w:rsid w:val="001F3719"/>
    <w:rsid w:val="001F387B"/>
    <w:rsid w:val="001F4034"/>
    <w:rsid w:val="001F46B9"/>
    <w:rsid w:val="001F4910"/>
    <w:rsid w:val="001F5497"/>
    <w:rsid w:val="001F5699"/>
    <w:rsid w:val="001F5FFE"/>
    <w:rsid w:val="001F747A"/>
    <w:rsid w:val="0020024A"/>
    <w:rsid w:val="00200DE3"/>
    <w:rsid w:val="00201105"/>
    <w:rsid w:val="00201489"/>
    <w:rsid w:val="00201746"/>
    <w:rsid w:val="00201F2A"/>
    <w:rsid w:val="00202383"/>
    <w:rsid w:val="0020376C"/>
    <w:rsid w:val="00203A25"/>
    <w:rsid w:val="00204CB4"/>
    <w:rsid w:val="00204CF4"/>
    <w:rsid w:val="00205111"/>
    <w:rsid w:val="002064E9"/>
    <w:rsid w:val="0020737F"/>
    <w:rsid w:val="00207891"/>
    <w:rsid w:val="00207F00"/>
    <w:rsid w:val="00210FB3"/>
    <w:rsid w:val="00211C13"/>
    <w:rsid w:val="00212807"/>
    <w:rsid w:val="00212D78"/>
    <w:rsid w:val="002136CF"/>
    <w:rsid w:val="0021421F"/>
    <w:rsid w:val="00214843"/>
    <w:rsid w:val="0021502A"/>
    <w:rsid w:val="00215B25"/>
    <w:rsid w:val="00216011"/>
    <w:rsid w:val="002169AE"/>
    <w:rsid w:val="00216B4E"/>
    <w:rsid w:val="002170E5"/>
    <w:rsid w:val="00217161"/>
    <w:rsid w:val="00220290"/>
    <w:rsid w:val="00220466"/>
    <w:rsid w:val="00220B25"/>
    <w:rsid w:val="00221027"/>
    <w:rsid w:val="0022125E"/>
    <w:rsid w:val="002213D8"/>
    <w:rsid w:val="00221416"/>
    <w:rsid w:val="002214D5"/>
    <w:rsid w:val="00222054"/>
    <w:rsid w:val="00222B2A"/>
    <w:rsid w:val="00224867"/>
    <w:rsid w:val="00224B50"/>
    <w:rsid w:val="0022546B"/>
    <w:rsid w:val="00225BAD"/>
    <w:rsid w:val="00225DE9"/>
    <w:rsid w:val="00225E09"/>
    <w:rsid w:val="002260C6"/>
    <w:rsid w:val="002264B6"/>
    <w:rsid w:val="00227085"/>
    <w:rsid w:val="0023007E"/>
    <w:rsid w:val="00230917"/>
    <w:rsid w:val="00230979"/>
    <w:rsid w:val="002309EF"/>
    <w:rsid w:val="00231AC6"/>
    <w:rsid w:val="00231E53"/>
    <w:rsid w:val="00232771"/>
    <w:rsid w:val="00232E44"/>
    <w:rsid w:val="00234491"/>
    <w:rsid w:val="00234776"/>
    <w:rsid w:val="0023542D"/>
    <w:rsid w:val="00237DC3"/>
    <w:rsid w:val="00240532"/>
    <w:rsid w:val="00240911"/>
    <w:rsid w:val="00241316"/>
    <w:rsid w:val="00241682"/>
    <w:rsid w:val="00241CCB"/>
    <w:rsid w:val="00243C66"/>
    <w:rsid w:val="00245478"/>
    <w:rsid w:val="00246110"/>
    <w:rsid w:val="002465A5"/>
    <w:rsid w:val="00246B11"/>
    <w:rsid w:val="00247203"/>
    <w:rsid w:val="0024731C"/>
    <w:rsid w:val="00247AB0"/>
    <w:rsid w:val="00247EDB"/>
    <w:rsid w:val="00247F52"/>
    <w:rsid w:val="002501CE"/>
    <w:rsid w:val="002504FD"/>
    <w:rsid w:val="00252048"/>
    <w:rsid w:val="00252507"/>
    <w:rsid w:val="0025253E"/>
    <w:rsid w:val="00252AF5"/>
    <w:rsid w:val="00252DAE"/>
    <w:rsid w:val="00253FDA"/>
    <w:rsid w:val="0025474E"/>
    <w:rsid w:val="0025504D"/>
    <w:rsid w:val="00255446"/>
    <w:rsid w:val="00255B5C"/>
    <w:rsid w:val="002561E7"/>
    <w:rsid w:val="00256735"/>
    <w:rsid w:val="002568A7"/>
    <w:rsid w:val="002601EC"/>
    <w:rsid w:val="00262577"/>
    <w:rsid w:val="00262945"/>
    <w:rsid w:val="00262988"/>
    <w:rsid w:val="00263DF0"/>
    <w:rsid w:val="00264EE4"/>
    <w:rsid w:val="002651FF"/>
    <w:rsid w:val="00265270"/>
    <w:rsid w:val="0026676C"/>
    <w:rsid w:val="00266929"/>
    <w:rsid w:val="00266A32"/>
    <w:rsid w:val="00266D24"/>
    <w:rsid w:val="002673EE"/>
    <w:rsid w:val="00267B07"/>
    <w:rsid w:val="0027007E"/>
    <w:rsid w:val="00270A31"/>
    <w:rsid w:val="00271094"/>
    <w:rsid w:val="0027134E"/>
    <w:rsid w:val="002721D6"/>
    <w:rsid w:val="00273366"/>
    <w:rsid w:val="00273DE4"/>
    <w:rsid w:val="00274070"/>
    <w:rsid w:val="00274AAA"/>
    <w:rsid w:val="002756D2"/>
    <w:rsid w:val="0027585F"/>
    <w:rsid w:val="00275951"/>
    <w:rsid w:val="0027639D"/>
    <w:rsid w:val="00276557"/>
    <w:rsid w:val="002769A5"/>
    <w:rsid w:val="00277DE9"/>
    <w:rsid w:val="00280298"/>
    <w:rsid w:val="002809BB"/>
    <w:rsid w:val="0028131C"/>
    <w:rsid w:val="00281C48"/>
    <w:rsid w:val="00281D5F"/>
    <w:rsid w:val="00282734"/>
    <w:rsid w:val="0028290A"/>
    <w:rsid w:val="00282BF6"/>
    <w:rsid w:val="00282F19"/>
    <w:rsid w:val="0028334A"/>
    <w:rsid w:val="00283FAA"/>
    <w:rsid w:val="00284500"/>
    <w:rsid w:val="0028470A"/>
    <w:rsid w:val="00284BBB"/>
    <w:rsid w:val="002854CE"/>
    <w:rsid w:val="002876AC"/>
    <w:rsid w:val="00287B39"/>
    <w:rsid w:val="00290A34"/>
    <w:rsid w:val="00290E0C"/>
    <w:rsid w:val="002912FC"/>
    <w:rsid w:val="002915BD"/>
    <w:rsid w:val="00291FDB"/>
    <w:rsid w:val="00292B0F"/>
    <w:rsid w:val="00292C12"/>
    <w:rsid w:val="00293A43"/>
    <w:rsid w:val="00294581"/>
    <w:rsid w:val="00294E01"/>
    <w:rsid w:val="00295EA8"/>
    <w:rsid w:val="00296267"/>
    <w:rsid w:val="00296912"/>
    <w:rsid w:val="00296972"/>
    <w:rsid w:val="00296AA0"/>
    <w:rsid w:val="00296E2B"/>
    <w:rsid w:val="00296F0E"/>
    <w:rsid w:val="00297B4B"/>
    <w:rsid w:val="00297E38"/>
    <w:rsid w:val="002A078F"/>
    <w:rsid w:val="002A08F7"/>
    <w:rsid w:val="002A0A58"/>
    <w:rsid w:val="002A0C63"/>
    <w:rsid w:val="002A1AF3"/>
    <w:rsid w:val="002A203E"/>
    <w:rsid w:val="002A24B9"/>
    <w:rsid w:val="002A2EB5"/>
    <w:rsid w:val="002A603B"/>
    <w:rsid w:val="002A6670"/>
    <w:rsid w:val="002A69B7"/>
    <w:rsid w:val="002B00B8"/>
    <w:rsid w:val="002B0A3F"/>
    <w:rsid w:val="002B103B"/>
    <w:rsid w:val="002B1755"/>
    <w:rsid w:val="002B2B01"/>
    <w:rsid w:val="002B36C0"/>
    <w:rsid w:val="002B3833"/>
    <w:rsid w:val="002B3837"/>
    <w:rsid w:val="002B3BA6"/>
    <w:rsid w:val="002B3CBB"/>
    <w:rsid w:val="002B3FAD"/>
    <w:rsid w:val="002B4217"/>
    <w:rsid w:val="002B459F"/>
    <w:rsid w:val="002B4FEB"/>
    <w:rsid w:val="002B5BD6"/>
    <w:rsid w:val="002B62A3"/>
    <w:rsid w:val="002B6DE0"/>
    <w:rsid w:val="002B7650"/>
    <w:rsid w:val="002B7729"/>
    <w:rsid w:val="002B7A66"/>
    <w:rsid w:val="002C0D31"/>
    <w:rsid w:val="002C170C"/>
    <w:rsid w:val="002C1CB4"/>
    <w:rsid w:val="002C22AB"/>
    <w:rsid w:val="002C2419"/>
    <w:rsid w:val="002C26D8"/>
    <w:rsid w:val="002C2E7E"/>
    <w:rsid w:val="002C3394"/>
    <w:rsid w:val="002C4500"/>
    <w:rsid w:val="002C4B78"/>
    <w:rsid w:val="002C5138"/>
    <w:rsid w:val="002C5D74"/>
    <w:rsid w:val="002C5DCC"/>
    <w:rsid w:val="002C60A2"/>
    <w:rsid w:val="002C6192"/>
    <w:rsid w:val="002C66A6"/>
    <w:rsid w:val="002C75DF"/>
    <w:rsid w:val="002D03CF"/>
    <w:rsid w:val="002D05CC"/>
    <w:rsid w:val="002D0C57"/>
    <w:rsid w:val="002D21A7"/>
    <w:rsid w:val="002D289C"/>
    <w:rsid w:val="002D2D4C"/>
    <w:rsid w:val="002D3529"/>
    <w:rsid w:val="002D4294"/>
    <w:rsid w:val="002D4836"/>
    <w:rsid w:val="002D50A9"/>
    <w:rsid w:val="002D512B"/>
    <w:rsid w:val="002D6231"/>
    <w:rsid w:val="002D718B"/>
    <w:rsid w:val="002E10EB"/>
    <w:rsid w:val="002E21BA"/>
    <w:rsid w:val="002E2359"/>
    <w:rsid w:val="002E273E"/>
    <w:rsid w:val="002E342E"/>
    <w:rsid w:val="002E371C"/>
    <w:rsid w:val="002E38FA"/>
    <w:rsid w:val="002E3EDB"/>
    <w:rsid w:val="002E461E"/>
    <w:rsid w:val="002E553D"/>
    <w:rsid w:val="002E618A"/>
    <w:rsid w:val="002E6203"/>
    <w:rsid w:val="002E6DA0"/>
    <w:rsid w:val="002E6DFB"/>
    <w:rsid w:val="002E7522"/>
    <w:rsid w:val="002F090A"/>
    <w:rsid w:val="002F0D91"/>
    <w:rsid w:val="002F0F1D"/>
    <w:rsid w:val="002F24C3"/>
    <w:rsid w:val="002F3979"/>
    <w:rsid w:val="002F4E95"/>
    <w:rsid w:val="002F4FCD"/>
    <w:rsid w:val="002F5D1A"/>
    <w:rsid w:val="002F6EE7"/>
    <w:rsid w:val="002F6FB8"/>
    <w:rsid w:val="002F70C2"/>
    <w:rsid w:val="002F7180"/>
    <w:rsid w:val="002F763C"/>
    <w:rsid w:val="002F79C9"/>
    <w:rsid w:val="002F7C07"/>
    <w:rsid w:val="0030014B"/>
    <w:rsid w:val="003006A6"/>
    <w:rsid w:val="003013F7"/>
    <w:rsid w:val="00302376"/>
    <w:rsid w:val="003039EC"/>
    <w:rsid w:val="00304954"/>
    <w:rsid w:val="00305F7E"/>
    <w:rsid w:val="00306D5B"/>
    <w:rsid w:val="00307546"/>
    <w:rsid w:val="00307DA9"/>
    <w:rsid w:val="003100FE"/>
    <w:rsid w:val="00310100"/>
    <w:rsid w:val="00310346"/>
    <w:rsid w:val="0031054B"/>
    <w:rsid w:val="003105FC"/>
    <w:rsid w:val="00311DB1"/>
    <w:rsid w:val="00312B65"/>
    <w:rsid w:val="00313240"/>
    <w:rsid w:val="00313675"/>
    <w:rsid w:val="003144D7"/>
    <w:rsid w:val="00315B90"/>
    <w:rsid w:val="00315BE6"/>
    <w:rsid w:val="003162AC"/>
    <w:rsid w:val="00316357"/>
    <w:rsid w:val="00317267"/>
    <w:rsid w:val="00317D90"/>
    <w:rsid w:val="003206C9"/>
    <w:rsid w:val="00320D35"/>
    <w:rsid w:val="00321001"/>
    <w:rsid w:val="00321340"/>
    <w:rsid w:val="003213AD"/>
    <w:rsid w:val="003215C7"/>
    <w:rsid w:val="0032230B"/>
    <w:rsid w:val="00324AB6"/>
    <w:rsid w:val="00324D42"/>
    <w:rsid w:val="00325A2B"/>
    <w:rsid w:val="003264BA"/>
    <w:rsid w:val="0033025D"/>
    <w:rsid w:val="0033035A"/>
    <w:rsid w:val="003306AF"/>
    <w:rsid w:val="00330DE4"/>
    <w:rsid w:val="00330FCD"/>
    <w:rsid w:val="00331CDE"/>
    <w:rsid w:val="003326A4"/>
    <w:rsid w:val="00332845"/>
    <w:rsid w:val="0033295D"/>
    <w:rsid w:val="0033331A"/>
    <w:rsid w:val="003339D7"/>
    <w:rsid w:val="00333C12"/>
    <w:rsid w:val="0033406D"/>
    <w:rsid w:val="003340E1"/>
    <w:rsid w:val="0033419F"/>
    <w:rsid w:val="00335D94"/>
    <w:rsid w:val="003369E1"/>
    <w:rsid w:val="00336E29"/>
    <w:rsid w:val="003374F9"/>
    <w:rsid w:val="00337742"/>
    <w:rsid w:val="00337781"/>
    <w:rsid w:val="00337C45"/>
    <w:rsid w:val="00337E58"/>
    <w:rsid w:val="0034063A"/>
    <w:rsid w:val="00340740"/>
    <w:rsid w:val="00341B2A"/>
    <w:rsid w:val="00341BF7"/>
    <w:rsid w:val="00342944"/>
    <w:rsid w:val="00342B0A"/>
    <w:rsid w:val="0034309A"/>
    <w:rsid w:val="00343AC1"/>
    <w:rsid w:val="00343D99"/>
    <w:rsid w:val="00343EB2"/>
    <w:rsid w:val="00344687"/>
    <w:rsid w:val="00344EDE"/>
    <w:rsid w:val="003468DB"/>
    <w:rsid w:val="00346AC6"/>
    <w:rsid w:val="00347249"/>
    <w:rsid w:val="0034734E"/>
    <w:rsid w:val="003474A5"/>
    <w:rsid w:val="003478F1"/>
    <w:rsid w:val="00350185"/>
    <w:rsid w:val="00351340"/>
    <w:rsid w:val="0035180F"/>
    <w:rsid w:val="0035265A"/>
    <w:rsid w:val="00352F7C"/>
    <w:rsid w:val="00353B9A"/>
    <w:rsid w:val="0035470A"/>
    <w:rsid w:val="003571DB"/>
    <w:rsid w:val="00357E4E"/>
    <w:rsid w:val="00357E67"/>
    <w:rsid w:val="00360037"/>
    <w:rsid w:val="00361084"/>
    <w:rsid w:val="003617F7"/>
    <w:rsid w:val="003626AE"/>
    <w:rsid w:val="003628F5"/>
    <w:rsid w:val="00362F1F"/>
    <w:rsid w:val="00363312"/>
    <w:rsid w:val="00363708"/>
    <w:rsid w:val="00363DD5"/>
    <w:rsid w:val="003644DB"/>
    <w:rsid w:val="003647A6"/>
    <w:rsid w:val="00364C5B"/>
    <w:rsid w:val="003657AF"/>
    <w:rsid w:val="00365D04"/>
    <w:rsid w:val="00365EE8"/>
    <w:rsid w:val="003663C9"/>
    <w:rsid w:val="00370500"/>
    <w:rsid w:val="003709F0"/>
    <w:rsid w:val="00370ED2"/>
    <w:rsid w:val="0037181A"/>
    <w:rsid w:val="00371E8B"/>
    <w:rsid w:val="0037224C"/>
    <w:rsid w:val="00372D98"/>
    <w:rsid w:val="00372E74"/>
    <w:rsid w:val="003731F3"/>
    <w:rsid w:val="00373D13"/>
    <w:rsid w:val="00373EEC"/>
    <w:rsid w:val="00374286"/>
    <w:rsid w:val="00374D6E"/>
    <w:rsid w:val="00375D7D"/>
    <w:rsid w:val="00375E9F"/>
    <w:rsid w:val="00376EBE"/>
    <w:rsid w:val="00376F4F"/>
    <w:rsid w:val="0037776E"/>
    <w:rsid w:val="00377BAE"/>
    <w:rsid w:val="0038059C"/>
    <w:rsid w:val="00380C5C"/>
    <w:rsid w:val="00380D77"/>
    <w:rsid w:val="00381035"/>
    <w:rsid w:val="0038127D"/>
    <w:rsid w:val="0038321E"/>
    <w:rsid w:val="003834CD"/>
    <w:rsid w:val="00384BF2"/>
    <w:rsid w:val="00384EB6"/>
    <w:rsid w:val="00385019"/>
    <w:rsid w:val="003853E8"/>
    <w:rsid w:val="00385A68"/>
    <w:rsid w:val="00385DC1"/>
    <w:rsid w:val="00386042"/>
    <w:rsid w:val="00386750"/>
    <w:rsid w:val="003868FF"/>
    <w:rsid w:val="00386C7F"/>
    <w:rsid w:val="00387812"/>
    <w:rsid w:val="00387B59"/>
    <w:rsid w:val="00390016"/>
    <w:rsid w:val="003901B3"/>
    <w:rsid w:val="00390D2B"/>
    <w:rsid w:val="0039120A"/>
    <w:rsid w:val="00391932"/>
    <w:rsid w:val="00391986"/>
    <w:rsid w:val="00391DE5"/>
    <w:rsid w:val="00392A1D"/>
    <w:rsid w:val="00393602"/>
    <w:rsid w:val="0039371C"/>
    <w:rsid w:val="0039451D"/>
    <w:rsid w:val="00394698"/>
    <w:rsid w:val="00394AE2"/>
    <w:rsid w:val="00395FE4"/>
    <w:rsid w:val="003960F3"/>
    <w:rsid w:val="003961FC"/>
    <w:rsid w:val="00396383"/>
    <w:rsid w:val="0039667B"/>
    <w:rsid w:val="00396FF3"/>
    <w:rsid w:val="003979B2"/>
    <w:rsid w:val="00397E62"/>
    <w:rsid w:val="003A019F"/>
    <w:rsid w:val="003A0CF7"/>
    <w:rsid w:val="003A0FC3"/>
    <w:rsid w:val="003A18DC"/>
    <w:rsid w:val="003A1DCC"/>
    <w:rsid w:val="003A1E5A"/>
    <w:rsid w:val="003A2F13"/>
    <w:rsid w:val="003A3819"/>
    <w:rsid w:val="003A5970"/>
    <w:rsid w:val="003A6FA2"/>
    <w:rsid w:val="003A706B"/>
    <w:rsid w:val="003A741E"/>
    <w:rsid w:val="003A7CD3"/>
    <w:rsid w:val="003A7EAB"/>
    <w:rsid w:val="003B1B6B"/>
    <w:rsid w:val="003B2331"/>
    <w:rsid w:val="003B2D82"/>
    <w:rsid w:val="003B329F"/>
    <w:rsid w:val="003B38C8"/>
    <w:rsid w:val="003B3CAF"/>
    <w:rsid w:val="003B4667"/>
    <w:rsid w:val="003B4B70"/>
    <w:rsid w:val="003B547E"/>
    <w:rsid w:val="003B73B0"/>
    <w:rsid w:val="003C0549"/>
    <w:rsid w:val="003C1E57"/>
    <w:rsid w:val="003C26BD"/>
    <w:rsid w:val="003C3EDD"/>
    <w:rsid w:val="003C4332"/>
    <w:rsid w:val="003C43AE"/>
    <w:rsid w:val="003C5255"/>
    <w:rsid w:val="003C610C"/>
    <w:rsid w:val="003C65C6"/>
    <w:rsid w:val="003C68FE"/>
    <w:rsid w:val="003D0222"/>
    <w:rsid w:val="003D1800"/>
    <w:rsid w:val="003D205C"/>
    <w:rsid w:val="003D2926"/>
    <w:rsid w:val="003D3AA3"/>
    <w:rsid w:val="003D4429"/>
    <w:rsid w:val="003D4C70"/>
    <w:rsid w:val="003D5455"/>
    <w:rsid w:val="003D608E"/>
    <w:rsid w:val="003D6401"/>
    <w:rsid w:val="003D6B26"/>
    <w:rsid w:val="003D6B95"/>
    <w:rsid w:val="003D6F57"/>
    <w:rsid w:val="003D70E6"/>
    <w:rsid w:val="003D71EC"/>
    <w:rsid w:val="003E2183"/>
    <w:rsid w:val="003E251F"/>
    <w:rsid w:val="003E2AF6"/>
    <w:rsid w:val="003E2BD5"/>
    <w:rsid w:val="003E37A9"/>
    <w:rsid w:val="003E3856"/>
    <w:rsid w:val="003E3AFD"/>
    <w:rsid w:val="003E3CEC"/>
    <w:rsid w:val="003E3F16"/>
    <w:rsid w:val="003E52B5"/>
    <w:rsid w:val="003E6277"/>
    <w:rsid w:val="003E6AA1"/>
    <w:rsid w:val="003E78B1"/>
    <w:rsid w:val="003E7EF5"/>
    <w:rsid w:val="003F2F02"/>
    <w:rsid w:val="003F34AE"/>
    <w:rsid w:val="003F362E"/>
    <w:rsid w:val="003F40A9"/>
    <w:rsid w:val="003F4200"/>
    <w:rsid w:val="003F484D"/>
    <w:rsid w:val="003F598F"/>
    <w:rsid w:val="003F6357"/>
    <w:rsid w:val="003F72DA"/>
    <w:rsid w:val="003F7C8D"/>
    <w:rsid w:val="00400CA0"/>
    <w:rsid w:val="0040182C"/>
    <w:rsid w:val="00401C56"/>
    <w:rsid w:val="00402403"/>
    <w:rsid w:val="00403304"/>
    <w:rsid w:val="004037F9"/>
    <w:rsid w:val="004039B2"/>
    <w:rsid w:val="00403A91"/>
    <w:rsid w:val="00403EBE"/>
    <w:rsid w:val="00404A4C"/>
    <w:rsid w:val="00404B8A"/>
    <w:rsid w:val="0040524F"/>
    <w:rsid w:val="004052AE"/>
    <w:rsid w:val="004054C5"/>
    <w:rsid w:val="00405901"/>
    <w:rsid w:val="00405F5B"/>
    <w:rsid w:val="004072B6"/>
    <w:rsid w:val="0040748C"/>
    <w:rsid w:val="00407818"/>
    <w:rsid w:val="004100F5"/>
    <w:rsid w:val="00410188"/>
    <w:rsid w:val="0041076A"/>
    <w:rsid w:val="00410F2E"/>
    <w:rsid w:val="0041191E"/>
    <w:rsid w:val="00411FEA"/>
    <w:rsid w:val="00412590"/>
    <w:rsid w:val="00412848"/>
    <w:rsid w:val="004137B6"/>
    <w:rsid w:val="00413836"/>
    <w:rsid w:val="00413A60"/>
    <w:rsid w:val="00413C3B"/>
    <w:rsid w:val="00413F97"/>
    <w:rsid w:val="00414B62"/>
    <w:rsid w:val="00414CE6"/>
    <w:rsid w:val="00414F62"/>
    <w:rsid w:val="004166C5"/>
    <w:rsid w:val="004173C7"/>
    <w:rsid w:val="0041742F"/>
    <w:rsid w:val="00417C24"/>
    <w:rsid w:val="00420363"/>
    <w:rsid w:val="00420757"/>
    <w:rsid w:val="00420D9B"/>
    <w:rsid w:val="00420F0B"/>
    <w:rsid w:val="004214BF"/>
    <w:rsid w:val="00422DF6"/>
    <w:rsid w:val="00422F62"/>
    <w:rsid w:val="00423040"/>
    <w:rsid w:val="004236D4"/>
    <w:rsid w:val="0042391C"/>
    <w:rsid w:val="0042401D"/>
    <w:rsid w:val="004240D2"/>
    <w:rsid w:val="0042430B"/>
    <w:rsid w:val="0042435D"/>
    <w:rsid w:val="00426D7C"/>
    <w:rsid w:val="00426DE9"/>
    <w:rsid w:val="00427016"/>
    <w:rsid w:val="00427595"/>
    <w:rsid w:val="00430ECE"/>
    <w:rsid w:val="004317EF"/>
    <w:rsid w:val="004317F7"/>
    <w:rsid w:val="00431E22"/>
    <w:rsid w:val="0043235A"/>
    <w:rsid w:val="00432A99"/>
    <w:rsid w:val="0043338F"/>
    <w:rsid w:val="00433C88"/>
    <w:rsid w:val="00433EEA"/>
    <w:rsid w:val="0043494F"/>
    <w:rsid w:val="00434CD9"/>
    <w:rsid w:val="0043511F"/>
    <w:rsid w:val="00435F1C"/>
    <w:rsid w:val="00437189"/>
    <w:rsid w:val="00440B3B"/>
    <w:rsid w:val="00440BD0"/>
    <w:rsid w:val="004411A4"/>
    <w:rsid w:val="004414FB"/>
    <w:rsid w:val="0044177A"/>
    <w:rsid w:val="0044180C"/>
    <w:rsid w:val="00442617"/>
    <w:rsid w:val="00442F6B"/>
    <w:rsid w:val="00443893"/>
    <w:rsid w:val="004440A8"/>
    <w:rsid w:val="0044563E"/>
    <w:rsid w:val="00446A06"/>
    <w:rsid w:val="004474F8"/>
    <w:rsid w:val="00450B78"/>
    <w:rsid w:val="00450C54"/>
    <w:rsid w:val="0045102F"/>
    <w:rsid w:val="00451378"/>
    <w:rsid w:val="00452C13"/>
    <w:rsid w:val="004530FD"/>
    <w:rsid w:val="00454B0D"/>
    <w:rsid w:val="00455057"/>
    <w:rsid w:val="004553DA"/>
    <w:rsid w:val="0045602C"/>
    <w:rsid w:val="00456781"/>
    <w:rsid w:val="004575EF"/>
    <w:rsid w:val="004577CC"/>
    <w:rsid w:val="004579D1"/>
    <w:rsid w:val="00460678"/>
    <w:rsid w:val="00460A66"/>
    <w:rsid w:val="00460E39"/>
    <w:rsid w:val="00460E6C"/>
    <w:rsid w:val="00461A44"/>
    <w:rsid w:val="0046243F"/>
    <w:rsid w:val="004625E3"/>
    <w:rsid w:val="00462A8E"/>
    <w:rsid w:val="00462E57"/>
    <w:rsid w:val="00462FB1"/>
    <w:rsid w:val="00463665"/>
    <w:rsid w:val="00463888"/>
    <w:rsid w:val="00463969"/>
    <w:rsid w:val="00463BF2"/>
    <w:rsid w:val="00464D5B"/>
    <w:rsid w:val="00465324"/>
    <w:rsid w:val="00465E87"/>
    <w:rsid w:val="004676B2"/>
    <w:rsid w:val="00470174"/>
    <w:rsid w:val="00470BE2"/>
    <w:rsid w:val="004710F2"/>
    <w:rsid w:val="00471529"/>
    <w:rsid w:val="00472836"/>
    <w:rsid w:val="00472B0E"/>
    <w:rsid w:val="00472C25"/>
    <w:rsid w:val="004734C8"/>
    <w:rsid w:val="00474E10"/>
    <w:rsid w:val="00474FF8"/>
    <w:rsid w:val="00475491"/>
    <w:rsid w:val="00475AB6"/>
    <w:rsid w:val="00475DD3"/>
    <w:rsid w:val="0047694F"/>
    <w:rsid w:val="00476FD9"/>
    <w:rsid w:val="00481B02"/>
    <w:rsid w:val="00481E7D"/>
    <w:rsid w:val="0048204F"/>
    <w:rsid w:val="00482501"/>
    <w:rsid w:val="00483395"/>
    <w:rsid w:val="004833A8"/>
    <w:rsid w:val="00483716"/>
    <w:rsid w:val="004847E7"/>
    <w:rsid w:val="00485B30"/>
    <w:rsid w:val="00487355"/>
    <w:rsid w:val="004875FA"/>
    <w:rsid w:val="004901BC"/>
    <w:rsid w:val="00491BC0"/>
    <w:rsid w:val="00492369"/>
    <w:rsid w:val="00493355"/>
    <w:rsid w:val="0049340D"/>
    <w:rsid w:val="00493C57"/>
    <w:rsid w:val="00495652"/>
    <w:rsid w:val="00495AC3"/>
    <w:rsid w:val="00496882"/>
    <w:rsid w:val="00497542"/>
    <w:rsid w:val="00497700"/>
    <w:rsid w:val="00497893"/>
    <w:rsid w:val="00497A51"/>
    <w:rsid w:val="004A0897"/>
    <w:rsid w:val="004A0CFB"/>
    <w:rsid w:val="004A11F2"/>
    <w:rsid w:val="004A1BB2"/>
    <w:rsid w:val="004A1D0F"/>
    <w:rsid w:val="004A2B6B"/>
    <w:rsid w:val="004A2C2D"/>
    <w:rsid w:val="004A3363"/>
    <w:rsid w:val="004A3448"/>
    <w:rsid w:val="004A34A8"/>
    <w:rsid w:val="004A48D5"/>
    <w:rsid w:val="004A581D"/>
    <w:rsid w:val="004A62E6"/>
    <w:rsid w:val="004A64A1"/>
    <w:rsid w:val="004A7381"/>
    <w:rsid w:val="004A7BC3"/>
    <w:rsid w:val="004B0947"/>
    <w:rsid w:val="004B12BA"/>
    <w:rsid w:val="004B1966"/>
    <w:rsid w:val="004B27BB"/>
    <w:rsid w:val="004B2AE7"/>
    <w:rsid w:val="004B343D"/>
    <w:rsid w:val="004B53EB"/>
    <w:rsid w:val="004B5575"/>
    <w:rsid w:val="004B6850"/>
    <w:rsid w:val="004C0473"/>
    <w:rsid w:val="004C20F2"/>
    <w:rsid w:val="004C23BC"/>
    <w:rsid w:val="004C2BAE"/>
    <w:rsid w:val="004C470D"/>
    <w:rsid w:val="004C50F3"/>
    <w:rsid w:val="004C64F6"/>
    <w:rsid w:val="004C66DA"/>
    <w:rsid w:val="004C72B1"/>
    <w:rsid w:val="004C749A"/>
    <w:rsid w:val="004C7761"/>
    <w:rsid w:val="004D0914"/>
    <w:rsid w:val="004D1993"/>
    <w:rsid w:val="004D21A5"/>
    <w:rsid w:val="004D267A"/>
    <w:rsid w:val="004D2CE5"/>
    <w:rsid w:val="004D3EC5"/>
    <w:rsid w:val="004D4506"/>
    <w:rsid w:val="004D4559"/>
    <w:rsid w:val="004D4654"/>
    <w:rsid w:val="004D50FB"/>
    <w:rsid w:val="004D64E2"/>
    <w:rsid w:val="004D7781"/>
    <w:rsid w:val="004E0BD5"/>
    <w:rsid w:val="004E0E73"/>
    <w:rsid w:val="004E0EFF"/>
    <w:rsid w:val="004E113A"/>
    <w:rsid w:val="004E2574"/>
    <w:rsid w:val="004E2F69"/>
    <w:rsid w:val="004E33D2"/>
    <w:rsid w:val="004E3641"/>
    <w:rsid w:val="004E4135"/>
    <w:rsid w:val="004E6136"/>
    <w:rsid w:val="004E6F3E"/>
    <w:rsid w:val="004E790F"/>
    <w:rsid w:val="004F01EF"/>
    <w:rsid w:val="004F05CF"/>
    <w:rsid w:val="004F0B94"/>
    <w:rsid w:val="004F12D2"/>
    <w:rsid w:val="004F16B0"/>
    <w:rsid w:val="004F249E"/>
    <w:rsid w:val="004F2750"/>
    <w:rsid w:val="004F2AB0"/>
    <w:rsid w:val="004F320D"/>
    <w:rsid w:val="004F3521"/>
    <w:rsid w:val="004F36BC"/>
    <w:rsid w:val="004F3947"/>
    <w:rsid w:val="004F4335"/>
    <w:rsid w:val="004F4828"/>
    <w:rsid w:val="004F4839"/>
    <w:rsid w:val="004F48C1"/>
    <w:rsid w:val="004F48F7"/>
    <w:rsid w:val="004F5EFB"/>
    <w:rsid w:val="004F5EFF"/>
    <w:rsid w:val="004F6836"/>
    <w:rsid w:val="004F695E"/>
    <w:rsid w:val="004F6A64"/>
    <w:rsid w:val="004F7A83"/>
    <w:rsid w:val="0050029A"/>
    <w:rsid w:val="005005A1"/>
    <w:rsid w:val="00500C1E"/>
    <w:rsid w:val="00501E5E"/>
    <w:rsid w:val="00501E71"/>
    <w:rsid w:val="005031AD"/>
    <w:rsid w:val="00503559"/>
    <w:rsid w:val="00503997"/>
    <w:rsid w:val="005039D4"/>
    <w:rsid w:val="00503A38"/>
    <w:rsid w:val="00503AD2"/>
    <w:rsid w:val="00503B6C"/>
    <w:rsid w:val="00503C79"/>
    <w:rsid w:val="00503DC2"/>
    <w:rsid w:val="005049BC"/>
    <w:rsid w:val="00505E3D"/>
    <w:rsid w:val="00506519"/>
    <w:rsid w:val="00506FD5"/>
    <w:rsid w:val="00507250"/>
    <w:rsid w:val="00507341"/>
    <w:rsid w:val="00507668"/>
    <w:rsid w:val="005106DF"/>
    <w:rsid w:val="00510936"/>
    <w:rsid w:val="005110BB"/>
    <w:rsid w:val="0051182D"/>
    <w:rsid w:val="00511E11"/>
    <w:rsid w:val="0051206C"/>
    <w:rsid w:val="00512773"/>
    <w:rsid w:val="00512C0C"/>
    <w:rsid w:val="00512DF2"/>
    <w:rsid w:val="00513196"/>
    <w:rsid w:val="00514C87"/>
    <w:rsid w:val="00516733"/>
    <w:rsid w:val="00516AE8"/>
    <w:rsid w:val="00516C2D"/>
    <w:rsid w:val="005171D6"/>
    <w:rsid w:val="00517FEC"/>
    <w:rsid w:val="005206EF"/>
    <w:rsid w:val="00521820"/>
    <w:rsid w:val="00521A9B"/>
    <w:rsid w:val="00521D13"/>
    <w:rsid w:val="005222A9"/>
    <w:rsid w:val="00522510"/>
    <w:rsid w:val="00522582"/>
    <w:rsid w:val="00522BF7"/>
    <w:rsid w:val="00522E84"/>
    <w:rsid w:val="005231A9"/>
    <w:rsid w:val="005235EA"/>
    <w:rsid w:val="005238C8"/>
    <w:rsid w:val="00523D98"/>
    <w:rsid w:val="00523F5E"/>
    <w:rsid w:val="0052424C"/>
    <w:rsid w:val="0052437B"/>
    <w:rsid w:val="0052446D"/>
    <w:rsid w:val="00524B2D"/>
    <w:rsid w:val="00524BAB"/>
    <w:rsid w:val="00524FF7"/>
    <w:rsid w:val="00526624"/>
    <w:rsid w:val="0052696C"/>
    <w:rsid w:val="00527679"/>
    <w:rsid w:val="005308D2"/>
    <w:rsid w:val="00530B42"/>
    <w:rsid w:val="00530E83"/>
    <w:rsid w:val="00530F79"/>
    <w:rsid w:val="00531097"/>
    <w:rsid w:val="005315FC"/>
    <w:rsid w:val="0053228D"/>
    <w:rsid w:val="005323D3"/>
    <w:rsid w:val="0053289E"/>
    <w:rsid w:val="00532A92"/>
    <w:rsid w:val="0053324A"/>
    <w:rsid w:val="00533293"/>
    <w:rsid w:val="005333F9"/>
    <w:rsid w:val="005343F0"/>
    <w:rsid w:val="0053491F"/>
    <w:rsid w:val="00535435"/>
    <w:rsid w:val="00536011"/>
    <w:rsid w:val="005363A1"/>
    <w:rsid w:val="00536BAA"/>
    <w:rsid w:val="00537505"/>
    <w:rsid w:val="00540127"/>
    <w:rsid w:val="005401CE"/>
    <w:rsid w:val="00540ACC"/>
    <w:rsid w:val="0054215F"/>
    <w:rsid w:val="005421E6"/>
    <w:rsid w:val="005422DC"/>
    <w:rsid w:val="0054338A"/>
    <w:rsid w:val="00543432"/>
    <w:rsid w:val="00544416"/>
    <w:rsid w:val="00544683"/>
    <w:rsid w:val="00545795"/>
    <w:rsid w:val="00546C9C"/>
    <w:rsid w:val="00550295"/>
    <w:rsid w:val="00550F34"/>
    <w:rsid w:val="00551C55"/>
    <w:rsid w:val="00551E61"/>
    <w:rsid w:val="00551E94"/>
    <w:rsid w:val="00552329"/>
    <w:rsid w:val="005528D1"/>
    <w:rsid w:val="00552AEB"/>
    <w:rsid w:val="00553A60"/>
    <w:rsid w:val="00553EAC"/>
    <w:rsid w:val="00554441"/>
    <w:rsid w:val="005545A1"/>
    <w:rsid w:val="005545EF"/>
    <w:rsid w:val="00555377"/>
    <w:rsid w:val="005555DF"/>
    <w:rsid w:val="00555606"/>
    <w:rsid w:val="0055576F"/>
    <w:rsid w:val="00557458"/>
    <w:rsid w:val="005575DC"/>
    <w:rsid w:val="00561D63"/>
    <w:rsid w:val="005621F8"/>
    <w:rsid w:val="00563584"/>
    <w:rsid w:val="005635EB"/>
    <w:rsid w:val="00563A33"/>
    <w:rsid w:val="00563BB2"/>
    <w:rsid w:val="0056442D"/>
    <w:rsid w:val="0056488F"/>
    <w:rsid w:val="00566F7A"/>
    <w:rsid w:val="005701E4"/>
    <w:rsid w:val="00570223"/>
    <w:rsid w:val="0057047A"/>
    <w:rsid w:val="005706C3"/>
    <w:rsid w:val="00571D82"/>
    <w:rsid w:val="00571E28"/>
    <w:rsid w:val="00572812"/>
    <w:rsid w:val="00573200"/>
    <w:rsid w:val="005737FC"/>
    <w:rsid w:val="00573FCA"/>
    <w:rsid w:val="005742C2"/>
    <w:rsid w:val="00574689"/>
    <w:rsid w:val="00574734"/>
    <w:rsid w:val="00574CFD"/>
    <w:rsid w:val="00574E9A"/>
    <w:rsid w:val="00574F09"/>
    <w:rsid w:val="00575731"/>
    <w:rsid w:val="00575D0F"/>
    <w:rsid w:val="00575DE9"/>
    <w:rsid w:val="00576282"/>
    <w:rsid w:val="00576E7F"/>
    <w:rsid w:val="005775AF"/>
    <w:rsid w:val="005775EC"/>
    <w:rsid w:val="00577D60"/>
    <w:rsid w:val="00580274"/>
    <w:rsid w:val="00580289"/>
    <w:rsid w:val="00580697"/>
    <w:rsid w:val="00581E83"/>
    <w:rsid w:val="0058239F"/>
    <w:rsid w:val="00582AFF"/>
    <w:rsid w:val="00582C59"/>
    <w:rsid w:val="005833CC"/>
    <w:rsid w:val="005833F6"/>
    <w:rsid w:val="005838F2"/>
    <w:rsid w:val="00583CE3"/>
    <w:rsid w:val="005840B1"/>
    <w:rsid w:val="0058536E"/>
    <w:rsid w:val="005854C3"/>
    <w:rsid w:val="00586672"/>
    <w:rsid w:val="005866CF"/>
    <w:rsid w:val="00586F35"/>
    <w:rsid w:val="005870C8"/>
    <w:rsid w:val="0058777F"/>
    <w:rsid w:val="00587996"/>
    <w:rsid w:val="00587AE6"/>
    <w:rsid w:val="00590765"/>
    <w:rsid w:val="00591810"/>
    <w:rsid w:val="00591940"/>
    <w:rsid w:val="005920AA"/>
    <w:rsid w:val="00592C62"/>
    <w:rsid w:val="00592F04"/>
    <w:rsid w:val="00593F2C"/>
    <w:rsid w:val="00594465"/>
    <w:rsid w:val="00596332"/>
    <w:rsid w:val="0059706A"/>
    <w:rsid w:val="0059710D"/>
    <w:rsid w:val="005A046A"/>
    <w:rsid w:val="005A0C80"/>
    <w:rsid w:val="005A1158"/>
    <w:rsid w:val="005A1681"/>
    <w:rsid w:val="005A2277"/>
    <w:rsid w:val="005A26A4"/>
    <w:rsid w:val="005A2A10"/>
    <w:rsid w:val="005A3DB0"/>
    <w:rsid w:val="005A429B"/>
    <w:rsid w:val="005A4796"/>
    <w:rsid w:val="005A4DE8"/>
    <w:rsid w:val="005A4FD4"/>
    <w:rsid w:val="005A640D"/>
    <w:rsid w:val="005A6F39"/>
    <w:rsid w:val="005A7EA8"/>
    <w:rsid w:val="005B0354"/>
    <w:rsid w:val="005B0B8E"/>
    <w:rsid w:val="005B25BF"/>
    <w:rsid w:val="005B2CC8"/>
    <w:rsid w:val="005B442D"/>
    <w:rsid w:val="005B4A20"/>
    <w:rsid w:val="005B4E65"/>
    <w:rsid w:val="005B50D3"/>
    <w:rsid w:val="005B55BE"/>
    <w:rsid w:val="005B5CE4"/>
    <w:rsid w:val="005B709E"/>
    <w:rsid w:val="005B73F0"/>
    <w:rsid w:val="005B77F9"/>
    <w:rsid w:val="005C0478"/>
    <w:rsid w:val="005C0B92"/>
    <w:rsid w:val="005C1E2C"/>
    <w:rsid w:val="005C22B7"/>
    <w:rsid w:val="005C246E"/>
    <w:rsid w:val="005C2C69"/>
    <w:rsid w:val="005C3060"/>
    <w:rsid w:val="005C3DBE"/>
    <w:rsid w:val="005C4ECE"/>
    <w:rsid w:val="005C5DAE"/>
    <w:rsid w:val="005C7A7D"/>
    <w:rsid w:val="005C7C0B"/>
    <w:rsid w:val="005C7D26"/>
    <w:rsid w:val="005D0020"/>
    <w:rsid w:val="005D0482"/>
    <w:rsid w:val="005D10FA"/>
    <w:rsid w:val="005D181D"/>
    <w:rsid w:val="005D3FF1"/>
    <w:rsid w:val="005D42DD"/>
    <w:rsid w:val="005D464C"/>
    <w:rsid w:val="005D5A12"/>
    <w:rsid w:val="005D6025"/>
    <w:rsid w:val="005D6A4F"/>
    <w:rsid w:val="005D7D73"/>
    <w:rsid w:val="005E015C"/>
    <w:rsid w:val="005E07A5"/>
    <w:rsid w:val="005E1A9F"/>
    <w:rsid w:val="005E23D0"/>
    <w:rsid w:val="005E280B"/>
    <w:rsid w:val="005E29B6"/>
    <w:rsid w:val="005E2A7E"/>
    <w:rsid w:val="005E3791"/>
    <w:rsid w:val="005E3957"/>
    <w:rsid w:val="005E3D33"/>
    <w:rsid w:val="005E3D79"/>
    <w:rsid w:val="005E3E9A"/>
    <w:rsid w:val="005E3F63"/>
    <w:rsid w:val="005E42EF"/>
    <w:rsid w:val="005E47AF"/>
    <w:rsid w:val="005E4908"/>
    <w:rsid w:val="005E499E"/>
    <w:rsid w:val="005E5210"/>
    <w:rsid w:val="005E540F"/>
    <w:rsid w:val="005E5EEF"/>
    <w:rsid w:val="005E6126"/>
    <w:rsid w:val="005E777E"/>
    <w:rsid w:val="005F02C6"/>
    <w:rsid w:val="005F05CF"/>
    <w:rsid w:val="005F0B2C"/>
    <w:rsid w:val="005F2050"/>
    <w:rsid w:val="005F3372"/>
    <w:rsid w:val="005F3F8E"/>
    <w:rsid w:val="005F443F"/>
    <w:rsid w:val="005F495D"/>
    <w:rsid w:val="005F4BD8"/>
    <w:rsid w:val="005F5273"/>
    <w:rsid w:val="005F5346"/>
    <w:rsid w:val="005F5D81"/>
    <w:rsid w:val="005F68A2"/>
    <w:rsid w:val="005F6CD2"/>
    <w:rsid w:val="005F7073"/>
    <w:rsid w:val="005F7287"/>
    <w:rsid w:val="005F75C3"/>
    <w:rsid w:val="006001C8"/>
    <w:rsid w:val="006003FC"/>
    <w:rsid w:val="006011A4"/>
    <w:rsid w:val="00601720"/>
    <w:rsid w:val="00601A47"/>
    <w:rsid w:val="006025EA"/>
    <w:rsid w:val="006031A3"/>
    <w:rsid w:val="006031B0"/>
    <w:rsid w:val="00603634"/>
    <w:rsid w:val="0060428D"/>
    <w:rsid w:val="00604E70"/>
    <w:rsid w:val="00605DDC"/>
    <w:rsid w:val="00606473"/>
    <w:rsid w:val="006075D5"/>
    <w:rsid w:val="00607A05"/>
    <w:rsid w:val="00610513"/>
    <w:rsid w:val="006111D2"/>
    <w:rsid w:val="00611B53"/>
    <w:rsid w:val="00612E0A"/>
    <w:rsid w:val="00613219"/>
    <w:rsid w:val="00614429"/>
    <w:rsid w:val="00614843"/>
    <w:rsid w:val="0061490B"/>
    <w:rsid w:val="00615225"/>
    <w:rsid w:val="00615658"/>
    <w:rsid w:val="00615B24"/>
    <w:rsid w:val="00615D25"/>
    <w:rsid w:val="00616227"/>
    <w:rsid w:val="0061723D"/>
    <w:rsid w:val="006203B0"/>
    <w:rsid w:val="006205DD"/>
    <w:rsid w:val="00620DFD"/>
    <w:rsid w:val="0062236B"/>
    <w:rsid w:val="00622AD9"/>
    <w:rsid w:val="00622DF5"/>
    <w:rsid w:val="006240AA"/>
    <w:rsid w:val="0062446D"/>
    <w:rsid w:val="006268C8"/>
    <w:rsid w:val="00627121"/>
    <w:rsid w:val="00630981"/>
    <w:rsid w:val="00630AB3"/>
    <w:rsid w:val="00631276"/>
    <w:rsid w:val="00631570"/>
    <w:rsid w:val="0063176C"/>
    <w:rsid w:val="00632001"/>
    <w:rsid w:val="00632ACB"/>
    <w:rsid w:val="006339FE"/>
    <w:rsid w:val="00633ABB"/>
    <w:rsid w:val="00633D2A"/>
    <w:rsid w:val="0063406C"/>
    <w:rsid w:val="0063468C"/>
    <w:rsid w:val="00634A95"/>
    <w:rsid w:val="00635E1D"/>
    <w:rsid w:val="00635F5E"/>
    <w:rsid w:val="00636327"/>
    <w:rsid w:val="0063659E"/>
    <w:rsid w:val="006374F8"/>
    <w:rsid w:val="00637E49"/>
    <w:rsid w:val="0064072E"/>
    <w:rsid w:val="00640B91"/>
    <w:rsid w:val="0064126D"/>
    <w:rsid w:val="006419BD"/>
    <w:rsid w:val="00641A13"/>
    <w:rsid w:val="00641BB8"/>
    <w:rsid w:val="00642897"/>
    <w:rsid w:val="00643100"/>
    <w:rsid w:val="00643576"/>
    <w:rsid w:val="00643845"/>
    <w:rsid w:val="0064464E"/>
    <w:rsid w:val="006455E4"/>
    <w:rsid w:val="006457B9"/>
    <w:rsid w:val="0064615B"/>
    <w:rsid w:val="00646320"/>
    <w:rsid w:val="0064698A"/>
    <w:rsid w:val="006469FB"/>
    <w:rsid w:val="0064705A"/>
    <w:rsid w:val="0064741F"/>
    <w:rsid w:val="006479A4"/>
    <w:rsid w:val="00647D0D"/>
    <w:rsid w:val="00650A17"/>
    <w:rsid w:val="00650B62"/>
    <w:rsid w:val="00650EE2"/>
    <w:rsid w:val="00650FFF"/>
    <w:rsid w:val="0065129D"/>
    <w:rsid w:val="00652AF9"/>
    <w:rsid w:val="00652E77"/>
    <w:rsid w:val="00653029"/>
    <w:rsid w:val="006534BA"/>
    <w:rsid w:val="00653AD5"/>
    <w:rsid w:val="00653D01"/>
    <w:rsid w:val="00654C08"/>
    <w:rsid w:val="006559E8"/>
    <w:rsid w:val="00655FC1"/>
    <w:rsid w:val="00656961"/>
    <w:rsid w:val="00657F7D"/>
    <w:rsid w:val="0066065F"/>
    <w:rsid w:val="00660909"/>
    <w:rsid w:val="006610B9"/>
    <w:rsid w:val="006612A1"/>
    <w:rsid w:val="006618C8"/>
    <w:rsid w:val="006622CF"/>
    <w:rsid w:val="006623D5"/>
    <w:rsid w:val="0066289E"/>
    <w:rsid w:val="00662D68"/>
    <w:rsid w:val="006631B3"/>
    <w:rsid w:val="0066352D"/>
    <w:rsid w:val="00663889"/>
    <w:rsid w:val="00663AFE"/>
    <w:rsid w:val="00667F4E"/>
    <w:rsid w:val="00670AE1"/>
    <w:rsid w:val="00670CC9"/>
    <w:rsid w:val="00670F40"/>
    <w:rsid w:val="00671034"/>
    <w:rsid w:val="00671262"/>
    <w:rsid w:val="00673284"/>
    <w:rsid w:val="00673536"/>
    <w:rsid w:val="00674009"/>
    <w:rsid w:val="0067419C"/>
    <w:rsid w:val="00674999"/>
    <w:rsid w:val="0067582C"/>
    <w:rsid w:val="006766B6"/>
    <w:rsid w:val="00676902"/>
    <w:rsid w:val="00676BF6"/>
    <w:rsid w:val="00676C46"/>
    <w:rsid w:val="00680190"/>
    <w:rsid w:val="00680440"/>
    <w:rsid w:val="00681787"/>
    <w:rsid w:val="00681F2D"/>
    <w:rsid w:val="0068297B"/>
    <w:rsid w:val="00683CF2"/>
    <w:rsid w:val="006843DB"/>
    <w:rsid w:val="00684549"/>
    <w:rsid w:val="0068485A"/>
    <w:rsid w:val="00685177"/>
    <w:rsid w:val="00686C17"/>
    <w:rsid w:val="00687C60"/>
    <w:rsid w:val="00687E5F"/>
    <w:rsid w:val="00690010"/>
    <w:rsid w:val="0069147C"/>
    <w:rsid w:val="0069154F"/>
    <w:rsid w:val="00691550"/>
    <w:rsid w:val="00691B1D"/>
    <w:rsid w:val="006922E3"/>
    <w:rsid w:val="0069259B"/>
    <w:rsid w:val="00692E57"/>
    <w:rsid w:val="00693090"/>
    <w:rsid w:val="0069327C"/>
    <w:rsid w:val="00693C6C"/>
    <w:rsid w:val="00693D5F"/>
    <w:rsid w:val="00693E6D"/>
    <w:rsid w:val="0069409D"/>
    <w:rsid w:val="00694541"/>
    <w:rsid w:val="00694A30"/>
    <w:rsid w:val="006950A4"/>
    <w:rsid w:val="00695518"/>
    <w:rsid w:val="00695872"/>
    <w:rsid w:val="00695FA8"/>
    <w:rsid w:val="006A05CC"/>
    <w:rsid w:val="006A0A3F"/>
    <w:rsid w:val="006A10D6"/>
    <w:rsid w:val="006A145E"/>
    <w:rsid w:val="006A1540"/>
    <w:rsid w:val="006A198C"/>
    <w:rsid w:val="006A2C1D"/>
    <w:rsid w:val="006A2F4A"/>
    <w:rsid w:val="006A32DA"/>
    <w:rsid w:val="006A416B"/>
    <w:rsid w:val="006A46A7"/>
    <w:rsid w:val="006A4B7B"/>
    <w:rsid w:val="006A53EB"/>
    <w:rsid w:val="006A5614"/>
    <w:rsid w:val="006A56CE"/>
    <w:rsid w:val="006A6132"/>
    <w:rsid w:val="006A6A2C"/>
    <w:rsid w:val="006A7188"/>
    <w:rsid w:val="006A7E80"/>
    <w:rsid w:val="006B02FD"/>
    <w:rsid w:val="006B087D"/>
    <w:rsid w:val="006B0DF6"/>
    <w:rsid w:val="006B154F"/>
    <w:rsid w:val="006B1B94"/>
    <w:rsid w:val="006B237E"/>
    <w:rsid w:val="006B345F"/>
    <w:rsid w:val="006B3A89"/>
    <w:rsid w:val="006B3B29"/>
    <w:rsid w:val="006B43D4"/>
    <w:rsid w:val="006B4A6D"/>
    <w:rsid w:val="006B5896"/>
    <w:rsid w:val="006B5B04"/>
    <w:rsid w:val="006B5D7C"/>
    <w:rsid w:val="006B60B8"/>
    <w:rsid w:val="006B61C7"/>
    <w:rsid w:val="006B62CC"/>
    <w:rsid w:val="006B63BC"/>
    <w:rsid w:val="006B674A"/>
    <w:rsid w:val="006B6B1D"/>
    <w:rsid w:val="006B7048"/>
    <w:rsid w:val="006B7AA1"/>
    <w:rsid w:val="006B7AD9"/>
    <w:rsid w:val="006C0D2B"/>
    <w:rsid w:val="006C0D81"/>
    <w:rsid w:val="006C21AC"/>
    <w:rsid w:val="006C2391"/>
    <w:rsid w:val="006C24C0"/>
    <w:rsid w:val="006C2822"/>
    <w:rsid w:val="006C2B7E"/>
    <w:rsid w:val="006C3837"/>
    <w:rsid w:val="006C4052"/>
    <w:rsid w:val="006C4F50"/>
    <w:rsid w:val="006C56DE"/>
    <w:rsid w:val="006C67AB"/>
    <w:rsid w:val="006C6B94"/>
    <w:rsid w:val="006C7ADC"/>
    <w:rsid w:val="006D0AF2"/>
    <w:rsid w:val="006D12CA"/>
    <w:rsid w:val="006D2772"/>
    <w:rsid w:val="006D382A"/>
    <w:rsid w:val="006D3AB4"/>
    <w:rsid w:val="006D3F5A"/>
    <w:rsid w:val="006D5469"/>
    <w:rsid w:val="006D7B01"/>
    <w:rsid w:val="006D7BFE"/>
    <w:rsid w:val="006E085D"/>
    <w:rsid w:val="006E1DBD"/>
    <w:rsid w:val="006E1DE7"/>
    <w:rsid w:val="006E26B8"/>
    <w:rsid w:val="006E32EE"/>
    <w:rsid w:val="006E3384"/>
    <w:rsid w:val="006E3BA5"/>
    <w:rsid w:val="006E3D1A"/>
    <w:rsid w:val="006E3D76"/>
    <w:rsid w:val="006E4978"/>
    <w:rsid w:val="006E4F94"/>
    <w:rsid w:val="006E5028"/>
    <w:rsid w:val="006E60CE"/>
    <w:rsid w:val="006E6CAE"/>
    <w:rsid w:val="006E76F6"/>
    <w:rsid w:val="006E7BC2"/>
    <w:rsid w:val="006E7E4B"/>
    <w:rsid w:val="006F05EC"/>
    <w:rsid w:val="006F093C"/>
    <w:rsid w:val="006F0959"/>
    <w:rsid w:val="006F09DE"/>
    <w:rsid w:val="006F0E63"/>
    <w:rsid w:val="006F1C20"/>
    <w:rsid w:val="006F1C38"/>
    <w:rsid w:val="006F1DBF"/>
    <w:rsid w:val="006F22C1"/>
    <w:rsid w:val="006F2D92"/>
    <w:rsid w:val="006F332C"/>
    <w:rsid w:val="006F340F"/>
    <w:rsid w:val="006F341E"/>
    <w:rsid w:val="006F4C37"/>
    <w:rsid w:val="006F5AB3"/>
    <w:rsid w:val="006F5B09"/>
    <w:rsid w:val="00701372"/>
    <w:rsid w:val="007014B3"/>
    <w:rsid w:val="007016A3"/>
    <w:rsid w:val="0070263B"/>
    <w:rsid w:val="00702C6F"/>
    <w:rsid w:val="00703C5D"/>
    <w:rsid w:val="00704FCA"/>
    <w:rsid w:val="0070519D"/>
    <w:rsid w:val="00705A3D"/>
    <w:rsid w:val="0070675A"/>
    <w:rsid w:val="0070750A"/>
    <w:rsid w:val="007075F6"/>
    <w:rsid w:val="00710369"/>
    <w:rsid w:val="00710DA4"/>
    <w:rsid w:val="007112CD"/>
    <w:rsid w:val="007116EA"/>
    <w:rsid w:val="00712B52"/>
    <w:rsid w:val="0071433E"/>
    <w:rsid w:val="00714F6D"/>
    <w:rsid w:val="00715815"/>
    <w:rsid w:val="0071652F"/>
    <w:rsid w:val="00716A14"/>
    <w:rsid w:val="00716B05"/>
    <w:rsid w:val="0071718E"/>
    <w:rsid w:val="00717A2F"/>
    <w:rsid w:val="00720378"/>
    <w:rsid w:val="007215EE"/>
    <w:rsid w:val="007231C3"/>
    <w:rsid w:val="00723397"/>
    <w:rsid w:val="007233A7"/>
    <w:rsid w:val="0072367C"/>
    <w:rsid w:val="007236DB"/>
    <w:rsid w:val="007247D3"/>
    <w:rsid w:val="007266E0"/>
    <w:rsid w:val="00727871"/>
    <w:rsid w:val="007309DE"/>
    <w:rsid w:val="00731189"/>
    <w:rsid w:val="007311A5"/>
    <w:rsid w:val="00731418"/>
    <w:rsid w:val="00731807"/>
    <w:rsid w:val="00731DD9"/>
    <w:rsid w:val="00731FF0"/>
    <w:rsid w:val="00732A0D"/>
    <w:rsid w:val="00732B01"/>
    <w:rsid w:val="00734838"/>
    <w:rsid w:val="00734957"/>
    <w:rsid w:val="00734DBA"/>
    <w:rsid w:val="00734ECF"/>
    <w:rsid w:val="0073500A"/>
    <w:rsid w:val="007355C7"/>
    <w:rsid w:val="0073586C"/>
    <w:rsid w:val="00735E97"/>
    <w:rsid w:val="00735FD2"/>
    <w:rsid w:val="0073738F"/>
    <w:rsid w:val="007378B0"/>
    <w:rsid w:val="00737FA2"/>
    <w:rsid w:val="0074005C"/>
    <w:rsid w:val="00741FBF"/>
    <w:rsid w:val="007428D5"/>
    <w:rsid w:val="00743356"/>
    <w:rsid w:val="007433D5"/>
    <w:rsid w:val="00743A30"/>
    <w:rsid w:val="00743AEC"/>
    <w:rsid w:val="00743E13"/>
    <w:rsid w:val="0074418D"/>
    <w:rsid w:val="00744265"/>
    <w:rsid w:val="007443D2"/>
    <w:rsid w:val="00744B6C"/>
    <w:rsid w:val="0074572D"/>
    <w:rsid w:val="00745EAB"/>
    <w:rsid w:val="00746061"/>
    <w:rsid w:val="00746CFF"/>
    <w:rsid w:val="00747513"/>
    <w:rsid w:val="00747AAD"/>
    <w:rsid w:val="00747B61"/>
    <w:rsid w:val="00750787"/>
    <w:rsid w:val="00750AA6"/>
    <w:rsid w:val="00751751"/>
    <w:rsid w:val="00751A9C"/>
    <w:rsid w:val="00751CFD"/>
    <w:rsid w:val="007523B0"/>
    <w:rsid w:val="007528FE"/>
    <w:rsid w:val="0075314F"/>
    <w:rsid w:val="007536CB"/>
    <w:rsid w:val="00753CD6"/>
    <w:rsid w:val="00754863"/>
    <w:rsid w:val="00757356"/>
    <w:rsid w:val="007575B2"/>
    <w:rsid w:val="00760E53"/>
    <w:rsid w:val="007614BE"/>
    <w:rsid w:val="00762840"/>
    <w:rsid w:val="007640B4"/>
    <w:rsid w:val="007643CE"/>
    <w:rsid w:val="00764CD0"/>
    <w:rsid w:val="00764F7D"/>
    <w:rsid w:val="00766AA3"/>
    <w:rsid w:val="0076746F"/>
    <w:rsid w:val="007677AF"/>
    <w:rsid w:val="00767DD4"/>
    <w:rsid w:val="007700B8"/>
    <w:rsid w:val="00770115"/>
    <w:rsid w:val="00770B5C"/>
    <w:rsid w:val="00770C25"/>
    <w:rsid w:val="007714B5"/>
    <w:rsid w:val="00771ADC"/>
    <w:rsid w:val="0077327D"/>
    <w:rsid w:val="00773281"/>
    <w:rsid w:val="00773381"/>
    <w:rsid w:val="00773CD3"/>
    <w:rsid w:val="00773F82"/>
    <w:rsid w:val="0077467F"/>
    <w:rsid w:val="00774961"/>
    <w:rsid w:val="00774BBD"/>
    <w:rsid w:val="00775215"/>
    <w:rsid w:val="00775268"/>
    <w:rsid w:val="00775CCD"/>
    <w:rsid w:val="00776376"/>
    <w:rsid w:val="007768C8"/>
    <w:rsid w:val="00777042"/>
    <w:rsid w:val="00777B47"/>
    <w:rsid w:val="007805AB"/>
    <w:rsid w:val="00780754"/>
    <w:rsid w:val="0078098B"/>
    <w:rsid w:val="00780AEA"/>
    <w:rsid w:val="00780BC5"/>
    <w:rsid w:val="0078111C"/>
    <w:rsid w:val="00781645"/>
    <w:rsid w:val="0078280D"/>
    <w:rsid w:val="00782985"/>
    <w:rsid w:val="007830AB"/>
    <w:rsid w:val="00783177"/>
    <w:rsid w:val="0078387A"/>
    <w:rsid w:val="00783C73"/>
    <w:rsid w:val="00783D6B"/>
    <w:rsid w:val="00783F4B"/>
    <w:rsid w:val="0078478B"/>
    <w:rsid w:val="007848D5"/>
    <w:rsid w:val="00785472"/>
    <w:rsid w:val="00786982"/>
    <w:rsid w:val="00787451"/>
    <w:rsid w:val="00790405"/>
    <w:rsid w:val="00790654"/>
    <w:rsid w:val="00790D8A"/>
    <w:rsid w:val="0079192C"/>
    <w:rsid w:val="007927AB"/>
    <w:rsid w:val="00792836"/>
    <w:rsid w:val="0079285C"/>
    <w:rsid w:val="007939E7"/>
    <w:rsid w:val="00794077"/>
    <w:rsid w:val="007940F0"/>
    <w:rsid w:val="00795243"/>
    <w:rsid w:val="00795ECA"/>
    <w:rsid w:val="0079614A"/>
    <w:rsid w:val="007A0466"/>
    <w:rsid w:val="007A0840"/>
    <w:rsid w:val="007A19B2"/>
    <w:rsid w:val="007A1FC0"/>
    <w:rsid w:val="007A2837"/>
    <w:rsid w:val="007A2893"/>
    <w:rsid w:val="007A3546"/>
    <w:rsid w:val="007A3996"/>
    <w:rsid w:val="007A3A76"/>
    <w:rsid w:val="007A3E5D"/>
    <w:rsid w:val="007A4441"/>
    <w:rsid w:val="007A4AA6"/>
    <w:rsid w:val="007A4D31"/>
    <w:rsid w:val="007A51A0"/>
    <w:rsid w:val="007A58AB"/>
    <w:rsid w:val="007A5E60"/>
    <w:rsid w:val="007A64BC"/>
    <w:rsid w:val="007A69C4"/>
    <w:rsid w:val="007A7196"/>
    <w:rsid w:val="007A7C18"/>
    <w:rsid w:val="007A7E28"/>
    <w:rsid w:val="007B0974"/>
    <w:rsid w:val="007B0B7C"/>
    <w:rsid w:val="007B1095"/>
    <w:rsid w:val="007B10BC"/>
    <w:rsid w:val="007B2187"/>
    <w:rsid w:val="007B2847"/>
    <w:rsid w:val="007B2C3D"/>
    <w:rsid w:val="007B387C"/>
    <w:rsid w:val="007B3B4E"/>
    <w:rsid w:val="007B3F66"/>
    <w:rsid w:val="007B4040"/>
    <w:rsid w:val="007B47AA"/>
    <w:rsid w:val="007B499D"/>
    <w:rsid w:val="007B4B55"/>
    <w:rsid w:val="007B550D"/>
    <w:rsid w:val="007B6538"/>
    <w:rsid w:val="007B694C"/>
    <w:rsid w:val="007C0C0C"/>
    <w:rsid w:val="007C0EFE"/>
    <w:rsid w:val="007C0F1C"/>
    <w:rsid w:val="007C0FF1"/>
    <w:rsid w:val="007C1BEB"/>
    <w:rsid w:val="007C1EF1"/>
    <w:rsid w:val="007C1F66"/>
    <w:rsid w:val="007C2471"/>
    <w:rsid w:val="007C2B76"/>
    <w:rsid w:val="007C2DB2"/>
    <w:rsid w:val="007C33A5"/>
    <w:rsid w:val="007C386A"/>
    <w:rsid w:val="007C3D79"/>
    <w:rsid w:val="007C4E86"/>
    <w:rsid w:val="007C518E"/>
    <w:rsid w:val="007C51D0"/>
    <w:rsid w:val="007C5505"/>
    <w:rsid w:val="007C63B0"/>
    <w:rsid w:val="007C67A1"/>
    <w:rsid w:val="007C7087"/>
    <w:rsid w:val="007D05C6"/>
    <w:rsid w:val="007D0B70"/>
    <w:rsid w:val="007D1C94"/>
    <w:rsid w:val="007D26C0"/>
    <w:rsid w:val="007D282A"/>
    <w:rsid w:val="007D2A1D"/>
    <w:rsid w:val="007D2E31"/>
    <w:rsid w:val="007D326F"/>
    <w:rsid w:val="007D5280"/>
    <w:rsid w:val="007D5980"/>
    <w:rsid w:val="007D5EB7"/>
    <w:rsid w:val="007D6606"/>
    <w:rsid w:val="007D6A22"/>
    <w:rsid w:val="007D7893"/>
    <w:rsid w:val="007D7E35"/>
    <w:rsid w:val="007E0AD6"/>
    <w:rsid w:val="007E1126"/>
    <w:rsid w:val="007E1BD6"/>
    <w:rsid w:val="007E1F93"/>
    <w:rsid w:val="007E2332"/>
    <w:rsid w:val="007E238D"/>
    <w:rsid w:val="007E4490"/>
    <w:rsid w:val="007E4645"/>
    <w:rsid w:val="007E4A90"/>
    <w:rsid w:val="007E4E2D"/>
    <w:rsid w:val="007E5A44"/>
    <w:rsid w:val="007E61BE"/>
    <w:rsid w:val="007E6565"/>
    <w:rsid w:val="007E774E"/>
    <w:rsid w:val="007E7C13"/>
    <w:rsid w:val="007E7F6B"/>
    <w:rsid w:val="007F0FB1"/>
    <w:rsid w:val="007F2005"/>
    <w:rsid w:val="007F2445"/>
    <w:rsid w:val="007F24E7"/>
    <w:rsid w:val="007F4175"/>
    <w:rsid w:val="007F47C4"/>
    <w:rsid w:val="007F48EF"/>
    <w:rsid w:val="007F4B94"/>
    <w:rsid w:val="007F4BFE"/>
    <w:rsid w:val="007F4F53"/>
    <w:rsid w:val="007F50CC"/>
    <w:rsid w:val="007F53CF"/>
    <w:rsid w:val="007F554C"/>
    <w:rsid w:val="007F65F8"/>
    <w:rsid w:val="007F6D72"/>
    <w:rsid w:val="007F7335"/>
    <w:rsid w:val="007F75BE"/>
    <w:rsid w:val="00800871"/>
    <w:rsid w:val="0080163F"/>
    <w:rsid w:val="00801801"/>
    <w:rsid w:val="00801BA1"/>
    <w:rsid w:val="00802620"/>
    <w:rsid w:val="00802871"/>
    <w:rsid w:val="00803A35"/>
    <w:rsid w:val="00803B6E"/>
    <w:rsid w:val="00803D18"/>
    <w:rsid w:val="00803EB5"/>
    <w:rsid w:val="0080419E"/>
    <w:rsid w:val="008043AF"/>
    <w:rsid w:val="008043B9"/>
    <w:rsid w:val="00804DB3"/>
    <w:rsid w:val="0080507B"/>
    <w:rsid w:val="00805094"/>
    <w:rsid w:val="0080549B"/>
    <w:rsid w:val="00805F5D"/>
    <w:rsid w:val="00806174"/>
    <w:rsid w:val="0081017F"/>
    <w:rsid w:val="0081022F"/>
    <w:rsid w:val="00810566"/>
    <w:rsid w:val="00811378"/>
    <w:rsid w:val="00813E73"/>
    <w:rsid w:val="008140C0"/>
    <w:rsid w:val="0081481F"/>
    <w:rsid w:val="008148D3"/>
    <w:rsid w:val="00814E09"/>
    <w:rsid w:val="0081553E"/>
    <w:rsid w:val="00815FED"/>
    <w:rsid w:val="0081600A"/>
    <w:rsid w:val="00817208"/>
    <w:rsid w:val="008179EA"/>
    <w:rsid w:val="00817FE8"/>
    <w:rsid w:val="00820018"/>
    <w:rsid w:val="00820E76"/>
    <w:rsid w:val="008215BB"/>
    <w:rsid w:val="008220D6"/>
    <w:rsid w:val="00823136"/>
    <w:rsid w:val="00823FF6"/>
    <w:rsid w:val="008240A6"/>
    <w:rsid w:val="0082466A"/>
    <w:rsid w:val="00825488"/>
    <w:rsid w:val="0082578A"/>
    <w:rsid w:val="00825943"/>
    <w:rsid w:val="00825EF3"/>
    <w:rsid w:val="0082706D"/>
    <w:rsid w:val="00831018"/>
    <w:rsid w:val="0083107C"/>
    <w:rsid w:val="00831B87"/>
    <w:rsid w:val="00831F29"/>
    <w:rsid w:val="0083200E"/>
    <w:rsid w:val="008329C2"/>
    <w:rsid w:val="00833017"/>
    <w:rsid w:val="00833F42"/>
    <w:rsid w:val="00834749"/>
    <w:rsid w:val="008349B1"/>
    <w:rsid w:val="00834F5A"/>
    <w:rsid w:val="00835B03"/>
    <w:rsid w:val="008364EF"/>
    <w:rsid w:val="008365DC"/>
    <w:rsid w:val="00836AA5"/>
    <w:rsid w:val="00837101"/>
    <w:rsid w:val="0083742D"/>
    <w:rsid w:val="008377B9"/>
    <w:rsid w:val="00837A8A"/>
    <w:rsid w:val="00837ADC"/>
    <w:rsid w:val="00837BB9"/>
    <w:rsid w:val="00840206"/>
    <w:rsid w:val="00840573"/>
    <w:rsid w:val="00840761"/>
    <w:rsid w:val="00840C62"/>
    <w:rsid w:val="00840C9E"/>
    <w:rsid w:val="00840FC5"/>
    <w:rsid w:val="008416B0"/>
    <w:rsid w:val="00841984"/>
    <w:rsid w:val="00841C94"/>
    <w:rsid w:val="008421D1"/>
    <w:rsid w:val="008429AC"/>
    <w:rsid w:val="00843700"/>
    <w:rsid w:val="00844200"/>
    <w:rsid w:val="00844B66"/>
    <w:rsid w:val="00844D3C"/>
    <w:rsid w:val="00845039"/>
    <w:rsid w:val="0084508B"/>
    <w:rsid w:val="008453BE"/>
    <w:rsid w:val="00845A94"/>
    <w:rsid w:val="00845D13"/>
    <w:rsid w:val="008463C6"/>
    <w:rsid w:val="00846950"/>
    <w:rsid w:val="00847315"/>
    <w:rsid w:val="0084779A"/>
    <w:rsid w:val="008478F4"/>
    <w:rsid w:val="008479B4"/>
    <w:rsid w:val="00847F07"/>
    <w:rsid w:val="008504BA"/>
    <w:rsid w:val="00852013"/>
    <w:rsid w:val="0085213F"/>
    <w:rsid w:val="008521E8"/>
    <w:rsid w:val="00852CF2"/>
    <w:rsid w:val="008530B8"/>
    <w:rsid w:val="008531CE"/>
    <w:rsid w:val="008531F6"/>
    <w:rsid w:val="008532AC"/>
    <w:rsid w:val="00853367"/>
    <w:rsid w:val="00853E9E"/>
    <w:rsid w:val="0085568F"/>
    <w:rsid w:val="00855AD2"/>
    <w:rsid w:val="008567E7"/>
    <w:rsid w:val="00856A18"/>
    <w:rsid w:val="00856ACD"/>
    <w:rsid w:val="00856E70"/>
    <w:rsid w:val="0086001A"/>
    <w:rsid w:val="0086002C"/>
    <w:rsid w:val="008606BD"/>
    <w:rsid w:val="00860C8B"/>
    <w:rsid w:val="00860D52"/>
    <w:rsid w:val="00861019"/>
    <w:rsid w:val="0086167C"/>
    <w:rsid w:val="00861756"/>
    <w:rsid w:val="00861E4D"/>
    <w:rsid w:val="0086274E"/>
    <w:rsid w:val="00862F2B"/>
    <w:rsid w:val="008635E1"/>
    <w:rsid w:val="0086395C"/>
    <w:rsid w:val="00863C30"/>
    <w:rsid w:val="00863D8D"/>
    <w:rsid w:val="00864736"/>
    <w:rsid w:val="00864B6C"/>
    <w:rsid w:val="00865021"/>
    <w:rsid w:val="0086666E"/>
    <w:rsid w:val="00866BF1"/>
    <w:rsid w:val="0086784A"/>
    <w:rsid w:val="00870135"/>
    <w:rsid w:val="008707FD"/>
    <w:rsid w:val="00870D46"/>
    <w:rsid w:val="00870FE7"/>
    <w:rsid w:val="008711A2"/>
    <w:rsid w:val="00871D81"/>
    <w:rsid w:val="00872581"/>
    <w:rsid w:val="008727BA"/>
    <w:rsid w:val="00873353"/>
    <w:rsid w:val="008750D0"/>
    <w:rsid w:val="008753D0"/>
    <w:rsid w:val="00875B0F"/>
    <w:rsid w:val="00876B14"/>
    <w:rsid w:val="008772B1"/>
    <w:rsid w:val="00877742"/>
    <w:rsid w:val="008779FF"/>
    <w:rsid w:val="00881915"/>
    <w:rsid w:val="0088258D"/>
    <w:rsid w:val="008828D9"/>
    <w:rsid w:val="00883C8A"/>
    <w:rsid w:val="00883E5F"/>
    <w:rsid w:val="0088471E"/>
    <w:rsid w:val="00884BD1"/>
    <w:rsid w:val="00885A02"/>
    <w:rsid w:val="008860C2"/>
    <w:rsid w:val="0088630B"/>
    <w:rsid w:val="008865AA"/>
    <w:rsid w:val="00887196"/>
    <w:rsid w:val="008879C8"/>
    <w:rsid w:val="00887EA3"/>
    <w:rsid w:val="00887F91"/>
    <w:rsid w:val="008906BE"/>
    <w:rsid w:val="0089118F"/>
    <w:rsid w:val="0089119D"/>
    <w:rsid w:val="00891245"/>
    <w:rsid w:val="00891D55"/>
    <w:rsid w:val="00892207"/>
    <w:rsid w:val="008923B0"/>
    <w:rsid w:val="00892D1E"/>
    <w:rsid w:val="00893189"/>
    <w:rsid w:val="00893789"/>
    <w:rsid w:val="00893A43"/>
    <w:rsid w:val="00893ABD"/>
    <w:rsid w:val="008941FE"/>
    <w:rsid w:val="00894FB2"/>
    <w:rsid w:val="00895B3E"/>
    <w:rsid w:val="00896EC5"/>
    <w:rsid w:val="008971C9"/>
    <w:rsid w:val="00897294"/>
    <w:rsid w:val="008A0F17"/>
    <w:rsid w:val="008A11F7"/>
    <w:rsid w:val="008A176D"/>
    <w:rsid w:val="008A1B96"/>
    <w:rsid w:val="008A3221"/>
    <w:rsid w:val="008A3660"/>
    <w:rsid w:val="008A40C3"/>
    <w:rsid w:val="008A41FF"/>
    <w:rsid w:val="008A423C"/>
    <w:rsid w:val="008A4384"/>
    <w:rsid w:val="008A43F3"/>
    <w:rsid w:val="008A4DD3"/>
    <w:rsid w:val="008A620F"/>
    <w:rsid w:val="008A629B"/>
    <w:rsid w:val="008A6CAD"/>
    <w:rsid w:val="008A7673"/>
    <w:rsid w:val="008A77B3"/>
    <w:rsid w:val="008B035B"/>
    <w:rsid w:val="008B094B"/>
    <w:rsid w:val="008B22AE"/>
    <w:rsid w:val="008B2BE7"/>
    <w:rsid w:val="008B2C4D"/>
    <w:rsid w:val="008B38EC"/>
    <w:rsid w:val="008B39C0"/>
    <w:rsid w:val="008B438C"/>
    <w:rsid w:val="008B522D"/>
    <w:rsid w:val="008B5389"/>
    <w:rsid w:val="008B6043"/>
    <w:rsid w:val="008B6122"/>
    <w:rsid w:val="008B6932"/>
    <w:rsid w:val="008B79C7"/>
    <w:rsid w:val="008B7B29"/>
    <w:rsid w:val="008C0336"/>
    <w:rsid w:val="008C1229"/>
    <w:rsid w:val="008C2170"/>
    <w:rsid w:val="008C2EE7"/>
    <w:rsid w:val="008C3BC4"/>
    <w:rsid w:val="008C3D54"/>
    <w:rsid w:val="008C3F04"/>
    <w:rsid w:val="008C44EC"/>
    <w:rsid w:val="008C4BF9"/>
    <w:rsid w:val="008C4FD8"/>
    <w:rsid w:val="008C5436"/>
    <w:rsid w:val="008C5448"/>
    <w:rsid w:val="008C5550"/>
    <w:rsid w:val="008C5C54"/>
    <w:rsid w:val="008C692A"/>
    <w:rsid w:val="008C6D0C"/>
    <w:rsid w:val="008C7F68"/>
    <w:rsid w:val="008C7FDB"/>
    <w:rsid w:val="008D0264"/>
    <w:rsid w:val="008D02ED"/>
    <w:rsid w:val="008D2237"/>
    <w:rsid w:val="008D262A"/>
    <w:rsid w:val="008D2943"/>
    <w:rsid w:val="008D353C"/>
    <w:rsid w:val="008D353D"/>
    <w:rsid w:val="008D37A5"/>
    <w:rsid w:val="008D4759"/>
    <w:rsid w:val="008D4CE3"/>
    <w:rsid w:val="008D4E70"/>
    <w:rsid w:val="008D54B4"/>
    <w:rsid w:val="008D5567"/>
    <w:rsid w:val="008D5A22"/>
    <w:rsid w:val="008D6B7D"/>
    <w:rsid w:val="008D6BB8"/>
    <w:rsid w:val="008D6CD7"/>
    <w:rsid w:val="008E0E79"/>
    <w:rsid w:val="008E1182"/>
    <w:rsid w:val="008E23B3"/>
    <w:rsid w:val="008E2736"/>
    <w:rsid w:val="008E2F8F"/>
    <w:rsid w:val="008E4647"/>
    <w:rsid w:val="008E4C46"/>
    <w:rsid w:val="008E5001"/>
    <w:rsid w:val="008E5DBB"/>
    <w:rsid w:val="008E6952"/>
    <w:rsid w:val="008E6C8B"/>
    <w:rsid w:val="008E6D71"/>
    <w:rsid w:val="008E6FB4"/>
    <w:rsid w:val="008E7379"/>
    <w:rsid w:val="008E7499"/>
    <w:rsid w:val="008F05AF"/>
    <w:rsid w:val="008F068D"/>
    <w:rsid w:val="008F09FA"/>
    <w:rsid w:val="008F137A"/>
    <w:rsid w:val="008F28C0"/>
    <w:rsid w:val="008F2A57"/>
    <w:rsid w:val="008F2B20"/>
    <w:rsid w:val="008F2DBD"/>
    <w:rsid w:val="008F3B0A"/>
    <w:rsid w:val="008F3B2C"/>
    <w:rsid w:val="008F3C03"/>
    <w:rsid w:val="008F3F15"/>
    <w:rsid w:val="008F46DE"/>
    <w:rsid w:val="008F5D4F"/>
    <w:rsid w:val="00900A3C"/>
    <w:rsid w:val="00900E81"/>
    <w:rsid w:val="00901205"/>
    <w:rsid w:val="009013A1"/>
    <w:rsid w:val="009014BE"/>
    <w:rsid w:val="00901EB3"/>
    <w:rsid w:val="0090283B"/>
    <w:rsid w:val="00902CC7"/>
    <w:rsid w:val="009031E4"/>
    <w:rsid w:val="009037B4"/>
    <w:rsid w:val="00903A11"/>
    <w:rsid w:val="009048D0"/>
    <w:rsid w:val="009054E2"/>
    <w:rsid w:val="009055A8"/>
    <w:rsid w:val="0090652D"/>
    <w:rsid w:val="00907A7A"/>
    <w:rsid w:val="00907AE5"/>
    <w:rsid w:val="00907D42"/>
    <w:rsid w:val="009104E6"/>
    <w:rsid w:val="009105F2"/>
    <w:rsid w:val="0091095E"/>
    <w:rsid w:val="00911932"/>
    <w:rsid w:val="00911EB9"/>
    <w:rsid w:val="009125D5"/>
    <w:rsid w:val="009127EA"/>
    <w:rsid w:val="00912DDA"/>
    <w:rsid w:val="00913074"/>
    <w:rsid w:val="009131B2"/>
    <w:rsid w:val="009147F7"/>
    <w:rsid w:val="00914963"/>
    <w:rsid w:val="00915869"/>
    <w:rsid w:val="009158F3"/>
    <w:rsid w:val="00915949"/>
    <w:rsid w:val="00915B44"/>
    <w:rsid w:val="00916479"/>
    <w:rsid w:val="009164E7"/>
    <w:rsid w:val="00916826"/>
    <w:rsid w:val="00916CF6"/>
    <w:rsid w:val="00916E8B"/>
    <w:rsid w:val="009172C8"/>
    <w:rsid w:val="00917BCC"/>
    <w:rsid w:val="0092057D"/>
    <w:rsid w:val="00920B98"/>
    <w:rsid w:val="009225D8"/>
    <w:rsid w:val="00922D60"/>
    <w:rsid w:val="00922D6F"/>
    <w:rsid w:val="00922F6C"/>
    <w:rsid w:val="00923132"/>
    <w:rsid w:val="0092339B"/>
    <w:rsid w:val="0092371A"/>
    <w:rsid w:val="00923FA8"/>
    <w:rsid w:val="00924234"/>
    <w:rsid w:val="00925197"/>
    <w:rsid w:val="00925D37"/>
    <w:rsid w:val="0092612A"/>
    <w:rsid w:val="009274A6"/>
    <w:rsid w:val="009275FF"/>
    <w:rsid w:val="00927B0B"/>
    <w:rsid w:val="00931B29"/>
    <w:rsid w:val="009321E1"/>
    <w:rsid w:val="00932582"/>
    <w:rsid w:val="00932B73"/>
    <w:rsid w:val="00933653"/>
    <w:rsid w:val="0093394C"/>
    <w:rsid w:val="00933B10"/>
    <w:rsid w:val="009368DA"/>
    <w:rsid w:val="009369E0"/>
    <w:rsid w:val="009370E5"/>
    <w:rsid w:val="009374A8"/>
    <w:rsid w:val="009412A0"/>
    <w:rsid w:val="00941C2E"/>
    <w:rsid w:val="0094277A"/>
    <w:rsid w:val="009429C4"/>
    <w:rsid w:val="00942F12"/>
    <w:rsid w:val="00944831"/>
    <w:rsid w:val="00944B8D"/>
    <w:rsid w:val="00944DD1"/>
    <w:rsid w:val="00945922"/>
    <w:rsid w:val="00946751"/>
    <w:rsid w:val="00946BCC"/>
    <w:rsid w:val="00947970"/>
    <w:rsid w:val="00947A4E"/>
    <w:rsid w:val="00947F70"/>
    <w:rsid w:val="009500D2"/>
    <w:rsid w:val="009504B4"/>
    <w:rsid w:val="009504F0"/>
    <w:rsid w:val="00950511"/>
    <w:rsid w:val="00950527"/>
    <w:rsid w:val="00950F85"/>
    <w:rsid w:val="009516A3"/>
    <w:rsid w:val="0095255E"/>
    <w:rsid w:val="009533E5"/>
    <w:rsid w:val="00953452"/>
    <w:rsid w:val="00953A64"/>
    <w:rsid w:val="00954395"/>
    <w:rsid w:val="00954565"/>
    <w:rsid w:val="009548BF"/>
    <w:rsid w:val="00955575"/>
    <w:rsid w:val="0095587B"/>
    <w:rsid w:val="00956A41"/>
    <w:rsid w:val="00957057"/>
    <w:rsid w:val="0095760C"/>
    <w:rsid w:val="00957BDE"/>
    <w:rsid w:val="009600E4"/>
    <w:rsid w:val="00961234"/>
    <w:rsid w:val="0096171F"/>
    <w:rsid w:val="0096223D"/>
    <w:rsid w:val="00962247"/>
    <w:rsid w:val="00962AC7"/>
    <w:rsid w:val="00962E45"/>
    <w:rsid w:val="009631F0"/>
    <w:rsid w:val="009648AA"/>
    <w:rsid w:val="00964BAA"/>
    <w:rsid w:val="00964FFB"/>
    <w:rsid w:val="0096520A"/>
    <w:rsid w:val="00965488"/>
    <w:rsid w:val="00965CF3"/>
    <w:rsid w:val="00965EBC"/>
    <w:rsid w:val="0096626F"/>
    <w:rsid w:val="0096692A"/>
    <w:rsid w:val="0096699E"/>
    <w:rsid w:val="00967DA3"/>
    <w:rsid w:val="00967EBC"/>
    <w:rsid w:val="00971A32"/>
    <w:rsid w:val="00971CDD"/>
    <w:rsid w:val="00972244"/>
    <w:rsid w:val="0097275A"/>
    <w:rsid w:val="009727DF"/>
    <w:rsid w:val="00973EE5"/>
    <w:rsid w:val="00973FFF"/>
    <w:rsid w:val="00974619"/>
    <w:rsid w:val="00975476"/>
    <w:rsid w:val="009773E6"/>
    <w:rsid w:val="00977842"/>
    <w:rsid w:val="00977A8C"/>
    <w:rsid w:val="00981067"/>
    <w:rsid w:val="009811D3"/>
    <w:rsid w:val="00981B7C"/>
    <w:rsid w:val="009821C9"/>
    <w:rsid w:val="00982860"/>
    <w:rsid w:val="00982BFA"/>
    <w:rsid w:val="009831C0"/>
    <w:rsid w:val="00983469"/>
    <w:rsid w:val="009846FE"/>
    <w:rsid w:val="00985F74"/>
    <w:rsid w:val="00990126"/>
    <w:rsid w:val="00990B6A"/>
    <w:rsid w:val="00991DA3"/>
    <w:rsid w:val="00992A51"/>
    <w:rsid w:val="00992F50"/>
    <w:rsid w:val="00993CC7"/>
    <w:rsid w:val="009941EC"/>
    <w:rsid w:val="00994A7F"/>
    <w:rsid w:val="00994B53"/>
    <w:rsid w:val="009952FF"/>
    <w:rsid w:val="00995B7C"/>
    <w:rsid w:val="009968E1"/>
    <w:rsid w:val="00997B4D"/>
    <w:rsid w:val="00997B80"/>
    <w:rsid w:val="00997D29"/>
    <w:rsid w:val="009A0BEF"/>
    <w:rsid w:val="009A17C3"/>
    <w:rsid w:val="009A1A26"/>
    <w:rsid w:val="009A1D86"/>
    <w:rsid w:val="009A3B28"/>
    <w:rsid w:val="009A4436"/>
    <w:rsid w:val="009A4B63"/>
    <w:rsid w:val="009A4B69"/>
    <w:rsid w:val="009A4FCA"/>
    <w:rsid w:val="009A5F27"/>
    <w:rsid w:val="009A7FB3"/>
    <w:rsid w:val="009B0103"/>
    <w:rsid w:val="009B0520"/>
    <w:rsid w:val="009B0592"/>
    <w:rsid w:val="009B1685"/>
    <w:rsid w:val="009B1745"/>
    <w:rsid w:val="009B1FC9"/>
    <w:rsid w:val="009B24F3"/>
    <w:rsid w:val="009B29A9"/>
    <w:rsid w:val="009B2BC8"/>
    <w:rsid w:val="009B34DF"/>
    <w:rsid w:val="009B417B"/>
    <w:rsid w:val="009B47D7"/>
    <w:rsid w:val="009B47E1"/>
    <w:rsid w:val="009B4AD7"/>
    <w:rsid w:val="009B4D40"/>
    <w:rsid w:val="009B571D"/>
    <w:rsid w:val="009B58E6"/>
    <w:rsid w:val="009B6237"/>
    <w:rsid w:val="009B6871"/>
    <w:rsid w:val="009B6BEA"/>
    <w:rsid w:val="009B6E35"/>
    <w:rsid w:val="009B72C3"/>
    <w:rsid w:val="009B72DF"/>
    <w:rsid w:val="009C34F9"/>
    <w:rsid w:val="009C3D9D"/>
    <w:rsid w:val="009C3DA8"/>
    <w:rsid w:val="009C4767"/>
    <w:rsid w:val="009C4BE3"/>
    <w:rsid w:val="009C4FB5"/>
    <w:rsid w:val="009C5DB8"/>
    <w:rsid w:val="009C6F1C"/>
    <w:rsid w:val="009C7AD7"/>
    <w:rsid w:val="009D0524"/>
    <w:rsid w:val="009D0D90"/>
    <w:rsid w:val="009D11C8"/>
    <w:rsid w:val="009D1EB2"/>
    <w:rsid w:val="009D26B6"/>
    <w:rsid w:val="009D47BA"/>
    <w:rsid w:val="009D561A"/>
    <w:rsid w:val="009D640B"/>
    <w:rsid w:val="009D719C"/>
    <w:rsid w:val="009E0BD5"/>
    <w:rsid w:val="009E0F63"/>
    <w:rsid w:val="009E304D"/>
    <w:rsid w:val="009E318F"/>
    <w:rsid w:val="009E32DB"/>
    <w:rsid w:val="009E3C88"/>
    <w:rsid w:val="009E435B"/>
    <w:rsid w:val="009E437B"/>
    <w:rsid w:val="009E443A"/>
    <w:rsid w:val="009E5163"/>
    <w:rsid w:val="009E5920"/>
    <w:rsid w:val="009E5CFE"/>
    <w:rsid w:val="009E5F9C"/>
    <w:rsid w:val="009E6C25"/>
    <w:rsid w:val="009E7575"/>
    <w:rsid w:val="009E7E48"/>
    <w:rsid w:val="009F01C5"/>
    <w:rsid w:val="009F05DB"/>
    <w:rsid w:val="009F0F6F"/>
    <w:rsid w:val="009F15B4"/>
    <w:rsid w:val="009F1E8C"/>
    <w:rsid w:val="009F237F"/>
    <w:rsid w:val="009F2D7D"/>
    <w:rsid w:val="009F365C"/>
    <w:rsid w:val="009F3998"/>
    <w:rsid w:val="009F3F01"/>
    <w:rsid w:val="009F43A5"/>
    <w:rsid w:val="009F43DA"/>
    <w:rsid w:val="009F4D2D"/>
    <w:rsid w:val="009F532C"/>
    <w:rsid w:val="009F5B0D"/>
    <w:rsid w:val="009F6248"/>
    <w:rsid w:val="009F686E"/>
    <w:rsid w:val="009F6D23"/>
    <w:rsid w:val="00A00249"/>
    <w:rsid w:val="00A010BB"/>
    <w:rsid w:val="00A01430"/>
    <w:rsid w:val="00A01494"/>
    <w:rsid w:val="00A017BE"/>
    <w:rsid w:val="00A0187C"/>
    <w:rsid w:val="00A022EB"/>
    <w:rsid w:val="00A02BAA"/>
    <w:rsid w:val="00A0341B"/>
    <w:rsid w:val="00A03718"/>
    <w:rsid w:val="00A04443"/>
    <w:rsid w:val="00A05AD6"/>
    <w:rsid w:val="00A0622B"/>
    <w:rsid w:val="00A07658"/>
    <w:rsid w:val="00A07EEA"/>
    <w:rsid w:val="00A11C9D"/>
    <w:rsid w:val="00A12079"/>
    <w:rsid w:val="00A13417"/>
    <w:rsid w:val="00A13543"/>
    <w:rsid w:val="00A137E6"/>
    <w:rsid w:val="00A13D2A"/>
    <w:rsid w:val="00A13E79"/>
    <w:rsid w:val="00A14E66"/>
    <w:rsid w:val="00A1534A"/>
    <w:rsid w:val="00A157E4"/>
    <w:rsid w:val="00A15D0B"/>
    <w:rsid w:val="00A16956"/>
    <w:rsid w:val="00A16BD6"/>
    <w:rsid w:val="00A16DFD"/>
    <w:rsid w:val="00A17170"/>
    <w:rsid w:val="00A174A3"/>
    <w:rsid w:val="00A2030B"/>
    <w:rsid w:val="00A20AEC"/>
    <w:rsid w:val="00A21416"/>
    <w:rsid w:val="00A216A7"/>
    <w:rsid w:val="00A221ED"/>
    <w:rsid w:val="00A22C34"/>
    <w:rsid w:val="00A24E81"/>
    <w:rsid w:val="00A24F48"/>
    <w:rsid w:val="00A2567C"/>
    <w:rsid w:val="00A25A00"/>
    <w:rsid w:val="00A25B0D"/>
    <w:rsid w:val="00A26191"/>
    <w:rsid w:val="00A2642F"/>
    <w:rsid w:val="00A26A39"/>
    <w:rsid w:val="00A27564"/>
    <w:rsid w:val="00A279C5"/>
    <w:rsid w:val="00A30061"/>
    <w:rsid w:val="00A30C4D"/>
    <w:rsid w:val="00A30DD0"/>
    <w:rsid w:val="00A30ED4"/>
    <w:rsid w:val="00A33A52"/>
    <w:rsid w:val="00A33A9F"/>
    <w:rsid w:val="00A33EE8"/>
    <w:rsid w:val="00A34423"/>
    <w:rsid w:val="00A35053"/>
    <w:rsid w:val="00A35625"/>
    <w:rsid w:val="00A36663"/>
    <w:rsid w:val="00A37D5A"/>
    <w:rsid w:val="00A415D5"/>
    <w:rsid w:val="00A42D18"/>
    <w:rsid w:val="00A42E1D"/>
    <w:rsid w:val="00A439F2"/>
    <w:rsid w:val="00A44161"/>
    <w:rsid w:val="00A445D3"/>
    <w:rsid w:val="00A445FB"/>
    <w:rsid w:val="00A45156"/>
    <w:rsid w:val="00A4543C"/>
    <w:rsid w:val="00A458DA"/>
    <w:rsid w:val="00A45AC1"/>
    <w:rsid w:val="00A45CF1"/>
    <w:rsid w:val="00A46646"/>
    <w:rsid w:val="00A46ADC"/>
    <w:rsid w:val="00A46F08"/>
    <w:rsid w:val="00A47123"/>
    <w:rsid w:val="00A47571"/>
    <w:rsid w:val="00A50231"/>
    <w:rsid w:val="00A5031C"/>
    <w:rsid w:val="00A50614"/>
    <w:rsid w:val="00A50F2A"/>
    <w:rsid w:val="00A52B74"/>
    <w:rsid w:val="00A52E22"/>
    <w:rsid w:val="00A52F3A"/>
    <w:rsid w:val="00A53200"/>
    <w:rsid w:val="00A54427"/>
    <w:rsid w:val="00A5506F"/>
    <w:rsid w:val="00A551FD"/>
    <w:rsid w:val="00A55539"/>
    <w:rsid w:val="00A555E7"/>
    <w:rsid w:val="00A556E1"/>
    <w:rsid w:val="00A56EEA"/>
    <w:rsid w:val="00A570C5"/>
    <w:rsid w:val="00A57724"/>
    <w:rsid w:val="00A57B9A"/>
    <w:rsid w:val="00A61394"/>
    <w:rsid w:val="00A61675"/>
    <w:rsid w:val="00A61886"/>
    <w:rsid w:val="00A61892"/>
    <w:rsid w:val="00A618E9"/>
    <w:rsid w:val="00A633E1"/>
    <w:rsid w:val="00A63536"/>
    <w:rsid w:val="00A64E47"/>
    <w:rsid w:val="00A656C9"/>
    <w:rsid w:val="00A66124"/>
    <w:rsid w:val="00A66D97"/>
    <w:rsid w:val="00A67809"/>
    <w:rsid w:val="00A67909"/>
    <w:rsid w:val="00A67A4E"/>
    <w:rsid w:val="00A7000B"/>
    <w:rsid w:val="00A70A24"/>
    <w:rsid w:val="00A70BDD"/>
    <w:rsid w:val="00A70CE3"/>
    <w:rsid w:val="00A714AE"/>
    <w:rsid w:val="00A717F7"/>
    <w:rsid w:val="00A722AF"/>
    <w:rsid w:val="00A7241B"/>
    <w:rsid w:val="00A7276C"/>
    <w:rsid w:val="00A73154"/>
    <w:rsid w:val="00A73183"/>
    <w:rsid w:val="00A73836"/>
    <w:rsid w:val="00A73C0A"/>
    <w:rsid w:val="00A74275"/>
    <w:rsid w:val="00A74D80"/>
    <w:rsid w:val="00A7543A"/>
    <w:rsid w:val="00A77735"/>
    <w:rsid w:val="00A777F2"/>
    <w:rsid w:val="00A8033C"/>
    <w:rsid w:val="00A80464"/>
    <w:rsid w:val="00A80CED"/>
    <w:rsid w:val="00A80F89"/>
    <w:rsid w:val="00A81941"/>
    <w:rsid w:val="00A81E78"/>
    <w:rsid w:val="00A82571"/>
    <w:rsid w:val="00A829D4"/>
    <w:rsid w:val="00A82B6E"/>
    <w:rsid w:val="00A8395F"/>
    <w:rsid w:val="00A83A37"/>
    <w:rsid w:val="00A83C57"/>
    <w:rsid w:val="00A83F0F"/>
    <w:rsid w:val="00A8438B"/>
    <w:rsid w:val="00A84B9B"/>
    <w:rsid w:val="00A856B7"/>
    <w:rsid w:val="00A8598B"/>
    <w:rsid w:val="00A86486"/>
    <w:rsid w:val="00A87090"/>
    <w:rsid w:val="00A876A3"/>
    <w:rsid w:val="00A87B41"/>
    <w:rsid w:val="00A87BB6"/>
    <w:rsid w:val="00A902A3"/>
    <w:rsid w:val="00A90322"/>
    <w:rsid w:val="00A903C1"/>
    <w:rsid w:val="00A912B3"/>
    <w:rsid w:val="00A913E7"/>
    <w:rsid w:val="00A91AB1"/>
    <w:rsid w:val="00A92ACF"/>
    <w:rsid w:val="00A92EF0"/>
    <w:rsid w:val="00A9376F"/>
    <w:rsid w:val="00A94035"/>
    <w:rsid w:val="00A94F6B"/>
    <w:rsid w:val="00A955DC"/>
    <w:rsid w:val="00A95680"/>
    <w:rsid w:val="00A9582A"/>
    <w:rsid w:val="00A95B90"/>
    <w:rsid w:val="00A95D5E"/>
    <w:rsid w:val="00A96FF2"/>
    <w:rsid w:val="00A973BB"/>
    <w:rsid w:val="00A978C6"/>
    <w:rsid w:val="00A97971"/>
    <w:rsid w:val="00A97B9B"/>
    <w:rsid w:val="00AA0487"/>
    <w:rsid w:val="00AA090C"/>
    <w:rsid w:val="00AA1756"/>
    <w:rsid w:val="00AA18C4"/>
    <w:rsid w:val="00AA2698"/>
    <w:rsid w:val="00AA2E2F"/>
    <w:rsid w:val="00AA2E38"/>
    <w:rsid w:val="00AA3346"/>
    <w:rsid w:val="00AA39DA"/>
    <w:rsid w:val="00AA3F79"/>
    <w:rsid w:val="00AA41C4"/>
    <w:rsid w:val="00AA45DF"/>
    <w:rsid w:val="00AA6115"/>
    <w:rsid w:val="00AA643B"/>
    <w:rsid w:val="00AA64D6"/>
    <w:rsid w:val="00AA685D"/>
    <w:rsid w:val="00AA70A9"/>
    <w:rsid w:val="00AA7CC9"/>
    <w:rsid w:val="00AB01E3"/>
    <w:rsid w:val="00AB214B"/>
    <w:rsid w:val="00AB2778"/>
    <w:rsid w:val="00AB2DF2"/>
    <w:rsid w:val="00AB2E88"/>
    <w:rsid w:val="00AB3A36"/>
    <w:rsid w:val="00AB47F7"/>
    <w:rsid w:val="00AB56AF"/>
    <w:rsid w:val="00AB66A9"/>
    <w:rsid w:val="00AB739E"/>
    <w:rsid w:val="00AB79EE"/>
    <w:rsid w:val="00AB7BE1"/>
    <w:rsid w:val="00AC090E"/>
    <w:rsid w:val="00AC18FA"/>
    <w:rsid w:val="00AC1A4B"/>
    <w:rsid w:val="00AC20C5"/>
    <w:rsid w:val="00AC285F"/>
    <w:rsid w:val="00AC2A1C"/>
    <w:rsid w:val="00AC2F37"/>
    <w:rsid w:val="00AC4487"/>
    <w:rsid w:val="00AC5640"/>
    <w:rsid w:val="00AC65E3"/>
    <w:rsid w:val="00AC6AFB"/>
    <w:rsid w:val="00AC6DD3"/>
    <w:rsid w:val="00AC766E"/>
    <w:rsid w:val="00AC7D76"/>
    <w:rsid w:val="00AD04E6"/>
    <w:rsid w:val="00AD0714"/>
    <w:rsid w:val="00AD0863"/>
    <w:rsid w:val="00AD0AE2"/>
    <w:rsid w:val="00AD0BD4"/>
    <w:rsid w:val="00AD15BC"/>
    <w:rsid w:val="00AD1705"/>
    <w:rsid w:val="00AD17EC"/>
    <w:rsid w:val="00AD19A0"/>
    <w:rsid w:val="00AD1D22"/>
    <w:rsid w:val="00AD1F15"/>
    <w:rsid w:val="00AD24E1"/>
    <w:rsid w:val="00AD27ED"/>
    <w:rsid w:val="00AD294D"/>
    <w:rsid w:val="00AD38A7"/>
    <w:rsid w:val="00AD4723"/>
    <w:rsid w:val="00AD54A1"/>
    <w:rsid w:val="00AD5553"/>
    <w:rsid w:val="00AD6155"/>
    <w:rsid w:val="00AD7114"/>
    <w:rsid w:val="00AD7342"/>
    <w:rsid w:val="00AD7654"/>
    <w:rsid w:val="00AD7D1D"/>
    <w:rsid w:val="00AE01B7"/>
    <w:rsid w:val="00AE0995"/>
    <w:rsid w:val="00AE0C30"/>
    <w:rsid w:val="00AE0CF9"/>
    <w:rsid w:val="00AE1202"/>
    <w:rsid w:val="00AE18B1"/>
    <w:rsid w:val="00AE2266"/>
    <w:rsid w:val="00AE23AC"/>
    <w:rsid w:val="00AE2A7D"/>
    <w:rsid w:val="00AE375A"/>
    <w:rsid w:val="00AE43EE"/>
    <w:rsid w:val="00AE4824"/>
    <w:rsid w:val="00AE630D"/>
    <w:rsid w:val="00AE729D"/>
    <w:rsid w:val="00AE72D7"/>
    <w:rsid w:val="00AE7BAC"/>
    <w:rsid w:val="00AF00D0"/>
    <w:rsid w:val="00AF0DDD"/>
    <w:rsid w:val="00AF0F28"/>
    <w:rsid w:val="00AF1019"/>
    <w:rsid w:val="00AF137E"/>
    <w:rsid w:val="00AF21C4"/>
    <w:rsid w:val="00AF28E2"/>
    <w:rsid w:val="00AF2FC1"/>
    <w:rsid w:val="00AF3976"/>
    <w:rsid w:val="00AF409C"/>
    <w:rsid w:val="00AF468F"/>
    <w:rsid w:val="00AF4D03"/>
    <w:rsid w:val="00AF631C"/>
    <w:rsid w:val="00AF6C0D"/>
    <w:rsid w:val="00AF7738"/>
    <w:rsid w:val="00AF78E0"/>
    <w:rsid w:val="00B001BB"/>
    <w:rsid w:val="00B00CF8"/>
    <w:rsid w:val="00B00E24"/>
    <w:rsid w:val="00B01A39"/>
    <w:rsid w:val="00B02639"/>
    <w:rsid w:val="00B0304B"/>
    <w:rsid w:val="00B03058"/>
    <w:rsid w:val="00B040E5"/>
    <w:rsid w:val="00B04BF2"/>
    <w:rsid w:val="00B04EB1"/>
    <w:rsid w:val="00B04EFB"/>
    <w:rsid w:val="00B0546D"/>
    <w:rsid w:val="00B05A6F"/>
    <w:rsid w:val="00B05B62"/>
    <w:rsid w:val="00B06FDD"/>
    <w:rsid w:val="00B0707F"/>
    <w:rsid w:val="00B07413"/>
    <w:rsid w:val="00B078B4"/>
    <w:rsid w:val="00B10751"/>
    <w:rsid w:val="00B10A7A"/>
    <w:rsid w:val="00B11B67"/>
    <w:rsid w:val="00B11E99"/>
    <w:rsid w:val="00B12859"/>
    <w:rsid w:val="00B12A37"/>
    <w:rsid w:val="00B12D4F"/>
    <w:rsid w:val="00B131B8"/>
    <w:rsid w:val="00B13294"/>
    <w:rsid w:val="00B13BDB"/>
    <w:rsid w:val="00B13ED2"/>
    <w:rsid w:val="00B143BE"/>
    <w:rsid w:val="00B14591"/>
    <w:rsid w:val="00B14830"/>
    <w:rsid w:val="00B14D71"/>
    <w:rsid w:val="00B150D9"/>
    <w:rsid w:val="00B1548B"/>
    <w:rsid w:val="00B15C4C"/>
    <w:rsid w:val="00B16484"/>
    <w:rsid w:val="00B17656"/>
    <w:rsid w:val="00B17A7D"/>
    <w:rsid w:val="00B20031"/>
    <w:rsid w:val="00B208ED"/>
    <w:rsid w:val="00B20FB0"/>
    <w:rsid w:val="00B22274"/>
    <w:rsid w:val="00B2318D"/>
    <w:rsid w:val="00B237E3"/>
    <w:rsid w:val="00B24313"/>
    <w:rsid w:val="00B252EB"/>
    <w:rsid w:val="00B26A8B"/>
    <w:rsid w:val="00B27473"/>
    <w:rsid w:val="00B27A1D"/>
    <w:rsid w:val="00B30405"/>
    <w:rsid w:val="00B30F65"/>
    <w:rsid w:val="00B32CAB"/>
    <w:rsid w:val="00B32D4B"/>
    <w:rsid w:val="00B3318C"/>
    <w:rsid w:val="00B333AC"/>
    <w:rsid w:val="00B3418B"/>
    <w:rsid w:val="00B3419A"/>
    <w:rsid w:val="00B3423D"/>
    <w:rsid w:val="00B34F6C"/>
    <w:rsid w:val="00B3512A"/>
    <w:rsid w:val="00B35759"/>
    <w:rsid w:val="00B359C6"/>
    <w:rsid w:val="00B35FAD"/>
    <w:rsid w:val="00B36C81"/>
    <w:rsid w:val="00B375FA"/>
    <w:rsid w:val="00B408C7"/>
    <w:rsid w:val="00B409A0"/>
    <w:rsid w:val="00B420DA"/>
    <w:rsid w:val="00B43E1E"/>
    <w:rsid w:val="00B43FA3"/>
    <w:rsid w:val="00B44910"/>
    <w:rsid w:val="00B45051"/>
    <w:rsid w:val="00B4505A"/>
    <w:rsid w:val="00B454A3"/>
    <w:rsid w:val="00B4557C"/>
    <w:rsid w:val="00B456AA"/>
    <w:rsid w:val="00B45DA9"/>
    <w:rsid w:val="00B46C52"/>
    <w:rsid w:val="00B46CF9"/>
    <w:rsid w:val="00B472ED"/>
    <w:rsid w:val="00B508BE"/>
    <w:rsid w:val="00B514C5"/>
    <w:rsid w:val="00B5212C"/>
    <w:rsid w:val="00B52860"/>
    <w:rsid w:val="00B52CB4"/>
    <w:rsid w:val="00B538A1"/>
    <w:rsid w:val="00B544D3"/>
    <w:rsid w:val="00B5516C"/>
    <w:rsid w:val="00B551F6"/>
    <w:rsid w:val="00B56286"/>
    <w:rsid w:val="00B5653B"/>
    <w:rsid w:val="00B57A5C"/>
    <w:rsid w:val="00B57C66"/>
    <w:rsid w:val="00B6009B"/>
    <w:rsid w:val="00B60BDA"/>
    <w:rsid w:val="00B6183C"/>
    <w:rsid w:val="00B6249D"/>
    <w:rsid w:val="00B624A2"/>
    <w:rsid w:val="00B62CA1"/>
    <w:rsid w:val="00B6354D"/>
    <w:rsid w:val="00B6409A"/>
    <w:rsid w:val="00B64C2F"/>
    <w:rsid w:val="00B66278"/>
    <w:rsid w:val="00B66B06"/>
    <w:rsid w:val="00B6762B"/>
    <w:rsid w:val="00B678B4"/>
    <w:rsid w:val="00B703AA"/>
    <w:rsid w:val="00B70AE1"/>
    <w:rsid w:val="00B70CFF"/>
    <w:rsid w:val="00B70F3B"/>
    <w:rsid w:val="00B713D2"/>
    <w:rsid w:val="00B72643"/>
    <w:rsid w:val="00B728D1"/>
    <w:rsid w:val="00B72FB3"/>
    <w:rsid w:val="00B7317D"/>
    <w:rsid w:val="00B735B4"/>
    <w:rsid w:val="00B7388B"/>
    <w:rsid w:val="00B74B1B"/>
    <w:rsid w:val="00B75195"/>
    <w:rsid w:val="00B75820"/>
    <w:rsid w:val="00B75883"/>
    <w:rsid w:val="00B77018"/>
    <w:rsid w:val="00B771A4"/>
    <w:rsid w:val="00B776E9"/>
    <w:rsid w:val="00B77BC1"/>
    <w:rsid w:val="00B77BC7"/>
    <w:rsid w:val="00B80ADD"/>
    <w:rsid w:val="00B80E69"/>
    <w:rsid w:val="00B81108"/>
    <w:rsid w:val="00B82EAF"/>
    <w:rsid w:val="00B83635"/>
    <w:rsid w:val="00B8510B"/>
    <w:rsid w:val="00B8534A"/>
    <w:rsid w:val="00B85E1E"/>
    <w:rsid w:val="00B918D7"/>
    <w:rsid w:val="00B9226B"/>
    <w:rsid w:val="00B923B0"/>
    <w:rsid w:val="00B92634"/>
    <w:rsid w:val="00B92845"/>
    <w:rsid w:val="00B92A12"/>
    <w:rsid w:val="00B93977"/>
    <w:rsid w:val="00B93A00"/>
    <w:rsid w:val="00B9416C"/>
    <w:rsid w:val="00B95728"/>
    <w:rsid w:val="00B95909"/>
    <w:rsid w:val="00B95A6E"/>
    <w:rsid w:val="00B96A56"/>
    <w:rsid w:val="00B96C17"/>
    <w:rsid w:val="00B97FC4"/>
    <w:rsid w:val="00BA0305"/>
    <w:rsid w:val="00BA1712"/>
    <w:rsid w:val="00BA1806"/>
    <w:rsid w:val="00BA19B8"/>
    <w:rsid w:val="00BA1B27"/>
    <w:rsid w:val="00BA24F7"/>
    <w:rsid w:val="00BA2911"/>
    <w:rsid w:val="00BA3249"/>
    <w:rsid w:val="00BA4708"/>
    <w:rsid w:val="00BA5CB3"/>
    <w:rsid w:val="00BA600C"/>
    <w:rsid w:val="00BA62B4"/>
    <w:rsid w:val="00BA632B"/>
    <w:rsid w:val="00BA699F"/>
    <w:rsid w:val="00BA7CB2"/>
    <w:rsid w:val="00BA7F37"/>
    <w:rsid w:val="00BB007C"/>
    <w:rsid w:val="00BB0EEF"/>
    <w:rsid w:val="00BB1579"/>
    <w:rsid w:val="00BB1AB8"/>
    <w:rsid w:val="00BB254B"/>
    <w:rsid w:val="00BB285B"/>
    <w:rsid w:val="00BB2875"/>
    <w:rsid w:val="00BB2A15"/>
    <w:rsid w:val="00BB2B14"/>
    <w:rsid w:val="00BB33B6"/>
    <w:rsid w:val="00BB3EF6"/>
    <w:rsid w:val="00BB3F7F"/>
    <w:rsid w:val="00BB5B83"/>
    <w:rsid w:val="00BB7943"/>
    <w:rsid w:val="00BC023F"/>
    <w:rsid w:val="00BC06B6"/>
    <w:rsid w:val="00BC09D6"/>
    <w:rsid w:val="00BC0E95"/>
    <w:rsid w:val="00BC21F6"/>
    <w:rsid w:val="00BC298F"/>
    <w:rsid w:val="00BC3255"/>
    <w:rsid w:val="00BC3707"/>
    <w:rsid w:val="00BC3879"/>
    <w:rsid w:val="00BC4B66"/>
    <w:rsid w:val="00BC4C2E"/>
    <w:rsid w:val="00BC4C4A"/>
    <w:rsid w:val="00BC4D7D"/>
    <w:rsid w:val="00BC512C"/>
    <w:rsid w:val="00BC56D6"/>
    <w:rsid w:val="00BC5CB1"/>
    <w:rsid w:val="00BC6835"/>
    <w:rsid w:val="00BC6965"/>
    <w:rsid w:val="00BC71A7"/>
    <w:rsid w:val="00BC7B12"/>
    <w:rsid w:val="00BD006B"/>
    <w:rsid w:val="00BD1100"/>
    <w:rsid w:val="00BD19D1"/>
    <w:rsid w:val="00BD1B64"/>
    <w:rsid w:val="00BD2A46"/>
    <w:rsid w:val="00BD30A0"/>
    <w:rsid w:val="00BD315C"/>
    <w:rsid w:val="00BD3B9D"/>
    <w:rsid w:val="00BD47EA"/>
    <w:rsid w:val="00BD4998"/>
    <w:rsid w:val="00BD599C"/>
    <w:rsid w:val="00BD6723"/>
    <w:rsid w:val="00BD6977"/>
    <w:rsid w:val="00BD75D0"/>
    <w:rsid w:val="00BD7B65"/>
    <w:rsid w:val="00BE0120"/>
    <w:rsid w:val="00BE02D0"/>
    <w:rsid w:val="00BE0735"/>
    <w:rsid w:val="00BE0856"/>
    <w:rsid w:val="00BE217A"/>
    <w:rsid w:val="00BE281B"/>
    <w:rsid w:val="00BE307C"/>
    <w:rsid w:val="00BE5324"/>
    <w:rsid w:val="00BE5B3B"/>
    <w:rsid w:val="00BE5D0A"/>
    <w:rsid w:val="00BE6590"/>
    <w:rsid w:val="00BE6DFE"/>
    <w:rsid w:val="00BE740E"/>
    <w:rsid w:val="00BE79F5"/>
    <w:rsid w:val="00BE7C8C"/>
    <w:rsid w:val="00BF02D4"/>
    <w:rsid w:val="00BF0335"/>
    <w:rsid w:val="00BF04F1"/>
    <w:rsid w:val="00BF21A8"/>
    <w:rsid w:val="00BF2E7E"/>
    <w:rsid w:val="00BF2EB5"/>
    <w:rsid w:val="00BF37BB"/>
    <w:rsid w:val="00BF4230"/>
    <w:rsid w:val="00BF5615"/>
    <w:rsid w:val="00BF5788"/>
    <w:rsid w:val="00BF5F9D"/>
    <w:rsid w:val="00BF61A1"/>
    <w:rsid w:val="00BF68EE"/>
    <w:rsid w:val="00BF6FC0"/>
    <w:rsid w:val="00C00769"/>
    <w:rsid w:val="00C00979"/>
    <w:rsid w:val="00C00F04"/>
    <w:rsid w:val="00C01DE5"/>
    <w:rsid w:val="00C01F69"/>
    <w:rsid w:val="00C04669"/>
    <w:rsid w:val="00C04A4B"/>
    <w:rsid w:val="00C04EE2"/>
    <w:rsid w:val="00C05458"/>
    <w:rsid w:val="00C0717F"/>
    <w:rsid w:val="00C071A3"/>
    <w:rsid w:val="00C0731F"/>
    <w:rsid w:val="00C07964"/>
    <w:rsid w:val="00C07EC9"/>
    <w:rsid w:val="00C10585"/>
    <w:rsid w:val="00C10F3A"/>
    <w:rsid w:val="00C10FB6"/>
    <w:rsid w:val="00C11357"/>
    <w:rsid w:val="00C11964"/>
    <w:rsid w:val="00C11968"/>
    <w:rsid w:val="00C122AC"/>
    <w:rsid w:val="00C12798"/>
    <w:rsid w:val="00C13590"/>
    <w:rsid w:val="00C13743"/>
    <w:rsid w:val="00C1383D"/>
    <w:rsid w:val="00C13CD1"/>
    <w:rsid w:val="00C13DB2"/>
    <w:rsid w:val="00C13FF1"/>
    <w:rsid w:val="00C145C6"/>
    <w:rsid w:val="00C157E7"/>
    <w:rsid w:val="00C15C3F"/>
    <w:rsid w:val="00C15E98"/>
    <w:rsid w:val="00C16019"/>
    <w:rsid w:val="00C16036"/>
    <w:rsid w:val="00C172A4"/>
    <w:rsid w:val="00C176A0"/>
    <w:rsid w:val="00C17B8E"/>
    <w:rsid w:val="00C20213"/>
    <w:rsid w:val="00C206D1"/>
    <w:rsid w:val="00C206E7"/>
    <w:rsid w:val="00C2080A"/>
    <w:rsid w:val="00C20965"/>
    <w:rsid w:val="00C20B97"/>
    <w:rsid w:val="00C21703"/>
    <w:rsid w:val="00C22A3F"/>
    <w:rsid w:val="00C23430"/>
    <w:rsid w:val="00C24333"/>
    <w:rsid w:val="00C24373"/>
    <w:rsid w:val="00C24EC3"/>
    <w:rsid w:val="00C2538A"/>
    <w:rsid w:val="00C2538D"/>
    <w:rsid w:val="00C255F7"/>
    <w:rsid w:val="00C278C1"/>
    <w:rsid w:val="00C304A7"/>
    <w:rsid w:val="00C306E5"/>
    <w:rsid w:val="00C30959"/>
    <w:rsid w:val="00C30FF8"/>
    <w:rsid w:val="00C3193D"/>
    <w:rsid w:val="00C3333B"/>
    <w:rsid w:val="00C33C5B"/>
    <w:rsid w:val="00C344B1"/>
    <w:rsid w:val="00C349AE"/>
    <w:rsid w:val="00C34AF0"/>
    <w:rsid w:val="00C34DD6"/>
    <w:rsid w:val="00C34F84"/>
    <w:rsid w:val="00C360F9"/>
    <w:rsid w:val="00C36310"/>
    <w:rsid w:val="00C36B44"/>
    <w:rsid w:val="00C37471"/>
    <w:rsid w:val="00C37A2A"/>
    <w:rsid w:val="00C37DE8"/>
    <w:rsid w:val="00C4005B"/>
    <w:rsid w:val="00C400B5"/>
    <w:rsid w:val="00C40C3C"/>
    <w:rsid w:val="00C4243F"/>
    <w:rsid w:val="00C42B41"/>
    <w:rsid w:val="00C42F15"/>
    <w:rsid w:val="00C43835"/>
    <w:rsid w:val="00C47658"/>
    <w:rsid w:val="00C50389"/>
    <w:rsid w:val="00C5134C"/>
    <w:rsid w:val="00C51570"/>
    <w:rsid w:val="00C519B6"/>
    <w:rsid w:val="00C51C97"/>
    <w:rsid w:val="00C528D0"/>
    <w:rsid w:val="00C52A61"/>
    <w:rsid w:val="00C53016"/>
    <w:rsid w:val="00C54779"/>
    <w:rsid w:val="00C5485B"/>
    <w:rsid w:val="00C5492A"/>
    <w:rsid w:val="00C54DD6"/>
    <w:rsid w:val="00C54FF8"/>
    <w:rsid w:val="00C56DE9"/>
    <w:rsid w:val="00C571BF"/>
    <w:rsid w:val="00C61250"/>
    <w:rsid w:val="00C61E6D"/>
    <w:rsid w:val="00C6213A"/>
    <w:rsid w:val="00C62DA4"/>
    <w:rsid w:val="00C62ED8"/>
    <w:rsid w:val="00C62F2D"/>
    <w:rsid w:val="00C63171"/>
    <w:rsid w:val="00C64334"/>
    <w:rsid w:val="00C64BD4"/>
    <w:rsid w:val="00C64CD7"/>
    <w:rsid w:val="00C65745"/>
    <w:rsid w:val="00C65BAF"/>
    <w:rsid w:val="00C66138"/>
    <w:rsid w:val="00C67E3A"/>
    <w:rsid w:val="00C70C11"/>
    <w:rsid w:val="00C7142E"/>
    <w:rsid w:val="00C72F37"/>
    <w:rsid w:val="00C7401D"/>
    <w:rsid w:val="00C7497A"/>
    <w:rsid w:val="00C74A87"/>
    <w:rsid w:val="00C74C4F"/>
    <w:rsid w:val="00C75C77"/>
    <w:rsid w:val="00C75EE0"/>
    <w:rsid w:val="00C765A7"/>
    <w:rsid w:val="00C766D1"/>
    <w:rsid w:val="00C76D7B"/>
    <w:rsid w:val="00C77DE8"/>
    <w:rsid w:val="00C8009E"/>
    <w:rsid w:val="00C8011C"/>
    <w:rsid w:val="00C804BE"/>
    <w:rsid w:val="00C80AFB"/>
    <w:rsid w:val="00C80E81"/>
    <w:rsid w:val="00C80F64"/>
    <w:rsid w:val="00C81345"/>
    <w:rsid w:val="00C814E1"/>
    <w:rsid w:val="00C81751"/>
    <w:rsid w:val="00C819E3"/>
    <w:rsid w:val="00C82D30"/>
    <w:rsid w:val="00C8332D"/>
    <w:rsid w:val="00C8356D"/>
    <w:rsid w:val="00C83AFC"/>
    <w:rsid w:val="00C83C2F"/>
    <w:rsid w:val="00C842D4"/>
    <w:rsid w:val="00C84372"/>
    <w:rsid w:val="00C84A51"/>
    <w:rsid w:val="00C854E3"/>
    <w:rsid w:val="00C857CF"/>
    <w:rsid w:val="00C85ED8"/>
    <w:rsid w:val="00C862E0"/>
    <w:rsid w:val="00C86E9B"/>
    <w:rsid w:val="00C87926"/>
    <w:rsid w:val="00C906C7"/>
    <w:rsid w:val="00C9088B"/>
    <w:rsid w:val="00C920DF"/>
    <w:rsid w:val="00C92129"/>
    <w:rsid w:val="00C934C4"/>
    <w:rsid w:val="00C94657"/>
    <w:rsid w:val="00C94950"/>
    <w:rsid w:val="00C94AAC"/>
    <w:rsid w:val="00C94CA1"/>
    <w:rsid w:val="00C95B2C"/>
    <w:rsid w:val="00C95B38"/>
    <w:rsid w:val="00C95CCA"/>
    <w:rsid w:val="00C96374"/>
    <w:rsid w:val="00C968AB"/>
    <w:rsid w:val="00C969F0"/>
    <w:rsid w:val="00C972DE"/>
    <w:rsid w:val="00C9730E"/>
    <w:rsid w:val="00CA006A"/>
    <w:rsid w:val="00CA0294"/>
    <w:rsid w:val="00CA033B"/>
    <w:rsid w:val="00CA0C3F"/>
    <w:rsid w:val="00CA0F65"/>
    <w:rsid w:val="00CA1F4A"/>
    <w:rsid w:val="00CA2BFC"/>
    <w:rsid w:val="00CA328B"/>
    <w:rsid w:val="00CA3A21"/>
    <w:rsid w:val="00CA3DC3"/>
    <w:rsid w:val="00CA505C"/>
    <w:rsid w:val="00CA5392"/>
    <w:rsid w:val="00CA543B"/>
    <w:rsid w:val="00CA6336"/>
    <w:rsid w:val="00CA6537"/>
    <w:rsid w:val="00CA7059"/>
    <w:rsid w:val="00CA7345"/>
    <w:rsid w:val="00CA77A8"/>
    <w:rsid w:val="00CB0339"/>
    <w:rsid w:val="00CB0B97"/>
    <w:rsid w:val="00CB0C90"/>
    <w:rsid w:val="00CB0D34"/>
    <w:rsid w:val="00CB1BAC"/>
    <w:rsid w:val="00CB318E"/>
    <w:rsid w:val="00CB383E"/>
    <w:rsid w:val="00CB422B"/>
    <w:rsid w:val="00CB5875"/>
    <w:rsid w:val="00CB686F"/>
    <w:rsid w:val="00CB70A4"/>
    <w:rsid w:val="00CC009A"/>
    <w:rsid w:val="00CC0DAE"/>
    <w:rsid w:val="00CC123F"/>
    <w:rsid w:val="00CC15A1"/>
    <w:rsid w:val="00CC1A0E"/>
    <w:rsid w:val="00CC26C5"/>
    <w:rsid w:val="00CC29F3"/>
    <w:rsid w:val="00CC2EA6"/>
    <w:rsid w:val="00CC4877"/>
    <w:rsid w:val="00CC4D89"/>
    <w:rsid w:val="00CC511E"/>
    <w:rsid w:val="00CC56F0"/>
    <w:rsid w:val="00CC643E"/>
    <w:rsid w:val="00CC69E8"/>
    <w:rsid w:val="00CC6F7D"/>
    <w:rsid w:val="00CC7B7A"/>
    <w:rsid w:val="00CD00A4"/>
    <w:rsid w:val="00CD130D"/>
    <w:rsid w:val="00CD247E"/>
    <w:rsid w:val="00CD279F"/>
    <w:rsid w:val="00CD3C38"/>
    <w:rsid w:val="00CD4B90"/>
    <w:rsid w:val="00CD553E"/>
    <w:rsid w:val="00CD5D76"/>
    <w:rsid w:val="00CD67AC"/>
    <w:rsid w:val="00CD7076"/>
    <w:rsid w:val="00CD731A"/>
    <w:rsid w:val="00CD73D7"/>
    <w:rsid w:val="00CD79C2"/>
    <w:rsid w:val="00CD7DD3"/>
    <w:rsid w:val="00CE01D4"/>
    <w:rsid w:val="00CE04DF"/>
    <w:rsid w:val="00CE0542"/>
    <w:rsid w:val="00CE1B0A"/>
    <w:rsid w:val="00CE221B"/>
    <w:rsid w:val="00CE2250"/>
    <w:rsid w:val="00CE38BD"/>
    <w:rsid w:val="00CE3917"/>
    <w:rsid w:val="00CE3E10"/>
    <w:rsid w:val="00CE5443"/>
    <w:rsid w:val="00CE5865"/>
    <w:rsid w:val="00CE5BF9"/>
    <w:rsid w:val="00CE5D8A"/>
    <w:rsid w:val="00CE5DEC"/>
    <w:rsid w:val="00CE6542"/>
    <w:rsid w:val="00CE6B7C"/>
    <w:rsid w:val="00CE7020"/>
    <w:rsid w:val="00CE7188"/>
    <w:rsid w:val="00CE7D8E"/>
    <w:rsid w:val="00CF02AD"/>
    <w:rsid w:val="00CF049B"/>
    <w:rsid w:val="00CF258E"/>
    <w:rsid w:val="00CF2970"/>
    <w:rsid w:val="00CF3AED"/>
    <w:rsid w:val="00CF4CF9"/>
    <w:rsid w:val="00CF5567"/>
    <w:rsid w:val="00CF5F61"/>
    <w:rsid w:val="00CF697D"/>
    <w:rsid w:val="00CF7968"/>
    <w:rsid w:val="00D011A4"/>
    <w:rsid w:val="00D012D6"/>
    <w:rsid w:val="00D01B08"/>
    <w:rsid w:val="00D025B9"/>
    <w:rsid w:val="00D02673"/>
    <w:rsid w:val="00D02710"/>
    <w:rsid w:val="00D02D72"/>
    <w:rsid w:val="00D03B24"/>
    <w:rsid w:val="00D0468E"/>
    <w:rsid w:val="00D04724"/>
    <w:rsid w:val="00D04EA4"/>
    <w:rsid w:val="00D05412"/>
    <w:rsid w:val="00D05A97"/>
    <w:rsid w:val="00D0656B"/>
    <w:rsid w:val="00D06796"/>
    <w:rsid w:val="00D06D9F"/>
    <w:rsid w:val="00D0785C"/>
    <w:rsid w:val="00D11536"/>
    <w:rsid w:val="00D11DF8"/>
    <w:rsid w:val="00D1223D"/>
    <w:rsid w:val="00D122FF"/>
    <w:rsid w:val="00D1255A"/>
    <w:rsid w:val="00D12881"/>
    <w:rsid w:val="00D12CF1"/>
    <w:rsid w:val="00D13933"/>
    <w:rsid w:val="00D140CA"/>
    <w:rsid w:val="00D1496E"/>
    <w:rsid w:val="00D1597C"/>
    <w:rsid w:val="00D15D81"/>
    <w:rsid w:val="00D15F54"/>
    <w:rsid w:val="00D16A01"/>
    <w:rsid w:val="00D16F90"/>
    <w:rsid w:val="00D2048D"/>
    <w:rsid w:val="00D20C97"/>
    <w:rsid w:val="00D2221F"/>
    <w:rsid w:val="00D22A09"/>
    <w:rsid w:val="00D23C93"/>
    <w:rsid w:val="00D250AD"/>
    <w:rsid w:val="00D25200"/>
    <w:rsid w:val="00D25C79"/>
    <w:rsid w:val="00D26A82"/>
    <w:rsid w:val="00D26CA0"/>
    <w:rsid w:val="00D26E71"/>
    <w:rsid w:val="00D27769"/>
    <w:rsid w:val="00D3268C"/>
    <w:rsid w:val="00D32D7B"/>
    <w:rsid w:val="00D33EC8"/>
    <w:rsid w:val="00D34069"/>
    <w:rsid w:val="00D34A52"/>
    <w:rsid w:val="00D34A6D"/>
    <w:rsid w:val="00D34A80"/>
    <w:rsid w:val="00D34C0D"/>
    <w:rsid w:val="00D36BBB"/>
    <w:rsid w:val="00D41931"/>
    <w:rsid w:val="00D42AFB"/>
    <w:rsid w:val="00D434D5"/>
    <w:rsid w:val="00D43FF1"/>
    <w:rsid w:val="00D44735"/>
    <w:rsid w:val="00D46929"/>
    <w:rsid w:val="00D46D14"/>
    <w:rsid w:val="00D47B74"/>
    <w:rsid w:val="00D500F2"/>
    <w:rsid w:val="00D508FA"/>
    <w:rsid w:val="00D50B4E"/>
    <w:rsid w:val="00D50C10"/>
    <w:rsid w:val="00D51030"/>
    <w:rsid w:val="00D520BD"/>
    <w:rsid w:val="00D521C9"/>
    <w:rsid w:val="00D52A5B"/>
    <w:rsid w:val="00D5335D"/>
    <w:rsid w:val="00D534EE"/>
    <w:rsid w:val="00D539D1"/>
    <w:rsid w:val="00D53C74"/>
    <w:rsid w:val="00D54C76"/>
    <w:rsid w:val="00D55480"/>
    <w:rsid w:val="00D55934"/>
    <w:rsid w:val="00D5630C"/>
    <w:rsid w:val="00D56A5F"/>
    <w:rsid w:val="00D60340"/>
    <w:rsid w:val="00D62FC7"/>
    <w:rsid w:val="00D63578"/>
    <w:rsid w:val="00D64068"/>
    <w:rsid w:val="00D646EC"/>
    <w:rsid w:val="00D64AF4"/>
    <w:rsid w:val="00D65827"/>
    <w:rsid w:val="00D65BAE"/>
    <w:rsid w:val="00D65C15"/>
    <w:rsid w:val="00D65ED3"/>
    <w:rsid w:val="00D661FE"/>
    <w:rsid w:val="00D66E86"/>
    <w:rsid w:val="00D6705E"/>
    <w:rsid w:val="00D6798A"/>
    <w:rsid w:val="00D723D8"/>
    <w:rsid w:val="00D73477"/>
    <w:rsid w:val="00D734FA"/>
    <w:rsid w:val="00D74314"/>
    <w:rsid w:val="00D743D4"/>
    <w:rsid w:val="00D758B5"/>
    <w:rsid w:val="00D76054"/>
    <w:rsid w:val="00D774EC"/>
    <w:rsid w:val="00D77E10"/>
    <w:rsid w:val="00D803A6"/>
    <w:rsid w:val="00D81312"/>
    <w:rsid w:val="00D8159F"/>
    <w:rsid w:val="00D82EED"/>
    <w:rsid w:val="00D83C58"/>
    <w:rsid w:val="00D84D01"/>
    <w:rsid w:val="00D85BAE"/>
    <w:rsid w:val="00D87622"/>
    <w:rsid w:val="00D9040E"/>
    <w:rsid w:val="00D9058B"/>
    <w:rsid w:val="00D9129A"/>
    <w:rsid w:val="00D925CE"/>
    <w:rsid w:val="00D92DBA"/>
    <w:rsid w:val="00D938BC"/>
    <w:rsid w:val="00D939D3"/>
    <w:rsid w:val="00D93AB2"/>
    <w:rsid w:val="00D93C3E"/>
    <w:rsid w:val="00D93C40"/>
    <w:rsid w:val="00D94225"/>
    <w:rsid w:val="00D94602"/>
    <w:rsid w:val="00D95453"/>
    <w:rsid w:val="00D95970"/>
    <w:rsid w:val="00D95A83"/>
    <w:rsid w:val="00D961EA"/>
    <w:rsid w:val="00D966BE"/>
    <w:rsid w:val="00D967A9"/>
    <w:rsid w:val="00D96C86"/>
    <w:rsid w:val="00D96D3F"/>
    <w:rsid w:val="00DA0475"/>
    <w:rsid w:val="00DA04FE"/>
    <w:rsid w:val="00DA09C5"/>
    <w:rsid w:val="00DA0A43"/>
    <w:rsid w:val="00DA1032"/>
    <w:rsid w:val="00DA16CC"/>
    <w:rsid w:val="00DA180E"/>
    <w:rsid w:val="00DA1881"/>
    <w:rsid w:val="00DA1B79"/>
    <w:rsid w:val="00DA1DB7"/>
    <w:rsid w:val="00DA275B"/>
    <w:rsid w:val="00DA2C8A"/>
    <w:rsid w:val="00DA2EAA"/>
    <w:rsid w:val="00DA2F2D"/>
    <w:rsid w:val="00DA3043"/>
    <w:rsid w:val="00DA3A66"/>
    <w:rsid w:val="00DA3BF4"/>
    <w:rsid w:val="00DA4FC3"/>
    <w:rsid w:val="00DA525F"/>
    <w:rsid w:val="00DA6274"/>
    <w:rsid w:val="00DA67CA"/>
    <w:rsid w:val="00DA6CAC"/>
    <w:rsid w:val="00DA6E9C"/>
    <w:rsid w:val="00DA703E"/>
    <w:rsid w:val="00DA7A10"/>
    <w:rsid w:val="00DA7C30"/>
    <w:rsid w:val="00DB0381"/>
    <w:rsid w:val="00DB0EB6"/>
    <w:rsid w:val="00DB0F98"/>
    <w:rsid w:val="00DB14C2"/>
    <w:rsid w:val="00DB19E2"/>
    <w:rsid w:val="00DB2923"/>
    <w:rsid w:val="00DB2E2D"/>
    <w:rsid w:val="00DB3CB6"/>
    <w:rsid w:val="00DB3F85"/>
    <w:rsid w:val="00DB4340"/>
    <w:rsid w:val="00DB4946"/>
    <w:rsid w:val="00DB4A2C"/>
    <w:rsid w:val="00DB4A9D"/>
    <w:rsid w:val="00DB5EAC"/>
    <w:rsid w:val="00DB5EE5"/>
    <w:rsid w:val="00DB5F3C"/>
    <w:rsid w:val="00DB7E66"/>
    <w:rsid w:val="00DC03AD"/>
    <w:rsid w:val="00DC04FE"/>
    <w:rsid w:val="00DC07A2"/>
    <w:rsid w:val="00DC141F"/>
    <w:rsid w:val="00DC18B4"/>
    <w:rsid w:val="00DC2388"/>
    <w:rsid w:val="00DC2A34"/>
    <w:rsid w:val="00DC3EE7"/>
    <w:rsid w:val="00DC4D18"/>
    <w:rsid w:val="00DC52B2"/>
    <w:rsid w:val="00DC5C4B"/>
    <w:rsid w:val="00DC5D0F"/>
    <w:rsid w:val="00DC6019"/>
    <w:rsid w:val="00DC73F5"/>
    <w:rsid w:val="00DC7494"/>
    <w:rsid w:val="00DC7A1A"/>
    <w:rsid w:val="00DC7FE6"/>
    <w:rsid w:val="00DD03ED"/>
    <w:rsid w:val="00DD09B5"/>
    <w:rsid w:val="00DD0C22"/>
    <w:rsid w:val="00DD1BAD"/>
    <w:rsid w:val="00DD25CA"/>
    <w:rsid w:val="00DD2CDA"/>
    <w:rsid w:val="00DD3A50"/>
    <w:rsid w:val="00DD4648"/>
    <w:rsid w:val="00DD49CA"/>
    <w:rsid w:val="00DD6146"/>
    <w:rsid w:val="00DD7517"/>
    <w:rsid w:val="00DD7D9D"/>
    <w:rsid w:val="00DE04C1"/>
    <w:rsid w:val="00DE1293"/>
    <w:rsid w:val="00DE1771"/>
    <w:rsid w:val="00DE1D76"/>
    <w:rsid w:val="00DE1FE0"/>
    <w:rsid w:val="00DE20F4"/>
    <w:rsid w:val="00DE2B28"/>
    <w:rsid w:val="00DE2FE4"/>
    <w:rsid w:val="00DE37C2"/>
    <w:rsid w:val="00DE3D29"/>
    <w:rsid w:val="00DE3DCD"/>
    <w:rsid w:val="00DE435A"/>
    <w:rsid w:val="00DE44ED"/>
    <w:rsid w:val="00DE4F34"/>
    <w:rsid w:val="00DE52A0"/>
    <w:rsid w:val="00DE564C"/>
    <w:rsid w:val="00DE56F5"/>
    <w:rsid w:val="00DE6C17"/>
    <w:rsid w:val="00DF04C8"/>
    <w:rsid w:val="00DF05E6"/>
    <w:rsid w:val="00DF15AC"/>
    <w:rsid w:val="00DF175D"/>
    <w:rsid w:val="00DF21CB"/>
    <w:rsid w:val="00DF21E1"/>
    <w:rsid w:val="00DF280B"/>
    <w:rsid w:val="00DF40CC"/>
    <w:rsid w:val="00DF469F"/>
    <w:rsid w:val="00DF5548"/>
    <w:rsid w:val="00DF55DD"/>
    <w:rsid w:val="00DF6355"/>
    <w:rsid w:val="00DF6597"/>
    <w:rsid w:val="00DF6D16"/>
    <w:rsid w:val="00E00856"/>
    <w:rsid w:val="00E00BB8"/>
    <w:rsid w:val="00E014E1"/>
    <w:rsid w:val="00E01662"/>
    <w:rsid w:val="00E01DA4"/>
    <w:rsid w:val="00E02551"/>
    <w:rsid w:val="00E02D20"/>
    <w:rsid w:val="00E02F49"/>
    <w:rsid w:val="00E03095"/>
    <w:rsid w:val="00E03A4C"/>
    <w:rsid w:val="00E041F9"/>
    <w:rsid w:val="00E05CC8"/>
    <w:rsid w:val="00E05E49"/>
    <w:rsid w:val="00E0620F"/>
    <w:rsid w:val="00E10368"/>
    <w:rsid w:val="00E1077C"/>
    <w:rsid w:val="00E10B2E"/>
    <w:rsid w:val="00E10D6C"/>
    <w:rsid w:val="00E128ED"/>
    <w:rsid w:val="00E13155"/>
    <w:rsid w:val="00E132ED"/>
    <w:rsid w:val="00E13396"/>
    <w:rsid w:val="00E137FE"/>
    <w:rsid w:val="00E13808"/>
    <w:rsid w:val="00E14ED5"/>
    <w:rsid w:val="00E1526E"/>
    <w:rsid w:val="00E164C6"/>
    <w:rsid w:val="00E177D0"/>
    <w:rsid w:val="00E20128"/>
    <w:rsid w:val="00E2059F"/>
    <w:rsid w:val="00E20D07"/>
    <w:rsid w:val="00E20F14"/>
    <w:rsid w:val="00E21018"/>
    <w:rsid w:val="00E2222D"/>
    <w:rsid w:val="00E2315D"/>
    <w:rsid w:val="00E23B1D"/>
    <w:rsid w:val="00E2432F"/>
    <w:rsid w:val="00E24802"/>
    <w:rsid w:val="00E249CD"/>
    <w:rsid w:val="00E251C1"/>
    <w:rsid w:val="00E2530E"/>
    <w:rsid w:val="00E25404"/>
    <w:rsid w:val="00E2565F"/>
    <w:rsid w:val="00E25CD4"/>
    <w:rsid w:val="00E260CC"/>
    <w:rsid w:val="00E26659"/>
    <w:rsid w:val="00E274FE"/>
    <w:rsid w:val="00E276CC"/>
    <w:rsid w:val="00E27B82"/>
    <w:rsid w:val="00E30C80"/>
    <w:rsid w:val="00E31837"/>
    <w:rsid w:val="00E31D2D"/>
    <w:rsid w:val="00E321BC"/>
    <w:rsid w:val="00E331AE"/>
    <w:rsid w:val="00E333DE"/>
    <w:rsid w:val="00E3363B"/>
    <w:rsid w:val="00E33B8A"/>
    <w:rsid w:val="00E33CEC"/>
    <w:rsid w:val="00E33EF7"/>
    <w:rsid w:val="00E340A3"/>
    <w:rsid w:val="00E34234"/>
    <w:rsid w:val="00E34E16"/>
    <w:rsid w:val="00E3577F"/>
    <w:rsid w:val="00E35B1D"/>
    <w:rsid w:val="00E36296"/>
    <w:rsid w:val="00E37B84"/>
    <w:rsid w:val="00E4030C"/>
    <w:rsid w:val="00E41457"/>
    <w:rsid w:val="00E418DB"/>
    <w:rsid w:val="00E41D9C"/>
    <w:rsid w:val="00E41DA7"/>
    <w:rsid w:val="00E42238"/>
    <w:rsid w:val="00E4253F"/>
    <w:rsid w:val="00E42EE6"/>
    <w:rsid w:val="00E430EE"/>
    <w:rsid w:val="00E4388D"/>
    <w:rsid w:val="00E438AC"/>
    <w:rsid w:val="00E43CC8"/>
    <w:rsid w:val="00E43DD9"/>
    <w:rsid w:val="00E45778"/>
    <w:rsid w:val="00E467D1"/>
    <w:rsid w:val="00E46F88"/>
    <w:rsid w:val="00E475AE"/>
    <w:rsid w:val="00E47667"/>
    <w:rsid w:val="00E476BF"/>
    <w:rsid w:val="00E50A1C"/>
    <w:rsid w:val="00E5127B"/>
    <w:rsid w:val="00E512A2"/>
    <w:rsid w:val="00E51BD0"/>
    <w:rsid w:val="00E52A2F"/>
    <w:rsid w:val="00E52DEF"/>
    <w:rsid w:val="00E52FD3"/>
    <w:rsid w:val="00E53759"/>
    <w:rsid w:val="00E53C9D"/>
    <w:rsid w:val="00E55277"/>
    <w:rsid w:val="00E55C4D"/>
    <w:rsid w:val="00E5715D"/>
    <w:rsid w:val="00E5786E"/>
    <w:rsid w:val="00E57EF1"/>
    <w:rsid w:val="00E60075"/>
    <w:rsid w:val="00E60CC3"/>
    <w:rsid w:val="00E60D76"/>
    <w:rsid w:val="00E60EB2"/>
    <w:rsid w:val="00E61107"/>
    <w:rsid w:val="00E61C32"/>
    <w:rsid w:val="00E627D6"/>
    <w:rsid w:val="00E62866"/>
    <w:rsid w:val="00E62A5B"/>
    <w:rsid w:val="00E63577"/>
    <w:rsid w:val="00E64C25"/>
    <w:rsid w:val="00E6516C"/>
    <w:rsid w:val="00E65446"/>
    <w:rsid w:val="00E65651"/>
    <w:rsid w:val="00E657E9"/>
    <w:rsid w:val="00E65CBC"/>
    <w:rsid w:val="00E6631F"/>
    <w:rsid w:val="00E66630"/>
    <w:rsid w:val="00E66EFD"/>
    <w:rsid w:val="00E674AA"/>
    <w:rsid w:val="00E70C6D"/>
    <w:rsid w:val="00E70E3A"/>
    <w:rsid w:val="00E7116B"/>
    <w:rsid w:val="00E71638"/>
    <w:rsid w:val="00E71BA7"/>
    <w:rsid w:val="00E722CE"/>
    <w:rsid w:val="00E724E9"/>
    <w:rsid w:val="00E72532"/>
    <w:rsid w:val="00E73531"/>
    <w:rsid w:val="00E73C53"/>
    <w:rsid w:val="00E74BC7"/>
    <w:rsid w:val="00E75294"/>
    <w:rsid w:val="00E75537"/>
    <w:rsid w:val="00E75E12"/>
    <w:rsid w:val="00E76011"/>
    <w:rsid w:val="00E7660F"/>
    <w:rsid w:val="00E76A42"/>
    <w:rsid w:val="00E7729A"/>
    <w:rsid w:val="00E77625"/>
    <w:rsid w:val="00E77685"/>
    <w:rsid w:val="00E776BE"/>
    <w:rsid w:val="00E811EF"/>
    <w:rsid w:val="00E81516"/>
    <w:rsid w:val="00E82E03"/>
    <w:rsid w:val="00E831CC"/>
    <w:rsid w:val="00E8343B"/>
    <w:rsid w:val="00E83441"/>
    <w:rsid w:val="00E83AF1"/>
    <w:rsid w:val="00E83F0D"/>
    <w:rsid w:val="00E84540"/>
    <w:rsid w:val="00E84C14"/>
    <w:rsid w:val="00E86169"/>
    <w:rsid w:val="00E86C0F"/>
    <w:rsid w:val="00E86FFC"/>
    <w:rsid w:val="00E872D0"/>
    <w:rsid w:val="00E87630"/>
    <w:rsid w:val="00E877FF"/>
    <w:rsid w:val="00E90578"/>
    <w:rsid w:val="00E9067F"/>
    <w:rsid w:val="00E907D7"/>
    <w:rsid w:val="00E90B27"/>
    <w:rsid w:val="00E90DCC"/>
    <w:rsid w:val="00E90F0F"/>
    <w:rsid w:val="00E90F52"/>
    <w:rsid w:val="00E916AD"/>
    <w:rsid w:val="00E9218D"/>
    <w:rsid w:val="00E92C39"/>
    <w:rsid w:val="00E93314"/>
    <w:rsid w:val="00E93C08"/>
    <w:rsid w:val="00E93D8B"/>
    <w:rsid w:val="00E9488D"/>
    <w:rsid w:val="00E97DDD"/>
    <w:rsid w:val="00EA03B0"/>
    <w:rsid w:val="00EA0794"/>
    <w:rsid w:val="00EA0D1E"/>
    <w:rsid w:val="00EA2032"/>
    <w:rsid w:val="00EA23D1"/>
    <w:rsid w:val="00EA2786"/>
    <w:rsid w:val="00EA2A10"/>
    <w:rsid w:val="00EA362E"/>
    <w:rsid w:val="00EA4FC3"/>
    <w:rsid w:val="00EA503F"/>
    <w:rsid w:val="00EA5641"/>
    <w:rsid w:val="00EA5ACF"/>
    <w:rsid w:val="00EA6136"/>
    <w:rsid w:val="00EA6476"/>
    <w:rsid w:val="00EA6744"/>
    <w:rsid w:val="00EA77EF"/>
    <w:rsid w:val="00EA7E4A"/>
    <w:rsid w:val="00EA7F5C"/>
    <w:rsid w:val="00EB0059"/>
    <w:rsid w:val="00EB02D3"/>
    <w:rsid w:val="00EB0D40"/>
    <w:rsid w:val="00EB253E"/>
    <w:rsid w:val="00EB2D4A"/>
    <w:rsid w:val="00EB3131"/>
    <w:rsid w:val="00EB31B6"/>
    <w:rsid w:val="00EB40BA"/>
    <w:rsid w:val="00EB58D4"/>
    <w:rsid w:val="00EB5980"/>
    <w:rsid w:val="00EB5985"/>
    <w:rsid w:val="00EB5F92"/>
    <w:rsid w:val="00EB690F"/>
    <w:rsid w:val="00EB6CE7"/>
    <w:rsid w:val="00EB730A"/>
    <w:rsid w:val="00EB7ED3"/>
    <w:rsid w:val="00EC0DFA"/>
    <w:rsid w:val="00EC1725"/>
    <w:rsid w:val="00EC2783"/>
    <w:rsid w:val="00EC327F"/>
    <w:rsid w:val="00EC3410"/>
    <w:rsid w:val="00EC3B33"/>
    <w:rsid w:val="00EC4498"/>
    <w:rsid w:val="00EC55A0"/>
    <w:rsid w:val="00EC5CDB"/>
    <w:rsid w:val="00EC5CEA"/>
    <w:rsid w:val="00EC65D6"/>
    <w:rsid w:val="00EC6FB2"/>
    <w:rsid w:val="00ED0C3C"/>
    <w:rsid w:val="00ED140D"/>
    <w:rsid w:val="00ED43B8"/>
    <w:rsid w:val="00ED43C0"/>
    <w:rsid w:val="00ED444A"/>
    <w:rsid w:val="00ED472A"/>
    <w:rsid w:val="00ED48AA"/>
    <w:rsid w:val="00ED4F97"/>
    <w:rsid w:val="00ED6631"/>
    <w:rsid w:val="00ED68DF"/>
    <w:rsid w:val="00ED6DAE"/>
    <w:rsid w:val="00ED71C6"/>
    <w:rsid w:val="00ED781E"/>
    <w:rsid w:val="00ED7E97"/>
    <w:rsid w:val="00EE00E2"/>
    <w:rsid w:val="00EE0CBC"/>
    <w:rsid w:val="00EE0E1A"/>
    <w:rsid w:val="00EE0F34"/>
    <w:rsid w:val="00EE0FD5"/>
    <w:rsid w:val="00EE199F"/>
    <w:rsid w:val="00EE1C0F"/>
    <w:rsid w:val="00EE1C49"/>
    <w:rsid w:val="00EE269D"/>
    <w:rsid w:val="00EE27FE"/>
    <w:rsid w:val="00EE30C8"/>
    <w:rsid w:val="00EE3E20"/>
    <w:rsid w:val="00EE41BE"/>
    <w:rsid w:val="00EE4F3C"/>
    <w:rsid w:val="00EE5798"/>
    <w:rsid w:val="00EE5F23"/>
    <w:rsid w:val="00EE5F77"/>
    <w:rsid w:val="00EE6E13"/>
    <w:rsid w:val="00EE793F"/>
    <w:rsid w:val="00EE79C6"/>
    <w:rsid w:val="00EE7B1A"/>
    <w:rsid w:val="00EE7E9E"/>
    <w:rsid w:val="00EE7ED2"/>
    <w:rsid w:val="00EF0482"/>
    <w:rsid w:val="00EF1198"/>
    <w:rsid w:val="00EF11AB"/>
    <w:rsid w:val="00EF11CF"/>
    <w:rsid w:val="00EF2A5E"/>
    <w:rsid w:val="00EF2E27"/>
    <w:rsid w:val="00EF2FF4"/>
    <w:rsid w:val="00EF332B"/>
    <w:rsid w:val="00EF377D"/>
    <w:rsid w:val="00EF4196"/>
    <w:rsid w:val="00EF42CA"/>
    <w:rsid w:val="00EF430B"/>
    <w:rsid w:val="00EF4DFB"/>
    <w:rsid w:val="00EF5BCF"/>
    <w:rsid w:val="00EF6C4E"/>
    <w:rsid w:val="00EF6E5A"/>
    <w:rsid w:val="00EF7859"/>
    <w:rsid w:val="00EF7B5F"/>
    <w:rsid w:val="00EF7F09"/>
    <w:rsid w:val="00F02CED"/>
    <w:rsid w:val="00F02E8D"/>
    <w:rsid w:val="00F03EE3"/>
    <w:rsid w:val="00F0446E"/>
    <w:rsid w:val="00F05490"/>
    <w:rsid w:val="00F05D6E"/>
    <w:rsid w:val="00F05EC7"/>
    <w:rsid w:val="00F05F37"/>
    <w:rsid w:val="00F06D62"/>
    <w:rsid w:val="00F0727B"/>
    <w:rsid w:val="00F100F1"/>
    <w:rsid w:val="00F10410"/>
    <w:rsid w:val="00F107E3"/>
    <w:rsid w:val="00F10CFF"/>
    <w:rsid w:val="00F110A5"/>
    <w:rsid w:val="00F12247"/>
    <w:rsid w:val="00F1231F"/>
    <w:rsid w:val="00F12506"/>
    <w:rsid w:val="00F125D9"/>
    <w:rsid w:val="00F127B2"/>
    <w:rsid w:val="00F127B8"/>
    <w:rsid w:val="00F1286D"/>
    <w:rsid w:val="00F12D61"/>
    <w:rsid w:val="00F1346E"/>
    <w:rsid w:val="00F13564"/>
    <w:rsid w:val="00F14338"/>
    <w:rsid w:val="00F143F2"/>
    <w:rsid w:val="00F155BF"/>
    <w:rsid w:val="00F1626E"/>
    <w:rsid w:val="00F17480"/>
    <w:rsid w:val="00F17930"/>
    <w:rsid w:val="00F2031A"/>
    <w:rsid w:val="00F20327"/>
    <w:rsid w:val="00F206D3"/>
    <w:rsid w:val="00F21737"/>
    <w:rsid w:val="00F2200A"/>
    <w:rsid w:val="00F23926"/>
    <w:rsid w:val="00F242ED"/>
    <w:rsid w:val="00F249FC"/>
    <w:rsid w:val="00F249FE"/>
    <w:rsid w:val="00F25092"/>
    <w:rsid w:val="00F2518F"/>
    <w:rsid w:val="00F251D0"/>
    <w:rsid w:val="00F2653D"/>
    <w:rsid w:val="00F26904"/>
    <w:rsid w:val="00F27849"/>
    <w:rsid w:val="00F27DD5"/>
    <w:rsid w:val="00F3003F"/>
    <w:rsid w:val="00F30590"/>
    <w:rsid w:val="00F31301"/>
    <w:rsid w:val="00F3222B"/>
    <w:rsid w:val="00F32609"/>
    <w:rsid w:val="00F33462"/>
    <w:rsid w:val="00F33ABC"/>
    <w:rsid w:val="00F33CAE"/>
    <w:rsid w:val="00F340BA"/>
    <w:rsid w:val="00F34466"/>
    <w:rsid w:val="00F3482B"/>
    <w:rsid w:val="00F34FD5"/>
    <w:rsid w:val="00F363C5"/>
    <w:rsid w:val="00F36568"/>
    <w:rsid w:val="00F36617"/>
    <w:rsid w:val="00F36E2D"/>
    <w:rsid w:val="00F36F10"/>
    <w:rsid w:val="00F40281"/>
    <w:rsid w:val="00F41BF9"/>
    <w:rsid w:val="00F41C19"/>
    <w:rsid w:val="00F41CA6"/>
    <w:rsid w:val="00F42453"/>
    <w:rsid w:val="00F42516"/>
    <w:rsid w:val="00F42975"/>
    <w:rsid w:val="00F42E71"/>
    <w:rsid w:val="00F42F67"/>
    <w:rsid w:val="00F43243"/>
    <w:rsid w:val="00F43A0C"/>
    <w:rsid w:val="00F43B98"/>
    <w:rsid w:val="00F440D7"/>
    <w:rsid w:val="00F44DD1"/>
    <w:rsid w:val="00F460C7"/>
    <w:rsid w:val="00F462AB"/>
    <w:rsid w:val="00F462FA"/>
    <w:rsid w:val="00F46337"/>
    <w:rsid w:val="00F47B2F"/>
    <w:rsid w:val="00F50154"/>
    <w:rsid w:val="00F51D5C"/>
    <w:rsid w:val="00F52896"/>
    <w:rsid w:val="00F52BC7"/>
    <w:rsid w:val="00F53E7A"/>
    <w:rsid w:val="00F54043"/>
    <w:rsid w:val="00F54133"/>
    <w:rsid w:val="00F54556"/>
    <w:rsid w:val="00F54888"/>
    <w:rsid w:val="00F54B48"/>
    <w:rsid w:val="00F54BFB"/>
    <w:rsid w:val="00F55126"/>
    <w:rsid w:val="00F57BBE"/>
    <w:rsid w:val="00F57E36"/>
    <w:rsid w:val="00F57F5F"/>
    <w:rsid w:val="00F60E5F"/>
    <w:rsid w:val="00F610F2"/>
    <w:rsid w:val="00F61516"/>
    <w:rsid w:val="00F617B3"/>
    <w:rsid w:val="00F6212D"/>
    <w:rsid w:val="00F6229D"/>
    <w:rsid w:val="00F625C3"/>
    <w:rsid w:val="00F62C3D"/>
    <w:rsid w:val="00F63D27"/>
    <w:rsid w:val="00F64643"/>
    <w:rsid w:val="00F64704"/>
    <w:rsid w:val="00F64DAB"/>
    <w:rsid w:val="00F6544B"/>
    <w:rsid w:val="00F65EA7"/>
    <w:rsid w:val="00F65F67"/>
    <w:rsid w:val="00F66756"/>
    <w:rsid w:val="00F66E47"/>
    <w:rsid w:val="00F67270"/>
    <w:rsid w:val="00F674BF"/>
    <w:rsid w:val="00F67FB7"/>
    <w:rsid w:val="00F70B33"/>
    <w:rsid w:val="00F70F5A"/>
    <w:rsid w:val="00F7145D"/>
    <w:rsid w:val="00F72191"/>
    <w:rsid w:val="00F72570"/>
    <w:rsid w:val="00F72625"/>
    <w:rsid w:val="00F72A65"/>
    <w:rsid w:val="00F72F70"/>
    <w:rsid w:val="00F73094"/>
    <w:rsid w:val="00F733A3"/>
    <w:rsid w:val="00F73C30"/>
    <w:rsid w:val="00F74698"/>
    <w:rsid w:val="00F74C36"/>
    <w:rsid w:val="00F74CD2"/>
    <w:rsid w:val="00F753B1"/>
    <w:rsid w:val="00F76D28"/>
    <w:rsid w:val="00F772C5"/>
    <w:rsid w:val="00F77DF1"/>
    <w:rsid w:val="00F77E63"/>
    <w:rsid w:val="00F804CA"/>
    <w:rsid w:val="00F8152E"/>
    <w:rsid w:val="00F82B66"/>
    <w:rsid w:val="00F82E81"/>
    <w:rsid w:val="00F84526"/>
    <w:rsid w:val="00F84BF1"/>
    <w:rsid w:val="00F84D0A"/>
    <w:rsid w:val="00F8567F"/>
    <w:rsid w:val="00F85F53"/>
    <w:rsid w:val="00F86EB4"/>
    <w:rsid w:val="00F8746F"/>
    <w:rsid w:val="00F901BB"/>
    <w:rsid w:val="00F90986"/>
    <w:rsid w:val="00F91040"/>
    <w:rsid w:val="00F919EC"/>
    <w:rsid w:val="00F91A8E"/>
    <w:rsid w:val="00F92C0D"/>
    <w:rsid w:val="00F92C8B"/>
    <w:rsid w:val="00F92FF2"/>
    <w:rsid w:val="00F93BCD"/>
    <w:rsid w:val="00F94008"/>
    <w:rsid w:val="00F94B9B"/>
    <w:rsid w:val="00F952D0"/>
    <w:rsid w:val="00F9628A"/>
    <w:rsid w:val="00F962EB"/>
    <w:rsid w:val="00F96805"/>
    <w:rsid w:val="00F96A3A"/>
    <w:rsid w:val="00F96E4B"/>
    <w:rsid w:val="00F96F5D"/>
    <w:rsid w:val="00F97689"/>
    <w:rsid w:val="00F9794A"/>
    <w:rsid w:val="00F97DF8"/>
    <w:rsid w:val="00FA004F"/>
    <w:rsid w:val="00FA08D6"/>
    <w:rsid w:val="00FA1412"/>
    <w:rsid w:val="00FA2CF0"/>
    <w:rsid w:val="00FA2DAB"/>
    <w:rsid w:val="00FA3236"/>
    <w:rsid w:val="00FA36AB"/>
    <w:rsid w:val="00FA3C4C"/>
    <w:rsid w:val="00FA40EC"/>
    <w:rsid w:val="00FA44C4"/>
    <w:rsid w:val="00FA4545"/>
    <w:rsid w:val="00FA4C2A"/>
    <w:rsid w:val="00FA651D"/>
    <w:rsid w:val="00FA79C9"/>
    <w:rsid w:val="00FB0926"/>
    <w:rsid w:val="00FB0971"/>
    <w:rsid w:val="00FB0C25"/>
    <w:rsid w:val="00FB2605"/>
    <w:rsid w:val="00FB2CA8"/>
    <w:rsid w:val="00FB2CB7"/>
    <w:rsid w:val="00FB383D"/>
    <w:rsid w:val="00FB4C9C"/>
    <w:rsid w:val="00FB527F"/>
    <w:rsid w:val="00FB577C"/>
    <w:rsid w:val="00FB5E93"/>
    <w:rsid w:val="00FB69D0"/>
    <w:rsid w:val="00FB6D83"/>
    <w:rsid w:val="00FB7131"/>
    <w:rsid w:val="00FB78A4"/>
    <w:rsid w:val="00FC0168"/>
    <w:rsid w:val="00FC0C6A"/>
    <w:rsid w:val="00FC0E3A"/>
    <w:rsid w:val="00FC16D3"/>
    <w:rsid w:val="00FC1BBC"/>
    <w:rsid w:val="00FC1C2C"/>
    <w:rsid w:val="00FC1CB3"/>
    <w:rsid w:val="00FC1D38"/>
    <w:rsid w:val="00FC2989"/>
    <w:rsid w:val="00FC4322"/>
    <w:rsid w:val="00FC46D1"/>
    <w:rsid w:val="00FC4797"/>
    <w:rsid w:val="00FC4AFE"/>
    <w:rsid w:val="00FC4B7E"/>
    <w:rsid w:val="00FC5391"/>
    <w:rsid w:val="00FC55BA"/>
    <w:rsid w:val="00FC565F"/>
    <w:rsid w:val="00FC5736"/>
    <w:rsid w:val="00FC65E4"/>
    <w:rsid w:val="00FC6745"/>
    <w:rsid w:val="00FC7852"/>
    <w:rsid w:val="00FC7ABE"/>
    <w:rsid w:val="00FD02BD"/>
    <w:rsid w:val="00FD1A06"/>
    <w:rsid w:val="00FD2B2A"/>
    <w:rsid w:val="00FD34D0"/>
    <w:rsid w:val="00FD35D9"/>
    <w:rsid w:val="00FD35E4"/>
    <w:rsid w:val="00FD36AB"/>
    <w:rsid w:val="00FD4004"/>
    <w:rsid w:val="00FD5A00"/>
    <w:rsid w:val="00FD5B4E"/>
    <w:rsid w:val="00FD6C98"/>
    <w:rsid w:val="00FD7A97"/>
    <w:rsid w:val="00FD7DC6"/>
    <w:rsid w:val="00FE01C8"/>
    <w:rsid w:val="00FE01C9"/>
    <w:rsid w:val="00FE029D"/>
    <w:rsid w:val="00FE0DF0"/>
    <w:rsid w:val="00FE16C6"/>
    <w:rsid w:val="00FE2AF0"/>
    <w:rsid w:val="00FE2E09"/>
    <w:rsid w:val="00FE330D"/>
    <w:rsid w:val="00FE3E94"/>
    <w:rsid w:val="00FE425E"/>
    <w:rsid w:val="00FE4746"/>
    <w:rsid w:val="00FE540F"/>
    <w:rsid w:val="00FE58BF"/>
    <w:rsid w:val="00FE6687"/>
    <w:rsid w:val="00FE6831"/>
    <w:rsid w:val="00FE69C9"/>
    <w:rsid w:val="00FE7419"/>
    <w:rsid w:val="00FF1753"/>
    <w:rsid w:val="00FF2637"/>
    <w:rsid w:val="00FF31B3"/>
    <w:rsid w:val="00FF44AE"/>
    <w:rsid w:val="00FF533C"/>
    <w:rsid w:val="00FF5625"/>
    <w:rsid w:val="00FF575C"/>
    <w:rsid w:val="00FF6CF1"/>
    <w:rsid w:val="00FF6E31"/>
    <w:rsid w:val="00FF7138"/>
    <w:rsid w:val="00FF7F9E"/>
  </w:rsids>
  <m:mathPr>
    <m:mathFont m:val="Cambria Math"/>
    <m:brkBin m:val="before"/>
    <m:brkBinSub m:val="--"/>
    <m:smallFrac m:val="0"/>
    <m:dispDef/>
    <m:lMargin m:val="0"/>
    <m:rMargin m:val="0"/>
    <m:defJc m:val="centerGroup"/>
    <m:wrapIndent m:val="1440"/>
    <m:intLim m:val="subSup"/>
    <m:naryLim m:val="undOvr"/>
  </m:mathPr>
  <w:themeFontLang w:val="es-CR"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140A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191E"/>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qFormat/>
    <w:rsid w:val="0041191E"/>
    <w:pPr>
      <w:keepNext/>
      <w:numPr>
        <w:numId w:val="1"/>
      </w:numPr>
      <w:spacing w:after="0" w:line="240" w:lineRule="auto"/>
      <w:jc w:val="both"/>
      <w:outlineLvl w:val="1"/>
    </w:pPr>
    <w:rPr>
      <w:rFonts w:ascii="Calibri" w:eastAsia="Times New Roman" w:hAnsi="Calibri" w:cs="Times New Roman"/>
      <w:b/>
      <w:szCs w:val="20"/>
      <w:lang w:val="es-CO"/>
    </w:rPr>
  </w:style>
  <w:style w:type="paragraph" w:styleId="Heading3">
    <w:name w:val="heading 3"/>
    <w:basedOn w:val="Normal"/>
    <w:next w:val="Normal"/>
    <w:link w:val="Heading3Char"/>
    <w:uiPriority w:val="9"/>
    <w:qFormat/>
    <w:rsid w:val="0041191E"/>
    <w:pPr>
      <w:keepNext/>
      <w:spacing w:before="240" w:after="60" w:line="240" w:lineRule="auto"/>
      <w:outlineLvl w:val="2"/>
    </w:pPr>
    <w:rPr>
      <w:rFonts w:ascii="Cambria" w:eastAsia="Times New Roman" w:hAnsi="Cambria" w:cs="Times New Roman"/>
      <w:b/>
      <w:bCs/>
      <w:sz w:val="26"/>
      <w:szCs w:val="26"/>
      <w:lang w:val="es-ES_tradnl"/>
    </w:rPr>
  </w:style>
  <w:style w:type="paragraph" w:styleId="Heading4">
    <w:name w:val="heading 4"/>
    <w:basedOn w:val="Normal"/>
    <w:next w:val="Normal"/>
    <w:link w:val="Heading4Char"/>
    <w:uiPriority w:val="9"/>
    <w:semiHidden/>
    <w:unhideWhenUsed/>
    <w:qFormat/>
    <w:rsid w:val="006B6B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41191E"/>
    <w:pPr>
      <w:spacing w:before="240" w:after="60"/>
      <w:outlineLvl w:val="4"/>
    </w:pPr>
    <w:rPr>
      <w:rFonts w:ascii="Calibri" w:eastAsia="Times New Roman" w:hAnsi="Calibri" w:cs="Times New Roman"/>
      <w:b/>
      <w:bCs/>
      <w:i/>
      <w:iCs/>
      <w:sz w:val="26"/>
      <w:szCs w:val="26"/>
      <w:lang w:val="x-none"/>
    </w:rPr>
  </w:style>
  <w:style w:type="paragraph" w:styleId="Heading6">
    <w:name w:val="heading 6"/>
    <w:basedOn w:val="Heading5"/>
    <w:next w:val="Normal"/>
    <w:link w:val="Heading6Char"/>
    <w:uiPriority w:val="9"/>
    <w:qFormat/>
    <w:rsid w:val="0041191E"/>
    <w:pPr>
      <w:numPr>
        <w:ilvl w:val="4"/>
        <w:numId w:val="2"/>
      </w:numPr>
      <w:spacing w:before="0" w:after="0" w:line="240" w:lineRule="auto"/>
      <w:jc w:val="both"/>
      <w:outlineLvl w:val="5"/>
    </w:pPr>
    <w:rPr>
      <w:rFonts w:ascii="Verdana" w:hAnsi="Verdana"/>
      <w:b w:val="0"/>
      <w:bCs w:val="0"/>
      <w:i w:val="0"/>
      <w:iCs w:val="0"/>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1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41191E"/>
    <w:rPr>
      <w:rFonts w:ascii="Calibri" w:eastAsia="Times New Roman" w:hAnsi="Calibri" w:cs="Times New Roman"/>
      <w:b/>
      <w:szCs w:val="20"/>
      <w:lang w:val="es-CO"/>
    </w:rPr>
  </w:style>
  <w:style w:type="character" w:customStyle="1" w:styleId="Heading3Char">
    <w:name w:val="Heading 3 Char"/>
    <w:basedOn w:val="DefaultParagraphFont"/>
    <w:link w:val="Heading3"/>
    <w:uiPriority w:val="9"/>
    <w:rsid w:val="0041191E"/>
    <w:rPr>
      <w:rFonts w:ascii="Cambria" w:eastAsia="Times New Roman" w:hAnsi="Cambria" w:cs="Times New Roman"/>
      <w:b/>
      <w:bCs/>
      <w:sz w:val="26"/>
      <w:szCs w:val="26"/>
      <w:lang w:val="es-ES_tradnl"/>
    </w:rPr>
  </w:style>
  <w:style w:type="character" w:customStyle="1" w:styleId="Heading5Char">
    <w:name w:val="Heading 5 Char"/>
    <w:basedOn w:val="DefaultParagraphFont"/>
    <w:link w:val="Heading5"/>
    <w:rsid w:val="0041191E"/>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rsid w:val="0041191E"/>
    <w:rPr>
      <w:rFonts w:ascii="Verdana" w:eastAsia="Times New Roman" w:hAnsi="Verdana" w:cs="Times New Roman"/>
      <w:spacing w:val="-2"/>
      <w:sz w:val="20"/>
      <w:szCs w:val="20"/>
      <w:lang w:val="es-ES_tradnl" w:eastAsia="x-none"/>
    </w:rPr>
  </w:style>
  <w:style w:type="numbering" w:customStyle="1" w:styleId="NoList1">
    <w:name w:val="No List1"/>
    <w:next w:val="NoList"/>
    <w:uiPriority w:val="99"/>
    <w:semiHidden/>
    <w:unhideWhenUsed/>
    <w:rsid w:val="0041191E"/>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link w:val="4GChar"/>
    <w:qFormat/>
    <w:rsid w:val="0041191E"/>
    <w:rPr>
      <w:vertAlign w:val="superscript"/>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C"/>
    <w:basedOn w:val="Normal"/>
    <w:link w:val="FootnoteTextChar"/>
    <w:uiPriority w:val="99"/>
    <w:qFormat/>
    <w:rsid w:val="0041191E"/>
    <w:pPr>
      <w:spacing w:after="0" w:line="240" w:lineRule="auto"/>
    </w:pPr>
    <w:rPr>
      <w:rFonts w:ascii="Univers" w:eastAsia="Times New Roman" w:hAnsi="Univers" w:cs="Times New Roman"/>
      <w:sz w:val="20"/>
      <w:szCs w:val="20"/>
      <w:lang w:val="es-CO"/>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C Char"/>
    <w:basedOn w:val="DefaultParagraphFont"/>
    <w:link w:val="FootnoteText"/>
    <w:uiPriority w:val="99"/>
    <w:qFormat/>
    <w:rsid w:val="0041191E"/>
    <w:rPr>
      <w:rFonts w:ascii="Univers" w:eastAsia="Times New Roman" w:hAnsi="Univers" w:cs="Times New Roman"/>
      <w:sz w:val="20"/>
      <w:szCs w:val="20"/>
      <w:lang w:val="es-CO"/>
    </w:rPr>
  </w:style>
  <w:style w:type="paragraph" w:styleId="NormalWeb">
    <w:name w:val="Normal (Web)"/>
    <w:aliases w:val="Normal (Web) Char1,Normal (Web) Char Char,Normal (Web) Char1 Char,Normal (Web) Char Char Char"/>
    <w:basedOn w:val="Normal"/>
    <w:uiPriority w:val="99"/>
    <w:qFormat/>
    <w:rsid w:val="004119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41191E"/>
    <w:rPr>
      <w:color w:val="4659C4"/>
      <w:u w:val="single"/>
    </w:rPr>
  </w:style>
  <w:style w:type="character" w:customStyle="1" w:styleId="ifinal011">
    <w:name w:val="ifinal011"/>
    <w:rsid w:val="0041191E"/>
    <w:rPr>
      <w:rFonts w:ascii="Verdana" w:hAnsi="Verdana" w:hint="default"/>
      <w:color w:val="003399"/>
      <w:sz w:val="12"/>
      <w:szCs w:val="12"/>
    </w:rPr>
  </w:style>
  <w:style w:type="character" w:styleId="Strong">
    <w:name w:val="Strong"/>
    <w:uiPriority w:val="22"/>
    <w:qFormat/>
    <w:rsid w:val="0041191E"/>
    <w:rPr>
      <w:b/>
      <w:bCs/>
    </w:rPr>
  </w:style>
  <w:style w:type="character" w:customStyle="1" w:styleId="subtitle031">
    <w:name w:val="subtitle031"/>
    <w:rsid w:val="0041191E"/>
    <w:rPr>
      <w:rFonts w:ascii="Arial" w:hAnsi="Arial" w:cs="Arial" w:hint="default"/>
      <w:b/>
      <w:bCs/>
      <w:color w:val="616161"/>
      <w:sz w:val="11"/>
      <w:szCs w:val="11"/>
    </w:rPr>
  </w:style>
  <w:style w:type="paragraph" w:styleId="ListParagraph">
    <w:name w:val="List Paragraph"/>
    <w:aliases w:val="List Paragraph2,Párrafo de lista1,List Paragraph1"/>
    <w:basedOn w:val="Normal"/>
    <w:link w:val="ListParagraphChar"/>
    <w:qFormat/>
    <w:rsid w:val="0041191E"/>
    <w:pPr>
      <w:spacing w:after="0" w:line="240" w:lineRule="auto"/>
      <w:ind w:left="720"/>
      <w:contextualSpacing/>
    </w:pPr>
    <w:rPr>
      <w:rFonts w:ascii="Univers" w:eastAsia="Times New Roman" w:hAnsi="Univers" w:cs="Times New Roman"/>
      <w:szCs w:val="20"/>
      <w:lang w:val="es-ES_tradnl"/>
    </w:rPr>
  </w:style>
  <w:style w:type="paragraph" w:styleId="BalloonText">
    <w:name w:val="Balloon Text"/>
    <w:basedOn w:val="Normal"/>
    <w:link w:val="BalloonTextChar"/>
    <w:uiPriority w:val="99"/>
    <w:semiHidden/>
    <w:unhideWhenUsed/>
    <w:rsid w:val="0041191E"/>
    <w:pPr>
      <w:spacing w:after="0" w:line="240" w:lineRule="auto"/>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41191E"/>
    <w:rPr>
      <w:rFonts w:ascii="Tahoma" w:eastAsia="Times New Roman" w:hAnsi="Tahoma" w:cs="Tahoma"/>
      <w:sz w:val="16"/>
      <w:szCs w:val="16"/>
      <w:lang w:val="es-ES_tradnl"/>
    </w:rPr>
  </w:style>
  <w:style w:type="paragraph" w:customStyle="1" w:styleId="Sangradetindependiente2">
    <w:name w:val="Sangría de t. independiente2"/>
    <w:basedOn w:val="Normal"/>
    <w:rsid w:val="0041191E"/>
    <w:pPr>
      <w:widowControl w:val="0"/>
      <w:spacing w:after="0" w:line="360" w:lineRule="atLeast"/>
    </w:pPr>
    <w:rPr>
      <w:rFonts w:ascii="Arial" w:eastAsia="Times New Roman" w:hAnsi="Arial" w:cs="Times New Roman"/>
      <w:sz w:val="24"/>
      <w:szCs w:val="20"/>
      <w:lang w:val="es-ES_tradnl"/>
    </w:rPr>
  </w:style>
  <w:style w:type="numbering" w:customStyle="1" w:styleId="NoList11">
    <w:name w:val="No List11"/>
    <w:next w:val="NoList"/>
    <w:uiPriority w:val="99"/>
    <w:semiHidden/>
    <w:unhideWhenUsed/>
    <w:rsid w:val="0041191E"/>
  </w:style>
  <w:style w:type="character" w:customStyle="1" w:styleId="ColorfulList-Accent1Char">
    <w:name w:val="Colorful List - Accent 1 Char"/>
    <w:aliases w:val="Footnote Char,Colorful List - Accent 11 Char,Lista Colorida - Ênfase 1 Char,Medium Grid 1 - Accent 2 Char"/>
    <w:basedOn w:val="DefaultParagraphFont"/>
    <w:link w:val="ColorfulList-Accent1"/>
    <w:uiPriority w:val="34"/>
    <w:locked/>
    <w:rsid w:val="0041191E"/>
  </w:style>
  <w:style w:type="paragraph" w:styleId="Header">
    <w:name w:val="header"/>
    <w:basedOn w:val="Normal"/>
    <w:link w:val="Head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1191E"/>
    <w:rPr>
      <w:rFonts w:ascii="Calibri" w:eastAsia="Calibri" w:hAnsi="Calibri" w:cs="Times New Roman"/>
    </w:rPr>
  </w:style>
  <w:style w:type="paragraph" w:styleId="Footer">
    <w:name w:val="footer"/>
    <w:basedOn w:val="Normal"/>
    <w:link w:val="Foot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1191E"/>
    <w:rPr>
      <w:rFonts w:ascii="Calibri" w:eastAsia="Calibri" w:hAnsi="Calibri" w:cs="Times New Roman"/>
    </w:rPr>
  </w:style>
  <w:style w:type="paragraph" w:customStyle="1" w:styleId="ColorfulList-Accent11">
    <w:name w:val="Colorful List - Accent 11"/>
    <w:basedOn w:val="Normal"/>
    <w:uiPriority w:val="34"/>
    <w:qFormat/>
    <w:rsid w:val="0041191E"/>
    <w:pPr>
      <w:spacing w:after="0" w:line="240" w:lineRule="auto"/>
      <w:ind w:left="720"/>
      <w:contextualSpacing/>
    </w:pPr>
    <w:rPr>
      <w:rFonts w:ascii="Times New Roman" w:eastAsia="MS Mincho" w:hAnsi="Times New Roman" w:cs="Times New Roman"/>
      <w:sz w:val="24"/>
      <w:szCs w:val="24"/>
      <w:lang w:val="es-ES" w:eastAsia="es-ES"/>
    </w:rPr>
  </w:style>
  <w:style w:type="character" w:styleId="CommentReference">
    <w:name w:val="annotation reference"/>
    <w:uiPriority w:val="99"/>
    <w:unhideWhenUsed/>
    <w:qFormat/>
    <w:rsid w:val="0041191E"/>
    <w:rPr>
      <w:sz w:val="18"/>
      <w:szCs w:val="18"/>
    </w:rPr>
  </w:style>
  <w:style w:type="paragraph" w:styleId="CommentText">
    <w:name w:val="annotation text"/>
    <w:basedOn w:val="Normal"/>
    <w:link w:val="CommentTextChar"/>
    <w:unhideWhenUsed/>
    <w:qFormat/>
    <w:rsid w:val="0041191E"/>
    <w:pPr>
      <w:spacing w:after="0" w:line="240" w:lineRule="auto"/>
    </w:pPr>
    <w:rPr>
      <w:rFonts w:ascii="Arial" w:eastAsia="Cambria" w:hAnsi="Arial" w:cs="Times New Roman"/>
      <w:sz w:val="24"/>
      <w:szCs w:val="24"/>
      <w:lang w:val="es-ES_tradnl" w:eastAsia="x-none"/>
    </w:rPr>
  </w:style>
  <w:style w:type="character" w:customStyle="1" w:styleId="CommentTextChar">
    <w:name w:val="Comment Text Char"/>
    <w:basedOn w:val="DefaultParagraphFont"/>
    <w:link w:val="CommentText"/>
    <w:uiPriority w:val="99"/>
    <w:rsid w:val="0041191E"/>
    <w:rPr>
      <w:rFonts w:ascii="Arial" w:eastAsia="Cambria" w:hAnsi="Arial" w:cs="Times New Roman"/>
      <w:sz w:val="24"/>
      <w:szCs w:val="24"/>
      <w:lang w:val="es-ES_tradnl" w:eastAsia="x-none"/>
    </w:rPr>
  </w:style>
  <w:style w:type="paragraph" w:styleId="CommentSubject">
    <w:name w:val="annotation subject"/>
    <w:basedOn w:val="CommentText"/>
    <w:next w:val="CommentText"/>
    <w:link w:val="CommentSubjectChar"/>
    <w:uiPriority w:val="99"/>
    <w:semiHidden/>
    <w:unhideWhenUsed/>
    <w:rsid w:val="0041191E"/>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41191E"/>
    <w:rPr>
      <w:rFonts w:ascii="Arial" w:eastAsia="Cambria" w:hAnsi="Arial" w:cs="Times New Roman"/>
      <w:b/>
      <w:bCs/>
      <w:sz w:val="24"/>
      <w:szCs w:val="24"/>
      <w:lang w:val="es-ES_tradnl" w:eastAsia="x-none"/>
    </w:rPr>
  </w:style>
  <w:style w:type="paragraph" w:customStyle="1" w:styleId="BodyText21">
    <w:name w:val="Body Text 21"/>
    <w:basedOn w:val="Normal"/>
    <w:rsid w:val="0041191E"/>
    <w:pPr>
      <w:overflowPunct w:val="0"/>
      <w:autoSpaceDE w:val="0"/>
      <w:autoSpaceDN w:val="0"/>
      <w:adjustRightInd w:val="0"/>
      <w:spacing w:after="0" w:line="240" w:lineRule="auto"/>
      <w:ind w:right="-720"/>
      <w:jc w:val="both"/>
      <w:textAlignment w:val="baseline"/>
    </w:pPr>
    <w:rPr>
      <w:rFonts w:ascii="Palatino" w:eastAsia="Times New Roman" w:hAnsi="Palatino" w:cs="Times New Roman"/>
      <w:sz w:val="24"/>
      <w:szCs w:val="20"/>
      <w:lang w:val="en-US" w:eastAsia="es-ES"/>
    </w:rPr>
  </w:style>
  <w:style w:type="paragraph" w:styleId="BodyTextIndent">
    <w:name w:val="Body Text Indent"/>
    <w:basedOn w:val="Normal"/>
    <w:link w:val="BodyTextIndentChar"/>
    <w:rsid w:val="0041191E"/>
    <w:pPr>
      <w:spacing w:after="0" w:line="240" w:lineRule="auto"/>
      <w:ind w:left="1416"/>
    </w:pPr>
    <w:rPr>
      <w:rFonts w:ascii="Times New Roman" w:eastAsia="Times New Roman" w:hAnsi="Times New Roman" w:cs="Times New Roman"/>
      <w:sz w:val="24"/>
      <w:szCs w:val="24"/>
      <w:lang w:val="es-ES_tradnl" w:eastAsia="es-ES"/>
    </w:rPr>
  </w:style>
  <w:style w:type="character" w:customStyle="1" w:styleId="BodyTextIndentChar">
    <w:name w:val="Body Text Indent Char"/>
    <w:basedOn w:val="DefaultParagraphFont"/>
    <w:link w:val="BodyTextIndent"/>
    <w:rsid w:val="0041191E"/>
    <w:rPr>
      <w:rFonts w:ascii="Times New Roman" w:eastAsia="Times New Roman" w:hAnsi="Times New Roman" w:cs="Times New Roman"/>
      <w:sz w:val="24"/>
      <w:szCs w:val="24"/>
      <w:lang w:val="es-ES_tradnl" w:eastAsia="es-ES"/>
    </w:rPr>
  </w:style>
  <w:style w:type="character" w:styleId="Emphasis">
    <w:name w:val="Emphasis"/>
    <w:uiPriority w:val="20"/>
    <w:qFormat/>
    <w:rsid w:val="0041191E"/>
    <w:rPr>
      <w:i/>
      <w:iCs/>
    </w:rPr>
  </w:style>
  <w:style w:type="paragraph" w:customStyle="1" w:styleId="PargrafodaLista">
    <w:name w:val="Parágrafo da Lista"/>
    <w:basedOn w:val="Normal"/>
    <w:uiPriority w:val="34"/>
    <w:qFormat/>
    <w:rsid w:val="0041191E"/>
    <w:pPr>
      <w:spacing w:after="0" w:line="240" w:lineRule="auto"/>
      <w:ind w:left="708"/>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1191E"/>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1191E"/>
    <w:rPr>
      <w:rFonts w:ascii="Times New Roman" w:eastAsia="Times New Roman" w:hAnsi="Times New Roman" w:cs="Times New Roman"/>
      <w:sz w:val="24"/>
      <w:szCs w:val="24"/>
      <w:lang w:val="en-US"/>
    </w:rPr>
  </w:style>
  <w:style w:type="character" w:customStyle="1" w:styleId="estilo721">
    <w:name w:val="estilo721"/>
    <w:rsid w:val="0041191E"/>
    <w:rPr>
      <w:b/>
      <w:bCs/>
      <w:color w:val="990000"/>
      <w:sz w:val="16"/>
      <w:szCs w:val="16"/>
    </w:rPr>
  </w:style>
  <w:style w:type="character" w:customStyle="1" w:styleId="ListParagraphChar2">
    <w:name w:val="List Paragraph Char2"/>
    <w:uiPriority w:val="34"/>
    <w:locked/>
    <w:rsid w:val="0041191E"/>
    <w:rPr>
      <w:rFonts w:ascii="Verdana" w:eastAsia="Times New Roman" w:hAnsi="Verdana"/>
      <w:szCs w:val="24"/>
      <w:lang w:val="es-ES_tradnl" w:eastAsia="en-US"/>
    </w:rPr>
  </w:style>
  <w:style w:type="paragraph" w:styleId="BodyText3">
    <w:name w:val="Body Text 3"/>
    <w:basedOn w:val="Normal"/>
    <w:link w:val="BodyText3Char"/>
    <w:uiPriority w:val="99"/>
    <w:semiHidden/>
    <w:unhideWhenUsed/>
    <w:rsid w:val="0041191E"/>
    <w:pPr>
      <w:spacing w:after="120"/>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41191E"/>
    <w:rPr>
      <w:rFonts w:ascii="Calibri" w:eastAsia="Calibri" w:hAnsi="Calibri" w:cs="Times New Roman"/>
      <w:sz w:val="16"/>
      <w:szCs w:val="16"/>
      <w:lang w:val="x-none"/>
    </w:rPr>
  </w:style>
  <w:style w:type="paragraph" w:styleId="Title">
    <w:name w:val="Title"/>
    <w:basedOn w:val="Normal"/>
    <w:link w:val="TitleChar"/>
    <w:qFormat/>
    <w:rsid w:val="0041191E"/>
    <w:p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41191E"/>
    <w:rPr>
      <w:rFonts w:ascii="Verdana" w:eastAsia="Times New Roman" w:hAnsi="Verdana" w:cs="Times New Roman"/>
      <w:b/>
      <w:sz w:val="20"/>
      <w:szCs w:val="20"/>
      <w:lang w:val="es-ES_tradnl" w:eastAsia="es-ES" w:bidi="en-US"/>
    </w:rPr>
  </w:style>
  <w:style w:type="table" w:styleId="TableGrid">
    <w:name w:val="Table Grid"/>
    <w:basedOn w:val="TableNormal"/>
    <w:uiPriority w:val="59"/>
    <w:rsid w:val="0041191E"/>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1">
    <w:name w:val="Lista vistosa - Énfasis 11"/>
    <w:basedOn w:val="TableNormal"/>
    <w:next w:val="ColorfulList-Accent1"/>
    <w:uiPriority w:val="99"/>
    <w:rsid w:val="0041191E"/>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1">
    <w:name w:val="Sombreado claro1"/>
    <w:basedOn w:val="TableNormal"/>
    <w:next w:val="LightShading"/>
    <w:uiPriority w:val="60"/>
    <w:rsid w:val="0041191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link w:val="ColorfulList-Accent1Char"/>
    <w:uiPriority w:val="99"/>
    <w:rsid w:val="0041191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
    <w:name w:val="Light Shading"/>
    <w:basedOn w:val="TableNormal"/>
    <w:uiPriority w:val="60"/>
    <w:rsid w:val="0041191E"/>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1191E"/>
    <w:pPr>
      <w:spacing w:after="0" w:line="240" w:lineRule="auto"/>
    </w:pPr>
    <w:rPr>
      <w:lang w:val="es-MX"/>
    </w:rPr>
  </w:style>
  <w:style w:type="table" w:customStyle="1" w:styleId="TableGrid1">
    <w:name w:val="Table Grid1"/>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CD1"/>
    <w:pPr>
      <w:autoSpaceDE w:val="0"/>
      <w:autoSpaceDN w:val="0"/>
      <w:adjustRightInd w:val="0"/>
      <w:spacing w:after="0" w:line="240" w:lineRule="auto"/>
    </w:pPr>
    <w:rPr>
      <w:rFonts w:ascii="Univers" w:eastAsiaTheme="minorEastAsia" w:hAnsi="Univers" w:cs="Univers"/>
      <w:color w:val="000000"/>
      <w:sz w:val="24"/>
      <w:szCs w:val="24"/>
      <w:lang w:val="en-US"/>
    </w:rPr>
  </w:style>
  <w:style w:type="paragraph" w:customStyle="1" w:styleId="Prrafodelista2">
    <w:name w:val="Párrafo de lista2"/>
    <w:basedOn w:val="Normal"/>
    <w:uiPriority w:val="99"/>
    <w:rsid w:val="00C13CD1"/>
    <w:pPr>
      <w:spacing w:after="0" w:line="240" w:lineRule="auto"/>
      <w:ind w:left="720"/>
    </w:pPr>
    <w:rPr>
      <w:rFonts w:ascii="Verdana" w:eastAsia="MS Mincho" w:hAnsi="Verdana" w:cs="Times New Roman"/>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A5E60"/>
    <w:pPr>
      <w:spacing w:after="0" w:line="240" w:lineRule="auto"/>
      <w:jc w:val="both"/>
    </w:pPr>
    <w:rPr>
      <w:vertAlign w:val="superscript"/>
    </w:rPr>
  </w:style>
  <w:style w:type="character" w:customStyle="1" w:styleId="ListParagraphChar">
    <w:name w:val="List Paragraph Char"/>
    <w:aliases w:val="List Paragraph2 Char,Párrafo de lista1 Char,List Paragraph1 Char"/>
    <w:link w:val="ListParagraph"/>
    <w:uiPriority w:val="34"/>
    <w:locked/>
    <w:rsid w:val="007B3B4E"/>
    <w:rPr>
      <w:rFonts w:ascii="Univers" w:eastAsia="Times New Roman" w:hAnsi="Univers" w:cs="Times New Roman"/>
      <w:szCs w:val="20"/>
      <w:lang w:val="es-ES_tradnl"/>
    </w:rPr>
  </w:style>
  <w:style w:type="character" w:customStyle="1" w:styleId="apple-converted-space">
    <w:name w:val="apple-converted-space"/>
    <w:basedOn w:val="DefaultParagraphFont"/>
    <w:rsid w:val="007B3B4E"/>
  </w:style>
  <w:style w:type="character" w:customStyle="1" w:styleId="Estilo1Char">
    <w:name w:val="Estilo1 Char"/>
    <w:link w:val="Estilo1"/>
    <w:locked/>
    <w:rsid w:val="00614429"/>
    <w:rPr>
      <w:rFonts w:ascii="Verdana" w:eastAsia="Calibri" w:hAnsi="Verdana" w:cs="Times New Roman"/>
      <w:sz w:val="20"/>
      <w:szCs w:val="20"/>
      <w:lang w:val="es-ES"/>
    </w:rPr>
  </w:style>
  <w:style w:type="paragraph" w:customStyle="1" w:styleId="Estilo1">
    <w:name w:val="Estilo1"/>
    <w:basedOn w:val="Normal"/>
    <w:link w:val="Estilo1Char"/>
    <w:qFormat/>
    <w:rsid w:val="00614429"/>
    <w:pPr>
      <w:tabs>
        <w:tab w:val="left" w:pos="567"/>
        <w:tab w:val="left" w:pos="1134"/>
        <w:tab w:val="num" w:pos="30034"/>
      </w:tabs>
      <w:spacing w:after="120" w:line="240" w:lineRule="auto"/>
      <w:jc w:val="both"/>
    </w:pPr>
    <w:rPr>
      <w:rFonts w:ascii="Verdana" w:eastAsia="Calibri" w:hAnsi="Verdana" w:cs="Times New Roman"/>
      <w:sz w:val="20"/>
      <w:szCs w:val="20"/>
      <w:lang w:val="es-ES"/>
    </w:rPr>
  </w:style>
  <w:style w:type="paragraph" w:customStyle="1" w:styleId="Estilo2">
    <w:name w:val="Estilo2"/>
    <w:basedOn w:val="Normal"/>
    <w:link w:val="Estilo2Car"/>
    <w:qFormat/>
    <w:rsid w:val="00614429"/>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customStyle="1" w:styleId="Estilo4">
    <w:name w:val="Estilo4"/>
    <w:basedOn w:val="ListParagraph"/>
    <w:qFormat/>
    <w:rsid w:val="00BD30A0"/>
    <w:pPr>
      <w:numPr>
        <w:ilvl w:val="1"/>
        <w:numId w:val="6"/>
      </w:numPr>
      <w:tabs>
        <w:tab w:val="num" w:pos="360"/>
      </w:tabs>
      <w:spacing w:after="120"/>
      <w:ind w:left="0" w:firstLine="357"/>
      <w:contextualSpacing w:val="0"/>
      <w:jc w:val="both"/>
    </w:pPr>
    <w:rPr>
      <w:rFonts w:ascii="Verdana" w:hAnsi="Verdana"/>
      <w:spacing w:val="-2"/>
      <w:sz w:val="20"/>
      <w:lang w:val="es-CR"/>
    </w:rPr>
  </w:style>
  <w:style w:type="character" w:customStyle="1" w:styleId="Estilo2Car">
    <w:name w:val="Estilo2 Car"/>
    <w:basedOn w:val="DefaultParagraphFont"/>
    <w:link w:val="Estilo2"/>
    <w:locked/>
    <w:rsid w:val="00FC0E3A"/>
    <w:rPr>
      <w:rFonts w:ascii="Verdana" w:eastAsia="Calibri" w:hAnsi="Verdana" w:cs="Times New Roman"/>
      <w:sz w:val="20"/>
      <w:szCs w:val="20"/>
      <w:lang w:val="es-ES"/>
    </w:rPr>
  </w:style>
  <w:style w:type="character" w:customStyle="1" w:styleId="apple-style-span">
    <w:name w:val="apple-style-span"/>
    <w:qFormat/>
    <w:rsid w:val="007C386A"/>
    <w:rPr>
      <w:rFonts w:cs="Times New Roman"/>
    </w:rPr>
  </w:style>
  <w:style w:type="paragraph" w:customStyle="1" w:styleId="Footnotes">
    <w:name w:val="**. Footnotes"/>
    <w:basedOn w:val="FootnoteText"/>
    <w:link w:val="FootnotesChar"/>
    <w:autoRedefine/>
    <w:qFormat/>
    <w:rsid w:val="00691B1D"/>
    <w:pPr>
      <w:tabs>
        <w:tab w:val="left" w:pos="0"/>
      </w:tabs>
      <w:spacing w:before="120" w:after="60"/>
      <w:ind w:left="708"/>
      <w:jc w:val="both"/>
    </w:pPr>
    <w:rPr>
      <w:rFonts w:ascii="Verdana" w:eastAsia="Batang" w:hAnsi="Verdana" w:cs="Palatino-Italic"/>
      <w:iCs/>
      <w:sz w:val="16"/>
      <w:szCs w:val="16"/>
      <w:lang w:val="es-ES"/>
    </w:rPr>
  </w:style>
  <w:style w:type="character" w:customStyle="1" w:styleId="FootnotesChar">
    <w:name w:val="**. Footnotes Char"/>
    <w:basedOn w:val="DefaultParagraphFont"/>
    <w:link w:val="Footnotes"/>
    <w:rsid w:val="00691B1D"/>
    <w:rPr>
      <w:rFonts w:ascii="Verdana" w:eastAsia="Batang" w:hAnsi="Verdana" w:cs="Palatino-Italic"/>
      <w:iCs/>
      <w:sz w:val="16"/>
      <w:szCs w:val="16"/>
      <w:lang w:val="es-ES"/>
    </w:rPr>
  </w:style>
  <w:style w:type="character" w:styleId="FollowedHyperlink">
    <w:name w:val="FollowedHyperlink"/>
    <w:basedOn w:val="DefaultParagraphFont"/>
    <w:uiPriority w:val="99"/>
    <w:semiHidden/>
    <w:unhideWhenUsed/>
    <w:rsid w:val="00F1346E"/>
    <w:rPr>
      <w:color w:val="800080" w:themeColor="followedHyperlink"/>
      <w:u w:val="single"/>
    </w:rPr>
  </w:style>
  <w:style w:type="paragraph" w:styleId="BodyText2">
    <w:name w:val="Body Text 2"/>
    <w:basedOn w:val="Normal"/>
    <w:link w:val="BodyText2Char"/>
    <w:uiPriority w:val="99"/>
    <w:unhideWhenUsed/>
    <w:rsid w:val="002E273E"/>
    <w:pPr>
      <w:spacing w:after="120" w:line="480" w:lineRule="auto"/>
    </w:pPr>
  </w:style>
  <w:style w:type="character" w:customStyle="1" w:styleId="BodyText2Char">
    <w:name w:val="Body Text 2 Char"/>
    <w:basedOn w:val="DefaultParagraphFont"/>
    <w:link w:val="BodyText2"/>
    <w:uiPriority w:val="99"/>
    <w:rsid w:val="002E273E"/>
  </w:style>
  <w:style w:type="paragraph" w:styleId="TOCHeading">
    <w:name w:val="TOC Heading"/>
    <w:basedOn w:val="Heading1"/>
    <w:next w:val="Normal"/>
    <w:uiPriority w:val="39"/>
    <w:unhideWhenUsed/>
    <w:qFormat/>
    <w:rsid w:val="00476FD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506FD5"/>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476FD9"/>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character" w:styleId="LineNumber">
    <w:name w:val="line number"/>
    <w:basedOn w:val="DefaultParagraphFont"/>
    <w:uiPriority w:val="99"/>
    <w:semiHidden/>
    <w:unhideWhenUsed/>
    <w:rsid w:val="0017767A"/>
  </w:style>
  <w:style w:type="paragraph" w:customStyle="1" w:styleId="Estilo5">
    <w:name w:val="Estilo5"/>
    <w:basedOn w:val="Estilo2"/>
    <w:link w:val="Estilo5Car"/>
    <w:qFormat/>
    <w:rsid w:val="000E5864"/>
    <w:pPr>
      <w:numPr>
        <w:numId w:val="7"/>
      </w:numPr>
      <w:tabs>
        <w:tab w:val="clear" w:pos="567"/>
        <w:tab w:val="clear" w:pos="1134"/>
        <w:tab w:val="left" w:pos="720"/>
      </w:tabs>
      <w:ind w:right="-522"/>
    </w:pPr>
    <w:rPr>
      <w:spacing w:val="-2"/>
    </w:rPr>
  </w:style>
  <w:style w:type="character" w:customStyle="1" w:styleId="Estilo5Car">
    <w:name w:val="Estilo5 Car"/>
    <w:basedOn w:val="Estilo2Car"/>
    <w:link w:val="Estilo5"/>
    <w:rsid w:val="000E5864"/>
    <w:rPr>
      <w:rFonts w:ascii="Verdana" w:eastAsia="Calibri" w:hAnsi="Verdana" w:cs="Times New Roman"/>
      <w:spacing w:val="-2"/>
      <w:sz w:val="20"/>
      <w:szCs w:val="20"/>
      <w:lang w:val="es-ES"/>
    </w:rPr>
  </w:style>
  <w:style w:type="paragraph" w:styleId="Quote">
    <w:name w:val="Quote"/>
    <w:basedOn w:val="Normal"/>
    <w:next w:val="Normal"/>
    <w:link w:val="QuoteChar"/>
    <w:uiPriority w:val="29"/>
    <w:qFormat/>
    <w:rsid w:val="00297E38"/>
    <w:pPr>
      <w:spacing w:after="0" w:line="240" w:lineRule="auto"/>
    </w:pPr>
    <w:rPr>
      <w:rFonts w:eastAsiaTheme="minorEastAsia"/>
      <w:i/>
      <w:iCs/>
      <w:color w:val="000000" w:themeColor="text1"/>
      <w:sz w:val="24"/>
      <w:szCs w:val="24"/>
      <w:lang w:val="es-ES_tradnl"/>
    </w:rPr>
  </w:style>
  <w:style w:type="character" w:customStyle="1" w:styleId="QuoteChar">
    <w:name w:val="Quote Char"/>
    <w:basedOn w:val="DefaultParagraphFont"/>
    <w:link w:val="Quote"/>
    <w:uiPriority w:val="29"/>
    <w:rsid w:val="00297E38"/>
    <w:rPr>
      <w:rFonts w:eastAsiaTheme="minorEastAsia"/>
      <w:i/>
      <w:iCs/>
      <w:color w:val="000000" w:themeColor="text1"/>
      <w:sz w:val="24"/>
      <w:szCs w:val="24"/>
      <w:lang w:val="es-ES_tradnl"/>
    </w:rPr>
  </w:style>
  <w:style w:type="paragraph" w:customStyle="1" w:styleId="PrrafodeSentencia">
    <w:name w:val="*. Párrafo de Sentencia"/>
    <w:basedOn w:val="Normal"/>
    <w:link w:val="PrrafodeSentenciaChar"/>
    <w:qFormat/>
    <w:rsid w:val="00EA6744"/>
    <w:pPr>
      <w:tabs>
        <w:tab w:val="left" w:pos="567"/>
        <w:tab w:val="num" w:pos="12305"/>
      </w:tabs>
      <w:spacing w:after="0" w:line="240" w:lineRule="auto"/>
      <w:jc w:val="both"/>
    </w:pPr>
    <w:rPr>
      <w:rFonts w:ascii="Verdana" w:eastAsia="Batang" w:hAnsi="Verdana" w:cs="Times New Roman"/>
      <w:sz w:val="20"/>
      <w:szCs w:val="20"/>
      <w:lang w:val="es-ES_tradnl" w:eastAsia="es-MX"/>
    </w:rPr>
  </w:style>
  <w:style w:type="character" w:customStyle="1" w:styleId="PrrafodeSentenciaChar">
    <w:name w:val="*. Párrafo de Sentencia Char"/>
    <w:link w:val="PrrafodeSentencia"/>
    <w:rsid w:val="00EA6744"/>
    <w:rPr>
      <w:rFonts w:ascii="Verdana" w:eastAsia="Batang" w:hAnsi="Verdana" w:cs="Times New Roman"/>
      <w:sz w:val="20"/>
      <w:szCs w:val="20"/>
      <w:lang w:val="es-ES_tradnl" w:eastAsia="es-MX"/>
    </w:rPr>
  </w:style>
  <w:style w:type="paragraph" w:customStyle="1" w:styleId="p1">
    <w:name w:val="p1"/>
    <w:basedOn w:val="Normal"/>
    <w:rsid w:val="00F625C3"/>
    <w:pPr>
      <w:spacing w:after="0" w:line="240" w:lineRule="auto"/>
    </w:pPr>
    <w:rPr>
      <w:rFonts w:ascii="Helvetica" w:hAnsi="Helvetica" w:cs="Times New Roman"/>
      <w:sz w:val="16"/>
      <w:szCs w:val="16"/>
      <w:lang w:val="es-ES_tradnl" w:eastAsia="es-ES_tradnl"/>
    </w:rPr>
  </w:style>
  <w:style w:type="character" w:customStyle="1" w:styleId="s1">
    <w:name w:val="s1"/>
    <w:basedOn w:val="DefaultParagraphFont"/>
    <w:rsid w:val="003960F3"/>
    <w:rPr>
      <w:rFonts w:ascii="Helvetica" w:hAnsi="Helvetica" w:hint="default"/>
      <w:sz w:val="17"/>
      <w:szCs w:val="17"/>
    </w:rPr>
  </w:style>
  <w:style w:type="character" w:customStyle="1" w:styleId="Estilo1Car">
    <w:name w:val="Estilo1 Car"/>
    <w:rsid w:val="007E7C13"/>
    <w:rPr>
      <w:rFonts w:ascii="Verdana" w:hAnsi="Verdana"/>
      <w:lang w:val="es-ES" w:eastAsia="x-none"/>
    </w:rPr>
  </w:style>
  <w:style w:type="paragraph" w:customStyle="1" w:styleId="1">
    <w:name w:val="1"/>
    <w:basedOn w:val="Normal"/>
    <w:rsid w:val="00085B49"/>
    <w:pPr>
      <w:spacing w:after="160" w:line="240" w:lineRule="exact"/>
    </w:pPr>
    <w:rPr>
      <w:rFonts w:ascii="Times New Roman" w:eastAsia="Times New Roman" w:hAnsi="Times New Roman" w:cs="Times New Roman"/>
      <w:sz w:val="20"/>
      <w:szCs w:val="20"/>
      <w:vertAlign w:val="superscript"/>
      <w:lang w:eastAsia="es-CR"/>
    </w:rPr>
  </w:style>
  <w:style w:type="paragraph" w:customStyle="1" w:styleId="Estilo3">
    <w:name w:val="Estilo3"/>
    <w:basedOn w:val="ListParagraph"/>
    <w:link w:val="Estilo3Car"/>
    <w:qFormat/>
    <w:rsid w:val="003D205C"/>
    <w:pPr>
      <w:tabs>
        <w:tab w:val="num" w:pos="360"/>
      </w:tabs>
      <w:spacing w:after="120" w:line="216" w:lineRule="auto"/>
      <w:ind w:right="17"/>
      <w:contextualSpacing w:val="0"/>
      <w:jc w:val="both"/>
    </w:pPr>
    <w:rPr>
      <w:rFonts w:ascii="Verdana" w:eastAsia="Calibri" w:hAnsi="Verdana"/>
      <w:spacing w:val="-2"/>
      <w:sz w:val="20"/>
      <w:lang w:val="es-MX" w:eastAsia="x-none"/>
    </w:rPr>
  </w:style>
  <w:style w:type="character" w:customStyle="1" w:styleId="Estilo3Car">
    <w:name w:val="Estilo3 Car"/>
    <w:link w:val="Estilo3"/>
    <w:rsid w:val="003D205C"/>
    <w:rPr>
      <w:rFonts w:ascii="Verdana" w:eastAsia="Calibri" w:hAnsi="Verdana" w:cs="Times New Roman"/>
      <w:spacing w:val="-2"/>
      <w:sz w:val="20"/>
      <w:szCs w:val="20"/>
      <w:lang w:val="es-MX" w:eastAsia="x-none"/>
    </w:rPr>
  </w:style>
  <w:style w:type="paragraph" w:styleId="BodyText">
    <w:name w:val="Body Text"/>
    <w:basedOn w:val="Normal"/>
    <w:link w:val="BodyTextChar"/>
    <w:uiPriority w:val="99"/>
    <w:semiHidden/>
    <w:unhideWhenUsed/>
    <w:rsid w:val="003206C9"/>
    <w:pPr>
      <w:spacing w:after="120"/>
    </w:pPr>
  </w:style>
  <w:style w:type="character" w:customStyle="1" w:styleId="BodyTextChar">
    <w:name w:val="Body Text Char"/>
    <w:basedOn w:val="DefaultParagraphFont"/>
    <w:link w:val="BodyText"/>
    <w:uiPriority w:val="99"/>
    <w:semiHidden/>
    <w:rsid w:val="003206C9"/>
  </w:style>
  <w:style w:type="paragraph" w:customStyle="1" w:styleId="footnote">
    <w:name w:val="footnote"/>
    <w:basedOn w:val="NormalWeb"/>
    <w:uiPriority w:val="99"/>
    <w:semiHidden/>
    <w:rsid w:val="0050029A"/>
  </w:style>
  <w:style w:type="character" w:customStyle="1" w:styleId="FootnoteAnchor">
    <w:name w:val="Footnote Anchor"/>
    <w:rsid w:val="00C172A4"/>
    <w:rPr>
      <w:vertAlign w:val="superscript"/>
    </w:rPr>
  </w:style>
  <w:style w:type="character" w:customStyle="1" w:styleId="Heading4Char">
    <w:name w:val="Heading 4 Char"/>
    <w:basedOn w:val="DefaultParagraphFont"/>
    <w:link w:val="Heading4"/>
    <w:uiPriority w:val="9"/>
    <w:semiHidden/>
    <w:rsid w:val="006B6B1D"/>
    <w:rPr>
      <w:rFonts w:asciiTheme="majorHAnsi" w:eastAsiaTheme="majorEastAsia" w:hAnsiTheme="majorHAnsi" w:cstheme="majorBidi"/>
      <w:b/>
      <w:bCs/>
      <w:i/>
      <w:iCs/>
      <w:color w:val="4F81BD" w:themeColor="accent1"/>
    </w:rPr>
  </w:style>
  <w:style w:type="paragraph" w:customStyle="1" w:styleId="2Footnotes">
    <w:name w:val="2. Footnotes"/>
    <w:basedOn w:val="FootnoteText"/>
    <w:link w:val="2FootnotesChar"/>
    <w:autoRedefine/>
    <w:qFormat/>
    <w:rsid w:val="00946751"/>
    <w:pPr>
      <w:widowControl w:val="0"/>
      <w:spacing w:before="120" w:after="40"/>
      <w:jc w:val="both"/>
    </w:pPr>
    <w:rPr>
      <w:rFonts w:ascii="Verdana" w:hAnsi="Verdana" w:cs="Palatino-Italic"/>
      <w:iCs/>
      <w:noProof/>
      <w:sz w:val="16"/>
      <w:szCs w:val="18"/>
      <w:lang w:val="en-US"/>
    </w:rPr>
  </w:style>
  <w:style w:type="character" w:customStyle="1" w:styleId="2FootnotesChar">
    <w:name w:val="2. Footnotes Char"/>
    <w:link w:val="2Footnotes"/>
    <w:rsid w:val="00946751"/>
    <w:rPr>
      <w:rFonts w:ascii="Verdana" w:eastAsia="Times New Roman" w:hAnsi="Verdana" w:cs="Palatino-Italic"/>
      <w:iCs/>
      <w:noProof/>
      <w:sz w:val="16"/>
      <w:szCs w:val="18"/>
      <w:lang w:val="en-US"/>
    </w:rPr>
  </w:style>
  <w:style w:type="paragraph" w:styleId="TOC3">
    <w:name w:val="toc 3"/>
    <w:basedOn w:val="Normal"/>
    <w:next w:val="Normal"/>
    <w:autoRedefine/>
    <w:uiPriority w:val="39"/>
    <w:unhideWhenUsed/>
    <w:rsid w:val="0027585F"/>
    <w:pPr>
      <w:spacing w:after="100"/>
      <w:ind w:left="440"/>
    </w:pPr>
  </w:style>
  <w:style w:type="paragraph" w:customStyle="1" w:styleId="leyescontenido">
    <w:name w:val="leyes_contenido"/>
    <w:basedOn w:val="Normal"/>
    <w:rsid w:val="007A444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eading23">
    <w:name w:val="Heading 2.3"/>
    <w:basedOn w:val="Normal"/>
    <w:uiPriority w:val="99"/>
    <w:qFormat/>
    <w:rsid w:val="00252507"/>
    <w:pPr>
      <w:spacing w:after="0" w:line="240" w:lineRule="auto"/>
      <w:jc w:val="both"/>
    </w:pPr>
    <w:rPr>
      <w:rFonts w:ascii="Verdana" w:eastAsia="Calibri" w:hAnsi="Verdana" w:cs="Times New Roman"/>
      <w:sz w:val="16"/>
      <w:szCs w:val="16"/>
      <w:vertAlign w:val="superscript"/>
      <w:lang w:val="x-none" w:eastAsia="x-none"/>
    </w:rPr>
  </w:style>
  <w:style w:type="character" w:styleId="PageNumber">
    <w:name w:val="page number"/>
    <w:basedOn w:val="DefaultParagraphFont"/>
    <w:uiPriority w:val="99"/>
    <w:semiHidden/>
    <w:unhideWhenUsed/>
    <w:rsid w:val="0027007E"/>
  </w:style>
  <w:style w:type="character" w:customStyle="1" w:styleId="ListParagraphChar1">
    <w:name w:val="List Paragraph Char1"/>
    <w:aliases w:val="Colorful List - Accent 11 Char1,Lista vistosa - Énfasis 11 Char1,Footnote Char1,List Paragraph1 Char1,Párrafo de lista1 Char1,List Paragraph2 Char1"/>
    <w:basedOn w:val="DefaultParagraphFont"/>
    <w:locked/>
    <w:rsid w:val="0027007E"/>
    <w:rPr>
      <w:rFonts w:ascii="Cambria" w:eastAsia="Cambria" w:hAnsi="Cambria" w:cs="Cambria"/>
      <w:color w:val="000000"/>
      <w:sz w:val="24"/>
      <w:szCs w:val="24"/>
      <w:u w:color="00000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35" w:qFormat="1"/>
    <w:lsdException w:name="footnote reference" w:uiPriority="0" w:qFormat="1"/>
    <w:lsdException w:name="annotation reference"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1191E"/>
    <w:pPr>
      <w:keepNext/>
      <w:spacing w:before="240" w:after="60"/>
      <w:outlineLvl w:val="0"/>
    </w:pPr>
    <w:rPr>
      <w:rFonts w:ascii="Cambria" w:eastAsia="Times New Roman" w:hAnsi="Cambria" w:cs="Times New Roman"/>
      <w:b/>
      <w:bCs/>
      <w:kern w:val="32"/>
      <w:sz w:val="32"/>
      <w:szCs w:val="32"/>
      <w:lang w:val="x-none"/>
    </w:rPr>
  </w:style>
  <w:style w:type="paragraph" w:styleId="Heading2">
    <w:name w:val="heading 2"/>
    <w:basedOn w:val="Normal"/>
    <w:next w:val="Normal"/>
    <w:link w:val="Heading2Char"/>
    <w:qFormat/>
    <w:rsid w:val="0041191E"/>
    <w:pPr>
      <w:keepNext/>
      <w:numPr>
        <w:numId w:val="1"/>
      </w:numPr>
      <w:spacing w:after="0" w:line="240" w:lineRule="auto"/>
      <w:jc w:val="both"/>
      <w:outlineLvl w:val="1"/>
    </w:pPr>
    <w:rPr>
      <w:rFonts w:ascii="Calibri" w:eastAsia="Times New Roman" w:hAnsi="Calibri" w:cs="Times New Roman"/>
      <w:b/>
      <w:szCs w:val="20"/>
      <w:lang w:val="es-CO"/>
    </w:rPr>
  </w:style>
  <w:style w:type="paragraph" w:styleId="Heading3">
    <w:name w:val="heading 3"/>
    <w:basedOn w:val="Normal"/>
    <w:next w:val="Normal"/>
    <w:link w:val="Heading3Char"/>
    <w:uiPriority w:val="9"/>
    <w:qFormat/>
    <w:rsid w:val="0041191E"/>
    <w:pPr>
      <w:keepNext/>
      <w:spacing w:before="240" w:after="60" w:line="240" w:lineRule="auto"/>
      <w:outlineLvl w:val="2"/>
    </w:pPr>
    <w:rPr>
      <w:rFonts w:ascii="Cambria" w:eastAsia="Times New Roman" w:hAnsi="Cambria" w:cs="Times New Roman"/>
      <w:b/>
      <w:bCs/>
      <w:sz w:val="26"/>
      <w:szCs w:val="26"/>
      <w:lang w:val="es-ES_tradnl"/>
    </w:rPr>
  </w:style>
  <w:style w:type="paragraph" w:styleId="Heading4">
    <w:name w:val="heading 4"/>
    <w:basedOn w:val="Normal"/>
    <w:next w:val="Normal"/>
    <w:link w:val="Heading4Char"/>
    <w:uiPriority w:val="9"/>
    <w:semiHidden/>
    <w:unhideWhenUsed/>
    <w:qFormat/>
    <w:rsid w:val="006B6B1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41191E"/>
    <w:pPr>
      <w:spacing w:before="240" w:after="60"/>
      <w:outlineLvl w:val="4"/>
    </w:pPr>
    <w:rPr>
      <w:rFonts w:ascii="Calibri" w:eastAsia="Times New Roman" w:hAnsi="Calibri" w:cs="Times New Roman"/>
      <w:b/>
      <w:bCs/>
      <w:i/>
      <w:iCs/>
      <w:sz w:val="26"/>
      <w:szCs w:val="26"/>
      <w:lang w:val="x-none"/>
    </w:rPr>
  </w:style>
  <w:style w:type="paragraph" w:styleId="Heading6">
    <w:name w:val="heading 6"/>
    <w:basedOn w:val="Heading5"/>
    <w:next w:val="Normal"/>
    <w:link w:val="Heading6Char"/>
    <w:uiPriority w:val="9"/>
    <w:qFormat/>
    <w:rsid w:val="0041191E"/>
    <w:pPr>
      <w:numPr>
        <w:ilvl w:val="4"/>
        <w:numId w:val="2"/>
      </w:numPr>
      <w:spacing w:before="0" w:after="0" w:line="240" w:lineRule="auto"/>
      <w:jc w:val="both"/>
      <w:outlineLvl w:val="5"/>
    </w:pPr>
    <w:rPr>
      <w:rFonts w:ascii="Verdana" w:hAnsi="Verdana"/>
      <w:b w:val="0"/>
      <w:bCs w:val="0"/>
      <w:i w:val="0"/>
      <w:iCs w:val="0"/>
      <w:spacing w:val="-2"/>
      <w:sz w:val="20"/>
      <w:szCs w:val="20"/>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1E"/>
    <w:rPr>
      <w:rFonts w:ascii="Cambria" w:eastAsia="Times New Roman" w:hAnsi="Cambria" w:cs="Times New Roman"/>
      <w:b/>
      <w:bCs/>
      <w:kern w:val="32"/>
      <w:sz w:val="32"/>
      <w:szCs w:val="32"/>
      <w:lang w:val="x-none"/>
    </w:rPr>
  </w:style>
  <w:style w:type="character" w:customStyle="1" w:styleId="Heading2Char">
    <w:name w:val="Heading 2 Char"/>
    <w:basedOn w:val="DefaultParagraphFont"/>
    <w:link w:val="Heading2"/>
    <w:rsid w:val="0041191E"/>
    <w:rPr>
      <w:rFonts w:ascii="Calibri" w:eastAsia="Times New Roman" w:hAnsi="Calibri" w:cs="Times New Roman"/>
      <w:b/>
      <w:szCs w:val="20"/>
      <w:lang w:val="es-CO"/>
    </w:rPr>
  </w:style>
  <w:style w:type="character" w:customStyle="1" w:styleId="Heading3Char">
    <w:name w:val="Heading 3 Char"/>
    <w:basedOn w:val="DefaultParagraphFont"/>
    <w:link w:val="Heading3"/>
    <w:uiPriority w:val="9"/>
    <w:rsid w:val="0041191E"/>
    <w:rPr>
      <w:rFonts w:ascii="Cambria" w:eastAsia="Times New Roman" w:hAnsi="Cambria" w:cs="Times New Roman"/>
      <w:b/>
      <w:bCs/>
      <w:sz w:val="26"/>
      <w:szCs w:val="26"/>
      <w:lang w:val="es-ES_tradnl"/>
    </w:rPr>
  </w:style>
  <w:style w:type="character" w:customStyle="1" w:styleId="Heading5Char">
    <w:name w:val="Heading 5 Char"/>
    <w:basedOn w:val="DefaultParagraphFont"/>
    <w:link w:val="Heading5"/>
    <w:rsid w:val="0041191E"/>
    <w:rPr>
      <w:rFonts w:ascii="Calibri" w:eastAsia="Times New Roman" w:hAnsi="Calibri" w:cs="Times New Roman"/>
      <w:b/>
      <w:bCs/>
      <w:i/>
      <w:iCs/>
      <w:sz w:val="26"/>
      <w:szCs w:val="26"/>
      <w:lang w:val="x-none"/>
    </w:rPr>
  </w:style>
  <w:style w:type="character" w:customStyle="1" w:styleId="Heading6Char">
    <w:name w:val="Heading 6 Char"/>
    <w:basedOn w:val="DefaultParagraphFont"/>
    <w:link w:val="Heading6"/>
    <w:uiPriority w:val="9"/>
    <w:rsid w:val="0041191E"/>
    <w:rPr>
      <w:rFonts w:ascii="Verdana" w:eastAsia="Times New Roman" w:hAnsi="Verdana" w:cs="Times New Roman"/>
      <w:spacing w:val="-2"/>
      <w:sz w:val="20"/>
      <w:szCs w:val="20"/>
      <w:lang w:val="es-ES_tradnl" w:eastAsia="x-none"/>
    </w:rPr>
  </w:style>
  <w:style w:type="numbering" w:customStyle="1" w:styleId="NoList1">
    <w:name w:val="No List1"/>
    <w:next w:val="NoList"/>
    <w:uiPriority w:val="99"/>
    <w:semiHidden/>
    <w:unhideWhenUsed/>
    <w:rsid w:val="0041191E"/>
  </w:style>
  <w:style w:type="character" w:styleId="FootnoteReference">
    <w:name w:val="footnote reference"/>
    <w:aliases w:val="Footnotes refss,Texto de nota al pie,Appel note de bas de page,Footnote number,referencia nota al pie,BVI fnr,f,Ref. de nota al pie.,4_G,16 Point,Superscript 6 Point,Footnote symbol,Footnote,Texto nota al pie,Footnote Reference Char3"/>
    <w:link w:val="4GChar"/>
    <w:qFormat/>
    <w:rsid w:val="0041191E"/>
    <w:rPr>
      <w:vertAlign w:val="superscript"/>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C"/>
    <w:basedOn w:val="Normal"/>
    <w:link w:val="FootnoteTextChar"/>
    <w:uiPriority w:val="99"/>
    <w:qFormat/>
    <w:rsid w:val="0041191E"/>
    <w:pPr>
      <w:spacing w:after="0" w:line="240" w:lineRule="auto"/>
    </w:pPr>
    <w:rPr>
      <w:rFonts w:ascii="Univers" w:eastAsia="Times New Roman" w:hAnsi="Univers" w:cs="Times New Roman"/>
      <w:sz w:val="20"/>
      <w:szCs w:val="20"/>
      <w:lang w:val="es-CO"/>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C Char"/>
    <w:basedOn w:val="DefaultParagraphFont"/>
    <w:link w:val="FootnoteText"/>
    <w:uiPriority w:val="99"/>
    <w:qFormat/>
    <w:rsid w:val="0041191E"/>
    <w:rPr>
      <w:rFonts w:ascii="Univers" w:eastAsia="Times New Roman" w:hAnsi="Univers" w:cs="Times New Roman"/>
      <w:sz w:val="20"/>
      <w:szCs w:val="20"/>
      <w:lang w:val="es-CO"/>
    </w:rPr>
  </w:style>
  <w:style w:type="paragraph" w:styleId="NormalWeb">
    <w:name w:val="Normal (Web)"/>
    <w:aliases w:val="Normal (Web) Char1,Normal (Web) Char Char,Normal (Web) Char1 Char,Normal (Web) Char Char Char"/>
    <w:basedOn w:val="Normal"/>
    <w:uiPriority w:val="99"/>
    <w:qFormat/>
    <w:rsid w:val="004119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rsid w:val="0041191E"/>
    <w:rPr>
      <w:color w:val="4659C4"/>
      <w:u w:val="single"/>
    </w:rPr>
  </w:style>
  <w:style w:type="character" w:customStyle="1" w:styleId="ifinal011">
    <w:name w:val="ifinal011"/>
    <w:rsid w:val="0041191E"/>
    <w:rPr>
      <w:rFonts w:ascii="Verdana" w:hAnsi="Verdana" w:hint="default"/>
      <w:color w:val="003399"/>
      <w:sz w:val="12"/>
      <w:szCs w:val="12"/>
    </w:rPr>
  </w:style>
  <w:style w:type="character" w:styleId="Strong">
    <w:name w:val="Strong"/>
    <w:uiPriority w:val="22"/>
    <w:qFormat/>
    <w:rsid w:val="0041191E"/>
    <w:rPr>
      <w:b/>
      <w:bCs/>
    </w:rPr>
  </w:style>
  <w:style w:type="character" w:customStyle="1" w:styleId="subtitle031">
    <w:name w:val="subtitle031"/>
    <w:rsid w:val="0041191E"/>
    <w:rPr>
      <w:rFonts w:ascii="Arial" w:hAnsi="Arial" w:cs="Arial" w:hint="default"/>
      <w:b/>
      <w:bCs/>
      <w:color w:val="616161"/>
      <w:sz w:val="11"/>
      <w:szCs w:val="11"/>
    </w:rPr>
  </w:style>
  <w:style w:type="paragraph" w:styleId="ListParagraph">
    <w:name w:val="List Paragraph"/>
    <w:aliases w:val="List Paragraph2,Párrafo de lista1,List Paragraph1"/>
    <w:basedOn w:val="Normal"/>
    <w:link w:val="ListParagraphChar"/>
    <w:qFormat/>
    <w:rsid w:val="0041191E"/>
    <w:pPr>
      <w:spacing w:after="0" w:line="240" w:lineRule="auto"/>
      <w:ind w:left="720"/>
      <w:contextualSpacing/>
    </w:pPr>
    <w:rPr>
      <w:rFonts w:ascii="Univers" w:eastAsia="Times New Roman" w:hAnsi="Univers" w:cs="Times New Roman"/>
      <w:szCs w:val="20"/>
      <w:lang w:val="es-ES_tradnl"/>
    </w:rPr>
  </w:style>
  <w:style w:type="paragraph" w:styleId="BalloonText">
    <w:name w:val="Balloon Text"/>
    <w:basedOn w:val="Normal"/>
    <w:link w:val="BalloonTextChar"/>
    <w:uiPriority w:val="99"/>
    <w:semiHidden/>
    <w:unhideWhenUsed/>
    <w:rsid w:val="0041191E"/>
    <w:pPr>
      <w:spacing w:after="0" w:line="240" w:lineRule="auto"/>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41191E"/>
    <w:rPr>
      <w:rFonts w:ascii="Tahoma" w:eastAsia="Times New Roman" w:hAnsi="Tahoma" w:cs="Tahoma"/>
      <w:sz w:val="16"/>
      <w:szCs w:val="16"/>
      <w:lang w:val="es-ES_tradnl"/>
    </w:rPr>
  </w:style>
  <w:style w:type="paragraph" w:customStyle="1" w:styleId="Sangradetindependiente2">
    <w:name w:val="Sangría de t. independiente2"/>
    <w:basedOn w:val="Normal"/>
    <w:rsid w:val="0041191E"/>
    <w:pPr>
      <w:widowControl w:val="0"/>
      <w:spacing w:after="0" w:line="360" w:lineRule="atLeast"/>
    </w:pPr>
    <w:rPr>
      <w:rFonts w:ascii="Arial" w:eastAsia="Times New Roman" w:hAnsi="Arial" w:cs="Times New Roman"/>
      <w:sz w:val="24"/>
      <w:szCs w:val="20"/>
      <w:lang w:val="es-ES_tradnl"/>
    </w:rPr>
  </w:style>
  <w:style w:type="numbering" w:customStyle="1" w:styleId="NoList11">
    <w:name w:val="No List11"/>
    <w:next w:val="NoList"/>
    <w:uiPriority w:val="99"/>
    <w:semiHidden/>
    <w:unhideWhenUsed/>
    <w:rsid w:val="0041191E"/>
  </w:style>
  <w:style w:type="character" w:customStyle="1" w:styleId="ColorfulList-Accent1Char">
    <w:name w:val="Colorful List - Accent 1 Char"/>
    <w:aliases w:val="Footnote Char,Colorful List - Accent 11 Char,Lista Colorida - Ênfase 1 Char,Medium Grid 1 - Accent 2 Char"/>
    <w:basedOn w:val="DefaultParagraphFont"/>
    <w:link w:val="ColorfulList-Accent1"/>
    <w:uiPriority w:val="34"/>
    <w:locked/>
    <w:rsid w:val="0041191E"/>
  </w:style>
  <w:style w:type="paragraph" w:styleId="Header">
    <w:name w:val="header"/>
    <w:basedOn w:val="Normal"/>
    <w:link w:val="Head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41191E"/>
    <w:rPr>
      <w:rFonts w:ascii="Calibri" w:eastAsia="Calibri" w:hAnsi="Calibri" w:cs="Times New Roman"/>
    </w:rPr>
  </w:style>
  <w:style w:type="paragraph" w:styleId="Footer">
    <w:name w:val="footer"/>
    <w:basedOn w:val="Normal"/>
    <w:link w:val="FooterChar"/>
    <w:uiPriority w:val="99"/>
    <w:unhideWhenUsed/>
    <w:rsid w:val="0041191E"/>
    <w:pPr>
      <w:tabs>
        <w:tab w:val="center" w:pos="4419"/>
        <w:tab w:val="right" w:pos="8838"/>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41191E"/>
    <w:rPr>
      <w:rFonts w:ascii="Calibri" w:eastAsia="Calibri" w:hAnsi="Calibri" w:cs="Times New Roman"/>
    </w:rPr>
  </w:style>
  <w:style w:type="paragraph" w:customStyle="1" w:styleId="ColorfulList-Accent11">
    <w:name w:val="Colorful List - Accent 11"/>
    <w:basedOn w:val="Normal"/>
    <w:uiPriority w:val="34"/>
    <w:qFormat/>
    <w:rsid w:val="0041191E"/>
    <w:pPr>
      <w:spacing w:after="0" w:line="240" w:lineRule="auto"/>
      <w:ind w:left="720"/>
      <w:contextualSpacing/>
    </w:pPr>
    <w:rPr>
      <w:rFonts w:ascii="Times New Roman" w:eastAsia="MS Mincho" w:hAnsi="Times New Roman" w:cs="Times New Roman"/>
      <w:sz w:val="24"/>
      <w:szCs w:val="24"/>
      <w:lang w:val="es-ES" w:eastAsia="es-ES"/>
    </w:rPr>
  </w:style>
  <w:style w:type="character" w:styleId="CommentReference">
    <w:name w:val="annotation reference"/>
    <w:uiPriority w:val="99"/>
    <w:unhideWhenUsed/>
    <w:qFormat/>
    <w:rsid w:val="0041191E"/>
    <w:rPr>
      <w:sz w:val="18"/>
      <w:szCs w:val="18"/>
    </w:rPr>
  </w:style>
  <w:style w:type="paragraph" w:styleId="CommentText">
    <w:name w:val="annotation text"/>
    <w:basedOn w:val="Normal"/>
    <w:link w:val="CommentTextChar"/>
    <w:unhideWhenUsed/>
    <w:qFormat/>
    <w:rsid w:val="0041191E"/>
    <w:pPr>
      <w:spacing w:after="0" w:line="240" w:lineRule="auto"/>
    </w:pPr>
    <w:rPr>
      <w:rFonts w:ascii="Arial" w:eastAsia="Cambria" w:hAnsi="Arial" w:cs="Times New Roman"/>
      <w:sz w:val="24"/>
      <w:szCs w:val="24"/>
      <w:lang w:val="es-ES_tradnl" w:eastAsia="x-none"/>
    </w:rPr>
  </w:style>
  <w:style w:type="character" w:customStyle="1" w:styleId="CommentTextChar">
    <w:name w:val="Comment Text Char"/>
    <w:basedOn w:val="DefaultParagraphFont"/>
    <w:link w:val="CommentText"/>
    <w:uiPriority w:val="99"/>
    <w:rsid w:val="0041191E"/>
    <w:rPr>
      <w:rFonts w:ascii="Arial" w:eastAsia="Cambria" w:hAnsi="Arial" w:cs="Times New Roman"/>
      <w:sz w:val="24"/>
      <w:szCs w:val="24"/>
      <w:lang w:val="es-ES_tradnl" w:eastAsia="x-none"/>
    </w:rPr>
  </w:style>
  <w:style w:type="paragraph" w:styleId="CommentSubject">
    <w:name w:val="annotation subject"/>
    <w:basedOn w:val="CommentText"/>
    <w:next w:val="CommentText"/>
    <w:link w:val="CommentSubjectChar"/>
    <w:uiPriority w:val="99"/>
    <w:semiHidden/>
    <w:unhideWhenUsed/>
    <w:rsid w:val="0041191E"/>
    <w:pPr>
      <w:spacing w:after="200" w:line="276" w:lineRule="auto"/>
    </w:pPr>
    <w:rPr>
      <w:b/>
      <w:bCs/>
      <w:lang w:eastAsia="en-US"/>
    </w:rPr>
  </w:style>
  <w:style w:type="character" w:customStyle="1" w:styleId="CommentSubjectChar">
    <w:name w:val="Comment Subject Char"/>
    <w:basedOn w:val="CommentTextChar"/>
    <w:link w:val="CommentSubject"/>
    <w:uiPriority w:val="99"/>
    <w:semiHidden/>
    <w:rsid w:val="0041191E"/>
    <w:rPr>
      <w:rFonts w:ascii="Arial" w:eastAsia="Cambria" w:hAnsi="Arial" w:cs="Times New Roman"/>
      <w:b/>
      <w:bCs/>
      <w:sz w:val="24"/>
      <w:szCs w:val="24"/>
      <w:lang w:val="es-ES_tradnl" w:eastAsia="x-none"/>
    </w:rPr>
  </w:style>
  <w:style w:type="paragraph" w:customStyle="1" w:styleId="BodyText21">
    <w:name w:val="Body Text 21"/>
    <w:basedOn w:val="Normal"/>
    <w:rsid w:val="0041191E"/>
    <w:pPr>
      <w:overflowPunct w:val="0"/>
      <w:autoSpaceDE w:val="0"/>
      <w:autoSpaceDN w:val="0"/>
      <w:adjustRightInd w:val="0"/>
      <w:spacing w:after="0" w:line="240" w:lineRule="auto"/>
      <w:ind w:right="-720"/>
      <w:jc w:val="both"/>
      <w:textAlignment w:val="baseline"/>
    </w:pPr>
    <w:rPr>
      <w:rFonts w:ascii="Palatino" w:eastAsia="Times New Roman" w:hAnsi="Palatino" w:cs="Times New Roman"/>
      <w:sz w:val="24"/>
      <w:szCs w:val="20"/>
      <w:lang w:val="en-US" w:eastAsia="es-ES"/>
    </w:rPr>
  </w:style>
  <w:style w:type="paragraph" w:styleId="BodyTextIndent">
    <w:name w:val="Body Text Indent"/>
    <w:basedOn w:val="Normal"/>
    <w:link w:val="BodyTextIndentChar"/>
    <w:rsid w:val="0041191E"/>
    <w:pPr>
      <w:spacing w:after="0" w:line="240" w:lineRule="auto"/>
      <w:ind w:left="1416"/>
    </w:pPr>
    <w:rPr>
      <w:rFonts w:ascii="Times New Roman" w:eastAsia="Times New Roman" w:hAnsi="Times New Roman" w:cs="Times New Roman"/>
      <w:sz w:val="24"/>
      <w:szCs w:val="24"/>
      <w:lang w:val="es-ES_tradnl" w:eastAsia="es-ES"/>
    </w:rPr>
  </w:style>
  <w:style w:type="character" w:customStyle="1" w:styleId="BodyTextIndentChar">
    <w:name w:val="Body Text Indent Char"/>
    <w:basedOn w:val="DefaultParagraphFont"/>
    <w:link w:val="BodyTextIndent"/>
    <w:rsid w:val="0041191E"/>
    <w:rPr>
      <w:rFonts w:ascii="Times New Roman" w:eastAsia="Times New Roman" w:hAnsi="Times New Roman" w:cs="Times New Roman"/>
      <w:sz w:val="24"/>
      <w:szCs w:val="24"/>
      <w:lang w:val="es-ES_tradnl" w:eastAsia="es-ES"/>
    </w:rPr>
  </w:style>
  <w:style w:type="character" w:styleId="Emphasis">
    <w:name w:val="Emphasis"/>
    <w:uiPriority w:val="20"/>
    <w:qFormat/>
    <w:rsid w:val="0041191E"/>
    <w:rPr>
      <w:i/>
      <w:iCs/>
    </w:rPr>
  </w:style>
  <w:style w:type="paragraph" w:customStyle="1" w:styleId="PargrafodaLista">
    <w:name w:val="Parágrafo da Lista"/>
    <w:basedOn w:val="Normal"/>
    <w:uiPriority w:val="34"/>
    <w:qFormat/>
    <w:rsid w:val="0041191E"/>
    <w:pPr>
      <w:spacing w:after="0" w:line="240" w:lineRule="auto"/>
      <w:ind w:left="708"/>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1191E"/>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1191E"/>
    <w:rPr>
      <w:rFonts w:ascii="Times New Roman" w:eastAsia="Times New Roman" w:hAnsi="Times New Roman" w:cs="Times New Roman"/>
      <w:sz w:val="24"/>
      <w:szCs w:val="24"/>
      <w:lang w:val="en-US"/>
    </w:rPr>
  </w:style>
  <w:style w:type="character" w:customStyle="1" w:styleId="estilo721">
    <w:name w:val="estilo721"/>
    <w:rsid w:val="0041191E"/>
    <w:rPr>
      <w:b/>
      <w:bCs/>
      <w:color w:val="990000"/>
      <w:sz w:val="16"/>
      <w:szCs w:val="16"/>
    </w:rPr>
  </w:style>
  <w:style w:type="character" w:customStyle="1" w:styleId="ListParagraphChar2">
    <w:name w:val="List Paragraph Char2"/>
    <w:uiPriority w:val="34"/>
    <w:locked/>
    <w:rsid w:val="0041191E"/>
    <w:rPr>
      <w:rFonts w:ascii="Verdana" w:eastAsia="Times New Roman" w:hAnsi="Verdana"/>
      <w:szCs w:val="24"/>
      <w:lang w:val="es-ES_tradnl" w:eastAsia="en-US"/>
    </w:rPr>
  </w:style>
  <w:style w:type="paragraph" w:styleId="BodyText3">
    <w:name w:val="Body Text 3"/>
    <w:basedOn w:val="Normal"/>
    <w:link w:val="BodyText3Char"/>
    <w:uiPriority w:val="99"/>
    <w:semiHidden/>
    <w:unhideWhenUsed/>
    <w:rsid w:val="0041191E"/>
    <w:pPr>
      <w:spacing w:after="120"/>
    </w:pPr>
    <w:rPr>
      <w:rFonts w:ascii="Calibri" w:eastAsia="Calibri" w:hAnsi="Calibri" w:cs="Times New Roman"/>
      <w:sz w:val="16"/>
      <w:szCs w:val="16"/>
      <w:lang w:val="x-none"/>
    </w:rPr>
  </w:style>
  <w:style w:type="character" w:customStyle="1" w:styleId="BodyText3Char">
    <w:name w:val="Body Text 3 Char"/>
    <w:basedOn w:val="DefaultParagraphFont"/>
    <w:link w:val="BodyText3"/>
    <w:uiPriority w:val="99"/>
    <w:semiHidden/>
    <w:rsid w:val="0041191E"/>
    <w:rPr>
      <w:rFonts w:ascii="Calibri" w:eastAsia="Calibri" w:hAnsi="Calibri" w:cs="Times New Roman"/>
      <w:sz w:val="16"/>
      <w:szCs w:val="16"/>
      <w:lang w:val="x-none"/>
    </w:rPr>
  </w:style>
  <w:style w:type="paragraph" w:styleId="Title">
    <w:name w:val="Title"/>
    <w:basedOn w:val="Normal"/>
    <w:link w:val="TitleChar"/>
    <w:qFormat/>
    <w:rsid w:val="0041191E"/>
    <w:pPr>
      <w:spacing w:after="0" w:line="240" w:lineRule="auto"/>
      <w:jc w:val="both"/>
    </w:pPr>
    <w:rPr>
      <w:rFonts w:ascii="Verdana" w:eastAsia="Times New Roman" w:hAnsi="Verdana" w:cs="Times New Roman"/>
      <w:b/>
      <w:sz w:val="20"/>
      <w:szCs w:val="20"/>
      <w:lang w:val="es-ES_tradnl" w:eastAsia="es-ES" w:bidi="en-US"/>
    </w:rPr>
  </w:style>
  <w:style w:type="character" w:customStyle="1" w:styleId="TitleChar">
    <w:name w:val="Title Char"/>
    <w:basedOn w:val="DefaultParagraphFont"/>
    <w:link w:val="Title"/>
    <w:rsid w:val="0041191E"/>
    <w:rPr>
      <w:rFonts w:ascii="Verdana" w:eastAsia="Times New Roman" w:hAnsi="Verdana" w:cs="Times New Roman"/>
      <w:b/>
      <w:sz w:val="20"/>
      <w:szCs w:val="20"/>
      <w:lang w:val="es-ES_tradnl" w:eastAsia="es-ES" w:bidi="en-US"/>
    </w:rPr>
  </w:style>
  <w:style w:type="table" w:styleId="TableGrid">
    <w:name w:val="Table Grid"/>
    <w:basedOn w:val="TableNormal"/>
    <w:uiPriority w:val="59"/>
    <w:rsid w:val="0041191E"/>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vistosa-nfasis11">
    <w:name w:val="Lista vistosa - Énfasis 11"/>
    <w:basedOn w:val="TableNormal"/>
    <w:next w:val="ColorfulList-Accent1"/>
    <w:uiPriority w:val="99"/>
    <w:rsid w:val="0041191E"/>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claro1">
    <w:name w:val="Sombreado claro1"/>
    <w:basedOn w:val="TableNormal"/>
    <w:next w:val="LightShading"/>
    <w:uiPriority w:val="60"/>
    <w:rsid w:val="0041191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List-Accent1">
    <w:name w:val="Colorful List Accent 1"/>
    <w:basedOn w:val="TableNormal"/>
    <w:link w:val="ColorfulList-Accent1Char"/>
    <w:uiPriority w:val="99"/>
    <w:rsid w:val="0041191E"/>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ghtShading">
    <w:name w:val="Light Shading"/>
    <w:basedOn w:val="TableNormal"/>
    <w:uiPriority w:val="60"/>
    <w:rsid w:val="0041191E"/>
    <w:pPr>
      <w:spacing w:after="0" w:line="240" w:lineRule="auto"/>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41191E"/>
    <w:pPr>
      <w:spacing w:after="0" w:line="240" w:lineRule="auto"/>
    </w:pPr>
    <w:rPr>
      <w:lang w:val="es-MX"/>
    </w:rPr>
  </w:style>
  <w:style w:type="table" w:customStyle="1" w:styleId="TableGrid1">
    <w:name w:val="Table Grid1"/>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19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3CD1"/>
    <w:pPr>
      <w:autoSpaceDE w:val="0"/>
      <w:autoSpaceDN w:val="0"/>
      <w:adjustRightInd w:val="0"/>
      <w:spacing w:after="0" w:line="240" w:lineRule="auto"/>
    </w:pPr>
    <w:rPr>
      <w:rFonts w:ascii="Univers" w:eastAsiaTheme="minorEastAsia" w:hAnsi="Univers" w:cs="Univers"/>
      <w:color w:val="000000"/>
      <w:sz w:val="24"/>
      <w:szCs w:val="24"/>
      <w:lang w:val="en-US"/>
    </w:rPr>
  </w:style>
  <w:style w:type="paragraph" w:customStyle="1" w:styleId="Prrafodelista2">
    <w:name w:val="Párrafo de lista2"/>
    <w:basedOn w:val="Normal"/>
    <w:uiPriority w:val="99"/>
    <w:rsid w:val="00C13CD1"/>
    <w:pPr>
      <w:spacing w:after="0" w:line="240" w:lineRule="auto"/>
      <w:ind w:left="720"/>
    </w:pPr>
    <w:rPr>
      <w:rFonts w:ascii="Verdana" w:eastAsia="MS Mincho" w:hAnsi="Verdana" w:cs="Times New Roman"/>
      <w:sz w:val="20"/>
      <w:szCs w:val="20"/>
      <w:lang w:val="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7A5E60"/>
    <w:pPr>
      <w:spacing w:after="0" w:line="240" w:lineRule="auto"/>
      <w:jc w:val="both"/>
    </w:pPr>
    <w:rPr>
      <w:vertAlign w:val="superscript"/>
    </w:rPr>
  </w:style>
  <w:style w:type="character" w:customStyle="1" w:styleId="ListParagraphChar">
    <w:name w:val="List Paragraph Char"/>
    <w:aliases w:val="List Paragraph2 Char,Párrafo de lista1 Char,List Paragraph1 Char"/>
    <w:link w:val="ListParagraph"/>
    <w:uiPriority w:val="34"/>
    <w:locked/>
    <w:rsid w:val="007B3B4E"/>
    <w:rPr>
      <w:rFonts w:ascii="Univers" w:eastAsia="Times New Roman" w:hAnsi="Univers" w:cs="Times New Roman"/>
      <w:szCs w:val="20"/>
      <w:lang w:val="es-ES_tradnl"/>
    </w:rPr>
  </w:style>
  <w:style w:type="character" w:customStyle="1" w:styleId="apple-converted-space">
    <w:name w:val="apple-converted-space"/>
    <w:basedOn w:val="DefaultParagraphFont"/>
    <w:rsid w:val="007B3B4E"/>
  </w:style>
  <w:style w:type="character" w:customStyle="1" w:styleId="Estilo1Char">
    <w:name w:val="Estilo1 Char"/>
    <w:link w:val="Estilo1"/>
    <w:locked/>
    <w:rsid w:val="00614429"/>
    <w:rPr>
      <w:rFonts w:ascii="Verdana" w:eastAsia="Calibri" w:hAnsi="Verdana" w:cs="Times New Roman"/>
      <w:sz w:val="20"/>
      <w:szCs w:val="20"/>
      <w:lang w:val="es-ES"/>
    </w:rPr>
  </w:style>
  <w:style w:type="paragraph" w:customStyle="1" w:styleId="Estilo1">
    <w:name w:val="Estilo1"/>
    <w:basedOn w:val="Normal"/>
    <w:link w:val="Estilo1Char"/>
    <w:qFormat/>
    <w:rsid w:val="00614429"/>
    <w:pPr>
      <w:tabs>
        <w:tab w:val="left" w:pos="567"/>
        <w:tab w:val="left" w:pos="1134"/>
        <w:tab w:val="num" w:pos="30034"/>
      </w:tabs>
      <w:spacing w:after="120" w:line="240" w:lineRule="auto"/>
      <w:jc w:val="both"/>
    </w:pPr>
    <w:rPr>
      <w:rFonts w:ascii="Verdana" w:eastAsia="Calibri" w:hAnsi="Verdana" w:cs="Times New Roman"/>
      <w:sz w:val="20"/>
      <w:szCs w:val="20"/>
      <w:lang w:val="es-ES"/>
    </w:rPr>
  </w:style>
  <w:style w:type="paragraph" w:customStyle="1" w:styleId="Estilo2">
    <w:name w:val="Estilo2"/>
    <w:basedOn w:val="Normal"/>
    <w:link w:val="Estilo2Car"/>
    <w:qFormat/>
    <w:rsid w:val="00614429"/>
    <w:pPr>
      <w:tabs>
        <w:tab w:val="left" w:pos="567"/>
        <w:tab w:val="left" w:pos="1134"/>
        <w:tab w:val="num" w:pos="4767"/>
      </w:tabs>
      <w:spacing w:after="120" w:line="240" w:lineRule="auto"/>
      <w:ind w:left="4767" w:hanging="360"/>
      <w:jc w:val="both"/>
    </w:pPr>
    <w:rPr>
      <w:rFonts w:ascii="Verdana" w:eastAsia="Calibri" w:hAnsi="Verdana" w:cs="Times New Roman"/>
      <w:sz w:val="20"/>
      <w:szCs w:val="20"/>
      <w:lang w:val="es-ES"/>
    </w:rPr>
  </w:style>
  <w:style w:type="paragraph" w:customStyle="1" w:styleId="Estilo4">
    <w:name w:val="Estilo4"/>
    <w:basedOn w:val="ListParagraph"/>
    <w:qFormat/>
    <w:rsid w:val="00BD30A0"/>
    <w:pPr>
      <w:numPr>
        <w:ilvl w:val="1"/>
        <w:numId w:val="6"/>
      </w:numPr>
      <w:tabs>
        <w:tab w:val="num" w:pos="360"/>
      </w:tabs>
      <w:spacing w:after="120"/>
      <w:ind w:left="0" w:firstLine="357"/>
      <w:contextualSpacing w:val="0"/>
      <w:jc w:val="both"/>
    </w:pPr>
    <w:rPr>
      <w:rFonts w:ascii="Verdana" w:hAnsi="Verdana"/>
      <w:spacing w:val="-2"/>
      <w:sz w:val="20"/>
      <w:lang w:val="es-CR"/>
    </w:rPr>
  </w:style>
  <w:style w:type="character" w:customStyle="1" w:styleId="Estilo2Car">
    <w:name w:val="Estilo2 Car"/>
    <w:basedOn w:val="DefaultParagraphFont"/>
    <w:link w:val="Estilo2"/>
    <w:locked/>
    <w:rsid w:val="00FC0E3A"/>
    <w:rPr>
      <w:rFonts w:ascii="Verdana" w:eastAsia="Calibri" w:hAnsi="Verdana" w:cs="Times New Roman"/>
      <w:sz w:val="20"/>
      <w:szCs w:val="20"/>
      <w:lang w:val="es-ES"/>
    </w:rPr>
  </w:style>
  <w:style w:type="character" w:customStyle="1" w:styleId="apple-style-span">
    <w:name w:val="apple-style-span"/>
    <w:qFormat/>
    <w:rsid w:val="007C386A"/>
    <w:rPr>
      <w:rFonts w:cs="Times New Roman"/>
    </w:rPr>
  </w:style>
  <w:style w:type="paragraph" w:customStyle="1" w:styleId="Footnotes">
    <w:name w:val="**. Footnotes"/>
    <w:basedOn w:val="FootnoteText"/>
    <w:link w:val="FootnotesChar"/>
    <w:autoRedefine/>
    <w:qFormat/>
    <w:rsid w:val="00691B1D"/>
    <w:pPr>
      <w:tabs>
        <w:tab w:val="left" w:pos="0"/>
      </w:tabs>
      <w:spacing w:before="120" w:after="60"/>
      <w:ind w:left="708"/>
      <w:jc w:val="both"/>
    </w:pPr>
    <w:rPr>
      <w:rFonts w:ascii="Verdana" w:eastAsia="Batang" w:hAnsi="Verdana" w:cs="Palatino-Italic"/>
      <w:iCs/>
      <w:sz w:val="16"/>
      <w:szCs w:val="16"/>
      <w:lang w:val="es-ES"/>
    </w:rPr>
  </w:style>
  <w:style w:type="character" w:customStyle="1" w:styleId="FootnotesChar">
    <w:name w:val="**. Footnotes Char"/>
    <w:basedOn w:val="DefaultParagraphFont"/>
    <w:link w:val="Footnotes"/>
    <w:rsid w:val="00691B1D"/>
    <w:rPr>
      <w:rFonts w:ascii="Verdana" w:eastAsia="Batang" w:hAnsi="Verdana" w:cs="Palatino-Italic"/>
      <w:iCs/>
      <w:sz w:val="16"/>
      <w:szCs w:val="16"/>
      <w:lang w:val="es-ES"/>
    </w:rPr>
  </w:style>
  <w:style w:type="character" w:styleId="FollowedHyperlink">
    <w:name w:val="FollowedHyperlink"/>
    <w:basedOn w:val="DefaultParagraphFont"/>
    <w:uiPriority w:val="99"/>
    <w:semiHidden/>
    <w:unhideWhenUsed/>
    <w:rsid w:val="00F1346E"/>
    <w:rPr>
      <w:color w:val="800080" w:themeColor="followedHyperlink"/>
      <w:u w:val="single"/>
    </w:rPr>
  </w:style>
  <w:style w:type="paragraph" w:styleId="BodyText2">
    <w:name w:val="Body Text 2"/>
    <w:basedOn w:val="Normal"/>
    <w:link w:val="BodyText2Char"/>
    <w:uiPriority w:val="99"/>
    <w:unhideWhenUsed/>
    <w:rsid w:val="002E273E"/>
    <w:pPr>
      <w:spacing w:after="120" w:line="480" w:lineRule="auto"/>
    </w:pPr>
  </w:style>
  <w:style w:type="character" w:customStyle="1" w:styleId="BodyText2Char">
    <w:name w:val="Body Text 2 Char"/>
    <w:basedOn w:val="DefaultParagraphFont"/>
    <w:link w:val="BodyText2"/>
    <w:uiPriority w:val="99"/>
    <w:rsid w:val="002E273E"/>
  </w:style>
  <w:style w:type="paragraph" w:styleId="TOCHeading">
    <w:name w:val="TOC Heading"/>
    <w:basedOn w:val="Heading1"/>
    <w:next w:val="Normal"/>
    <w:uiPriority w:val="39"/>
    <w:unhideWhenUsed/>
    <w:qFormat/>
    <w:rsid w:val="00476FD9"/>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506FD5"/>
    <w:pPr>
      <w:tabs>
        <w:tab w:val="right" w:leader="dot" w:pos="9771"/>
      </w:tabs>
      <w:spacing w:after="60" w:line="240" w:lineRule="auto"/>
    </w:pPr>
    <w:rPr>
      <w:rFonts w:ascii="Verdana" w:hAnsi="Verdana"/>
      <w:noProof/>
      <w:sz w:val="20"/>
    </w:rPr>
  </w:style>
  <w:style w:type="paragraph" w:styleId="TOC2">
    <w:name w:val="toc 2"/>
    <w:basedOn w:val="Normal"/>
    <w:next w:val="Normal"/>
    <w:autoRedefine/>
    <w:uiPriority w:val="39"/>
    <w:unhideWhenUsed/>
    <w:rsid w:val="00476FD9"/>
    <w:pPr>
      <w:tabs>
        <w:tab w:val="left" w:pos="880"/>
        <w:tab w:val="right" w:leader="dot" w:pos="9345"/>
      </w:tabs>
      <w:spacing w:after="100"/>
      <w:ind w:left="220"/>
      <w:jc w:val="both"/>
    </w:pPr>
    <w:rPr>
      <w:rFonts w:ascii="Verdana" w:eastAsia="Times New Roman" w:hAnsi="Verdana" w:cs="Times New Roman"/>
      <w:bCs/>
      <w:i/>
      <w:iCs/>
      <w:noProof/>
      <w:sz w:val="20"/>
      <w:szCs w:val="20"/>
      <w:lang w:val="es-ES_tradnl"/>
    </w:rPr>
  </w:style>
  <w:style w:type="character" w:styleId="LineNumber">
    <w:name w:val="line number"/>
    <w:basedOn w:val="DefaultParagraphFont"/>
    <w:uiPriority w:val="99"/>
    <w:semiHidden/>
    <w:unhideWhenUsed/>
    <w:rsid w:val="0017767A"/>
  </w:style>
  <w:style w:type="paragraph" w:customStyle="1" w:styleId="Estilo5">
    <w:name w:val="Estilo5"/>
    <w:basedOn w:val="Estilo2"/>
    <w:link w:val="Estilo5Car"/>
    <w:qFormat/>
    <w:rsid w:val="000E5864"/>
    <w:pPr>
      <w:numPr>
        <w:numId w:val="7"/>
      </w:numPr>
      <w:tabs>
        <w:tab w:val="clear" w:pos="567"/>
        <w:tab w:val="clear" w:pos="1134"/>
        <w:tab w:val="left" w:pos="720"/>
      </w:tabs>
      <w:ind w:right="-522"/>
    </w:pPr>
    <w:rPr>
      <w:spacing w:val="-2"/>
    </w:rPr>
  </w:style>
  <w:style w:type="character" w:customStyle="1" w:styleId="Estilo5Car">
    <w:name w:val="Estilo5 Car"/>
    <w:basedOn w:val="Estilo2Car"/>
    <w:link w:val="Estilo5"/>
    <w:rsid w:val="000E5864"/>
    <w:rPr>
      <w:rFonts w:ascii="Verdana" w:eastAsia="Calibri" w:hAnsi="Verdana" w:cs="Times New Roman"/>
      <w:spacing w:val="-2"/>
      <w:sz w:val="20"/>
      <w:szCs w:val="20"/>
      <w:lang w:val="es-ES"/>
    </w:rPr>
  </w:style>
  <w:style w:type="paragraph" w:styleId="Quote">
    <w:name w:val="Quote"/>
    <w:basedOn w:val="Normal"/>
    <w:next w:val="Normal"/>
    <w:link w:val="QuoteChar"/>
    <w:uiPriority w:val="29"/>
    <w:qFormat/>
    <w:rsid w:val="00297E38"/>
    <w:pPr>
      <w:spacing w:after="0" w:line="240" w:lineRule="auto"/>
    </w:pPr>
    <w:rPr>
      <w:rFonts w:eastAsiaTheme="minorEastAsia"/>
      <w:i/>
      <w:iCs/>
      <w:color w:val="000000" w:themeColor="text1"/>
      <w:sz w:val="24"/>
      <w:szCs w:val="24"/>
      <w:lang w:val="es-ES_tradnl"/>
    </w:rPr>
  </w:style>
  <w:style w:type="character" w:customStyle="1" w:styleId="QuoteChar">
    <w:name w:val="Quote Char"/>
    <w:basedOn w:val="DefaultParagraphFont"/>
    <w:link w:val="Quote"/>
    <w:uiPriority w:val="29"/>
    <w:rsid w:val="00297E38"/>
    <w:rPr>
      <w:rFonts w:eastAsiaTheme="minorEastAsia"/>
      <w:i/>
      <w:iCs/>
      <w:color w:val="000000" w:themeColor="text1"/>
      <w:sz w:val="24"/>
      <w:szCs w:val="24"/>
      <w:lang w:val="es-ES_tradnl"/>
    </w:rPr>
  </w:style>
  <w:style w:type="paragraph" w:customStyle="1" w:styleId="PrrafodeSentencia">
    <w:name w:val="*. Párrafo de Sentencia"/>
    <w:basedOn w:val="Normal"/>
    <w:link w:val="PrrafodeSentenciaChar"/>
    <w:qFormat/>
    <w:rsid w:val="00EA6744"/>
    <w:pPr>
      <w:tabs>
        <w:tab w:val="left" w:pos="567"/>
        <w:tab w:val="num" w:pos="12305"/>
      </w:tabs>
      <w:spacing w:after="0" w:line="240" w:lineRule="auto"/>
      <w:jc w:val="both"/>
    </w:pPr>
    <w:rPr>
      <w:rFonts w:ascii="Verdana" w:eastAsia="Batang" w:hAnsi="Verdana" w:cs="Times New Roman"/>
      <w:sz w:val="20"/>
      <w:szCs w:val="20"/>
      <w:lang w:val="es-ES_tradnl" w:eastAsia="es-MX"/>
    </w:rPr>
  </w:style>
  <w:style w:type="character" w:customStyle="1" w:styleId="PrrafodeSentenciaChar">
    <w:name w:val="*. Párrafo de Sentencia Char"/>
    <w:link w:val="PrrafodeSentencia"/>
    <w:rsid w:val="00EA6744"/>
    <w:rPr>
      <w:rFonts w:ascii="Verdana" w:eastAsia="Batang" w:hAnsi="Verdana" w:cs="Times New Roman"/>
      <w:sz w:val="20"/>
      <w:szCs w:val="20"/>
      <w:lang w:val="es-ES_tradnl" w:eastAsia="es-MX"/>
    </w:rPr>
  </w:style>
  <w:style w:type="paragraph" w:customStyle="1" w:styleId="p1">
    <w:name w:val="p1"/>
    <w:basedOn w:val="Normal"/>
    <w:rsid w:val="00F625C3"/>
    <w:pPr>
      <w:spacing w:after="0" w:line="240" w:lineRule="auto"/>
    </w:pPr>
    <w:rPr>
      <w:rFonts w:ascii="Helvetica" w:hAnsi="Helvetica" w:cs="Times New Roman"/>
      <w:sz w:val="16"/>
      <w:szCs w:val="16"/>
      <w:lang w:val="es-ES_tradnl" w:eastAsia="es-ES_tradnl"/>
    </w:rPr>
  </w:style>
  <w:style w:type="character" w:customStyle="1" w:styleId="s1">
    <w:name w:val="s1"/>
    <w:basedOn w:val="DefaultParagraphFont"/>
    <w:rsid w:val="003960F3"/>
    <w:rPr>
      <w:rFonts w:ascii="Helvetica" w:hAnsi="Helvetica" w:hint="default"/>
      <w:sz w:val="17"/>
      <w:szCs w:val="17"/>
    </w:rPr>
  </w:style>
  <w:style w:type="character" w:customStyle="1" w:styleId="Estilo1Car">
    <w:name w:val="Estilo1 Car"/>
    <w:rsid w:val="007E7C13"/>
    <w:rPr>
      <w:rFonts w:ascii="Verdana" w:hAnsi="Verdana"/>
      <w:lang w:val="es-ES" w:eastAsia="x-none"/>
    </w:rPr>
  </w:style>
  <w:style w:type="paragraph" w:customStyle="1" w:styleId="1">
    <w:name w:val="1"/>
    <w:basedOn w:val="Normal"/>
    <w:rsid w:val="00085B49"/>
    <w:pPr>
      <w:spacing w:after="160" w:line="240" w:lineRule="exact"/>
    </w:pPr>
    <w:rPr>
      <w:rFonts w:ascii="Times New Roman" w:eastAsia="Times New Roman" w:hAnsi="Times New Roman" w:cs="Times New Roman"/>
      <w:sz w:val="20"/>
      <w:szCs w:val="20"/>
      <w:vertAlign w:val="superscript"/>
      <w:lang w:eastAsia="es-CR"/>
    </w:rPr>
  </w:style>
  <w:style w:type="paragraph" w:customStyle="1" w:styleId="Estilo3">
    <w:name w:val="Estilo3"/>
    <w:basedOn w:val="ListParagraph"/>
    <w:link w:val="Estilo3Car"/>
    <w:qFormat/>
    <w:rsid w:val="003D205C"/>
    <w:pPr>
      <w:tabs>
        <w:tab w:val="num" w:pos="360"/>
      </w:tabs>
      <w:spacing w:after="120" w:line="216" w:lineRule="auto"/>
      <w:ind w:right="17"/>
      <w:contextualSpacing w:val="0"/>
      <w:jc w:val="both"/>
    </w:pPr>
    <w:rPr>
      <w:rFonts w:ascii="Verdana" w:eastAsia="Calibri" w:hAnsi="Verdana"/>
      <w:spacing w:val="-2"/>
      <w:sz w:val="20"/>
      <w:lang w:val="es-MX" w:eastAsia="x-none"/>
    </w:rPr>
  </w:style>
  <w:style w:type="character" w:customStyle="1" w:styleId="Estilo3Car">
    <w:name w:val="Estilo3 Car"/>
    <w:link w:val="Estilo3"/>
    <w:rsid w:val="003D205C"/>
    <w:rPr>
      <w:rFonts w:ascii="Verdana" w:eastAsia="Calibri" w:hAnsi="Verdana" w:cs="Times New Roman"/>
      <w:spacing w:val="-2"/>
      <w:sz w:val="20"/>
      <w:szCs w:val="20"/>
      <w:lang w:val="es-MX" w:eastAsia="x-none"/>
    </w:rPr>
  </w:style>
  <w:style w:type="paragraph" w:styleId="BodyText">
    <w:name w:val="Body Text"/>
    <w:basedOn w:val="Normal"/>
    <w:link w:val="BodyTextChar"/>
    <w:uiPriority w:val="99"/>
    <w:semiHidden/>
    <w:unhideWhenUsed/>
    <w:rsid w:val="003206C9"/>
    <w:pPr>
      <w:spacing w:after="120"/>
    </w:pPr>
  </w:style>
  <w:style w:type="character" w:customStyle="1" w:styleId="BodyTextChar">
    <w:name w:val="Body Text Char"/>
    <w:basedOn w:val="DefaultParagraphFont"/>
    <w:link w:val="BodyText"/>
    <w:uiPriority w:val="99"/>
    <w:semiHidden/>
    <w:rsid w:val="003206C9"/>
  </w:style>
  <w:style w:type="paragraph" w:customStyle="1" w:styleId="footnote">
    <w:name w:val="footnote"/>
    <w:basedOn w:val="NormalWeb"/>
    <w:uiPriority w:val="99"/>
    <w:semiHidden/>
    <w:rsid w:val="0050029A"/>
  </w:style>
  <w:style w:type="character" w:customStyle="1" w:styleId="FootnoteAnchor">
    <w:name w:val="Footnote Anchor"/>
    <w:rsid w:val="00C172A4"/>
    <w:rPr>
      <w:vertAlign w:val="superscript"/>
    </w:rPr>
  </w:style>
  <w:style w:type="character" w:customStyle="1" w:styleId="Heading4Char">
    <w:name w:val="Heading 4 Char"/>
    <w:basedOn w:val="DefaultParagraphFont"/>
    <w:link w:val="Heading4"/>
    <w:uiPriority w:val="9"/>
    <w:semiHidden/>
    <w:rsid w:val="006B6B1D"/>
    <w:rPr>
      <w:rFonts w:asciiTheme="majorHAnsi" w:eastAsiaTheme="majorEastAsia" w:hAnsiTheme="majorHAnsi" w:cstheme="majorBidi"/>
      <w:b/>
      <w:bCs/>
      <w:i/>
      <w:iCs/>
      <w:color w:val="4F81BD" w:themeColor="accent1"/>
    </w:rPr>
  </w:style>
  <w:style w:type="paragraph" w:customStyle="1" w:styleId="2Footnotes">
    <w:name w:val="2. Footnotes"/>
    <w:basedOn w:val="FootnoteText"/>
    <w:link w:val="2FootnotesChar"/>
    <w:autoRedefine/>
    <w:qFormat/>
    <w:rsid w:val="00946751"/>
    <w:pPr>
      <w:widowControl w:val="0"/>
      <w:spacing w:before="120" w:after="40"/>
      <w:jc w:val="both"/>
    </w:pPr>
    <w:rPr>
      <w:rFonts w:ascii="Verdana" w:hAnsi="Verdana" w:cs="Palatino-Italic"/>
      <w:iCs/>
      <w:noProof/>
      <w:sz w:val="16"/>
      <w:szCs w:val="18"/>
      <w:lang w:val="en-US"/>
    </w:rPr>
  </w:style>
  <w:style w:type="character" w:customStyle="1" w:styleId="2FootnotesChar">
    <w:name w:val="2. Footnotes Char"/>
    <w:link w:val="2Footnotes"/>
    <w:rsid w:val="00946751"/>
    <w:rPr>
      <w:rFonts w:ascii="Verdana" w:eastAsia="Times New Roman" w:hAnsi="Verdana" w:cs="Palatino-Italic"/>
      <w:iCs/>
      <w:noProof/>
      <w:sz w:val="16"/>
      <w:szCs w:val="18"/>
      <w:lang w:val="en-US"/>
    </w:rPr>
  </w:style>
  <w:style w:type="paragraph" w:styleId="TOC3">
    <w:name w:val="toc 3"/>
    <w:basedOn w:val="Normal"/>
    <w:next w:val="Normal"/>
    <w:autoRedefine/>
    <w:uiPriority w:val="39"/>
    <w:unhideWhenUsed/>
    <w:rsid w:val="0027585F"/>
    <w:pPr>
      <w:spacing w:after="100"/>
      <w:ind w:left="440"/>
    </w:pPr>
  </w:style>
  <w:style w:type="paragraph" w:customStyle="1" w:styleId="leyescontenido">
    <w:name w:val="leyes_contenido"/>
    <w:basedOn w:val="Normal"/>
    <w:rsid w:val="007A444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Heading23">
    <w:name w:val="Heading 2.3"/>
    <w:basedOn w:val="Normal"/>
    <w:uiPriority w:val="99"/>
    <w:qFormat/>
    <w:rsid w:val="00252507"/>
    <w:pPr>
      <w:spacing w:after="0" w:line="240" w:lineRule="auto"/>
      <w:jc w:val="both"/>
    </w:pPr>
    <w:rPr>
      <w:rFonts w:ascii="Verdana" w:eastAsia="Calibri" w:hAnsi="Verdana" w:cs="Times New Roman"/>
      <w:sz w:val="16"/>
      <w:szCs w:val="16"/>
      <w:vertAlign w:val="superscript"/>
      <w:lang w:val="x-none" w:eastAsia="x-none"/>
    </w:rPr>
  </w:style>
  <w:style w:type="character" w:styleId="PageNumber">
    <w:name w:val="page number"/>
    <w:basedOn w:val="DefaultParagraphFont"/>
    <w:uiPriority w:val="99"/>
    <w:semiHidden/>
    <w:unhideWhenUsed/>
    <w:rsid w:val="0027007E"/>
  </w:style>
  <w:style w:type="character" w:customStyle="1" w:styleId="ListParagraphChar1">
    <w:name w:val="List Paragraph Char1"/>
    <w:aliases w:val="Colorful List - Accent 11 Char1,Lista vistosa - Énfasis 11 Char1,Footnote Char1,List Paragraph1 Char1,Párrafo de lista1 Char1,List Paragraph2 Char1"/>
    <w:basedOn w:val="DefaultParagraphFont"/>
    <w:locked/>
    <w:rsid w:val="0027007E"/>
    <w:rPr>
      <w:rFonts w:ascii="Cambria" w:eastAsia="Cambria" w:hAnsi="Cambria" w:cs="Cambria"/>
      <w:color w:val="000000"/>
      <w:sz w:val="24"/>
      <w:szCs w:val="24"/>
      <w:u w:color="00000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698">
      <w:bodyDiv w:val="1"/>
      <w:marLeft w:val="0"/>
      <w:marRight w:val="0"/>
      <w:marTop w:val="0"/>
      <w:marBottom w:val="0"/>
      <w:divBdr>
        <w:top w:val="none" w:sz="0" w:space="0" w:color="auto"/>
        <w:left w:val="none" w:sz="0" w:space="0" w:color="auto"/>
        <w:bottom w:val="none" w:sz="0" w:space="0" w:color="auto"/>
        <w:right w:val="none" w:sz="0" w:space="0" w:color="auto"/>
      </w:divBdr>
    </w:div>
    <w:div w:id="32077797">
      <w:bodyDiv w:val="1"/>
      <w:marLeft w:val="0"/>
      <w:marRight w:val="0"/>
      <w:marTop w:val="0"/>
      <w:marBottom w:val="0"/>
      <w:divBdr>
        <w:top w:val="none" w:sz="0" w:space="0" w:color="auto"/>
        <w:left w:val="none" w:sz="0" w:space="0" w:color="auto"/>
        <w:bottom w:val="none" w:sz="0" w:space="0" w:color="auto"/>
        <w:right w:val="none" w:sz="0" w:space="0" w:color="auto"/>
      </w:divBdr>
    </w:div>
    <w:div w:id="116992225">
      <w:bodyDiv w:val="1"/>
      <w:marLeft w:val="0"/>
      <w:marRight w:val="0"/>
      <w:marTop w:val="0"/>
      <w:marBottom w:val="0"/>
      <w:divBdr>
        <w:top w:val="none" w:sz="0" w:space="0" w:color="auto"/>
        <w:left w:val="none" w:sz="0" w:space="0" w:color="auto"/>
        <w:bottom w:val="none" w:sz="0" w:space="0" w:color="auto"/>
        <w:right w:val="none" w:sz="0" w:space="0" w:color="auto"/>
      </w:divBdr>
    </w:div>
    <w:div w:id="131095561">
      <w:bodyDiv w:val="1"/>
      <w:marLeft w:val="0"/>
      <w:marRight w:val="0"/>
      <w:marTop w:val="0"/>
      <w:marBottom w:val="0"/>
      <w:divBdr>
        <w:top w:val="none" w:sz="0" w:space="0" w:color="auto"/>
        <w:left w:val="none" w:sz="0" w:space="0" w:color="auto"/>
        <w:bottom w:val="none" w:sz="0" w:space="0" w:color="auto"/>
        <w:right w:val="none" w:sz="0" w:space="0" w:color="auto"/>
      </w:divBdr>
    </w:div>
    <w:div w:id="157616381">
      <w:bodyDiv w:val="1"/>
      <w:marLeft w:val="0"/>
      <w:marRight w:val="0"/>
      <w:marTop w:val="0"/>
      <w:marBottom w:val="0"/>
      <w:divBdr>
        <w:top w:val="none" w:sz="0" w:space="0" w:color="auto"/>
        <w:left w:val="none" w:sz="0" w:space="0" w:color="auto"/>
        <w:bottom w:val="none" w:sz="0" w:space="0" w:color="auto"/>
        <w:right w:val="none" w:sz="0" w:space="0" w:color="auto"/>
      </w:divBdr>
    </w:div>
    <w:div w:id="203182850">
      <w:bodyDiv w:val="1"/>
      <w:marLeft w:val="0"/>
      <w:marRight w:val="0"/>
      <w:marTop w:val="0"/>
      <w:marBottom w:val="0"/>
      <w:divBdr>
        <w:top w:val="none" w:sz="0" w:space="0" w:color="auto"/>
        <w:left w:val="none" w:sz="0" w:space="0" w:color="auto"/>
        <w:bottom w:val="none" w:sz="0" w:space="0" w:color="auto"/>
        <w:right w:val="none" w:sz="0" w:space="0" w:color="auto"/>
      </w:divBdr>
    </w:div>
    <w:div w:id="204367440">
      <w:bodyDiv w:val="1"/>
      <w:marLeft w:val="0"/>
      <w:marRight w:val="0"/>
      <w:marTop w:val="0"/>
      <w:marBottom w:val="0"/>
      <w:divBdr>
        <w:top w:val="none" w:sz="0" w:space="0" w:color="auto"/>
        <w:left w:val="none" w:sz="0" w:space="0" w:color="auto"/>
        <w:bottom w:val="none" w:sz="0" w:space="0" w:color="auto"/>
        <w:right w:val="none" w:sz="0" w:space="0" w:color="auto"/>
      </w:divBdr>
    </w:div>
    <w:div w:id="217203427">
      <w:bodyDiv w:val="1"/>
      <w:marLeft w:val="0"/>
      <w:marRight w:val="0"/>
      <w:marTop w:val="0"/>
      <w:marBottom w:val="0"/>
      <w:divBdr>
        <w:top w:val="none" w:sz="0" w:space="0" w:color="auto"/>
        <w:left w:val="none" w:sz="0" w:space="0" w:color="auto"/>
        <w:bottom w:val="none" w:sz="0" w:space="0" w:color="auto"/>
        <w:right w:val="none" w:sz="0" w:space="0" w:color="auto"/>
      </w:divBdr>
    </w:div>
    <w:div w:id="221721931">
      <w:bodyDiv w:val="1"/>
      <w:marLeft w:val="0"/>
      <w:marRight w:val="0"/>
      <w:marTop w:val="0"/>
      <w:marBottom w:val="0"/>
      <w:divBdr>
        <w:top w:val="none" w:sz="0" w:space="0" w:color="auto"/>
        <w:left w:val="none" w:sz="0" w:space="0" w:color="auto"/>
        <w:bottom w:val="none" w:sz="0" w:space="0" w:color="auto"/>
        <w:right w:val="none" w:sz="0" w:space="0" w:color="auto"/>
      </w:divBdr>
    </w:div>
    <w:div w:id="258293878">
      <w:bodyDiv w:val="1"/>
      <w:marLeft w:val="0"/>
      <w:marRight w:val="0"/>
      <w:marTop w:val="0"/>
      <w:marBottom w:val="0"/>
      <w:divBdr>
        <w:top w:val="none" w:sz="0" w:space="0" w:color="auto"/>
        <w:left w:val="none" w:sz="0" w:space="0" w:color="auto"/>
        <w:bottom w:val="none" w:sz="0" w:space="0" w:color="auto"/>
        <w:right w:val="none" w:sz="0" w:space="0" w:color="auto"/>
      </w:divBdr>
    </w:div>
    <w:div w:id="262419703">
      <w:bodyDiv w:val="1"/>
      <w:marLeft w:val="0"/>
      <w:marRight w:val="0"/>
      <w:marTop w:val="0"/>
      <w:marBottom w:val="0"/>
      <w:divBdr>
        <w:top w:val="none" w:sz="0" w:space="0" w:color="auto"/>
        <w:left w:val="none" w:sz="0" w:space="0" w:color="auto"/>
        <w:bottom w:val="none" w:sz="0" w:space="0" w:color="auto"/>
        <w:right w:val="none" w:sz="0" w:space="0" w:color="auto"/>
      </w:divBdr>
    </w:div>
    <w:div w:id="266423511">
      <w:bodyDiv w:val="1"/>
      <w:marLeft w:val="0"/>
      <w:marRight w:val="0"/>
      <w:marTop w:val="0"/>
      <w:marBottom w:val="0"/>
      <w:divBdr>
        <w:top w:val="none" w:sz="0" w:space="0" w:color="auto"/>
        <w:left w:val="none" w:sz="0" w:space="0" w:color="auto"/>
        <w:bottom w:val="none" w:sz="0" w:space="0" w:color="auto"/>
        <w:right w:val="none" w:sz="0" w:space="0" w:color="auto"/>
      </w:divBdr>
    </w:div>
    <w:div w:id="267544494">
      <w:bodyDiv w:val="1"/>
      <w:marLeft w:val="0"/>
      <w:marRight w:val="0"/>
      <w:marTop w:val="0"/>
      <w:marBottom w:val="0"/>
      <w:divBdr>
        <w:top w:val="none" w:sz="0" w:space="0" w:color="auto"/>
        <w:left w:val="none" w:sz="0" w:space="0" w:color="auto"/>
        <w:bottom w:val="none" w:sz="0" w:space="0" w:color="auto"/>
        <w:right w:val="none" w:sz="0" w:space="0" w:color="auto"/>
      </w:divBdr>
    </w:div>
    <w:div w:id="343630638">
      <w:bodyDiv w:val="1"/>
      <w:marLeft w:val="0"/>
      <w:marRight w:val="0"/>
      <w:marTop w:val="0"/>
      <w:marBottom w:val="0"/>
      <w:divBdr>
        <w:top w:val="none" w:sz="0" w:space="0" w:color="auto"/>
        <w:left w:val="none" w:sz="0" w:space="0" w:color="auto"/>
        <w:bottom w:val="none" w:sz="0" w:space="0" w:color="auto"/>
        <w:right w:val="none" w:sz="0" w:space="0" w:color="auto"/>
      </w:divBdr>
    </w:div>
    <w:div w:id="367923935">
      <w:bodyDiv w:val="1"/>
      <w:marLeft w:val="0"/>
      <w:marRight w:val="0"/>
      <w:marTop w:val="0"/>
      <w:marBottom w:val="0"/>
      <w:divBdr>
        <w:top w:val="none" w:sz="0" w:space="0" w:color="auto"/>
        <w:left w:val="none" w:sz="0" w:space="0" w:color="auto"/>
        <w:bottom w:val="none" w:sz="0" w:space="0" w:color="auto"/>
        <w:right w:val="none" w:sz="0" w:space="0" w:color="auto"/>
      </w:divBdr>
    </w:div>
    <w:div w:id="485897561">
      <w:bodyDiv w:val="1"/>
      <w:marLeft w:val="0"/>
      <w:marRight w:val="0"/>
      <w:marTop w:val="0"/>
      <w:marBottom w:val="0"/>
      <w:divBdr>
        <w:top w:val="none" w:sz="0" w:space="0" w:color="auto"/>
        <w:left w:val="none" w:sz="0" w:space="0" w:color="auto"/>
        <w:bottom w:val="none" w:sz="0" w:space="0" w:color="auto"/>
        <w:right w:val="none" w:sz="0" w:space="0" w:color="auto"/>
      </w:divBdr>
    </w:div>
    <w:div w:id="507908977">
      <w:bodyDiv w:val="1"/>
      <w:marLeft w:val="0"/>
      <w:marRight w:val="0"/>
      <w:marTop w:val="0"/>
      <w:marBottom w:val="0"/>
      <w:divBdr>
        <w:top w:val="none" w:sz="0" w:space="0" w:color="auto"/>
        <w:left w:val="none" w:sz="0" w:space="0" w:color="auto"/>
        <w:bottom w:val="none" w:sz="0" w:space="0" w:color="auto"/>
        <w:right w:val="none" w:sz="0" w:space="0" w:color="auto"/>
      </w:divBdr>
    </w:div>
    <w:div w:id="510217031">
      <w:bodyDiv w:val="1"/>
      <w:marLeft w:val="0"/>
      <w:marRight w:val="0"/>
      <w:marTop w:val="0"/>
      <w:marBottom w:val="0"/>
      <w:divBdr>
        <w:top w:val="none" w:sz="0" w:space="0" w:color="auto"/>
        <w:left w:val="none" w:sz="0" w:space="0" w:color="auto"/>
        <w:bottom w:val="none" w:sz="0" w:space="0" w:color="auto"/>
        <w:right w:val="none" w:sz="0" w:space="0" w:color="auto"/>
      </w:divBdr>
    </w:div>
    <w:div w:id="542210808">
      <w:bodyDiv w:val="1"/>
      <w:marLeft w:val="0"/>
      <w:marRight w:val="0"/>
      <w:marTop w:val="0"/>
      <w:marBottom w:val="0"/>
      <w:divBdr>
        <w:top w:val="none" w:sz="0" w:space="0" w:color="auto"/>
        <w:left w:val="none" w:sz="0" w:space="0" w:color="auto"/>
        <w:bottom w:val="none" w:sz="0" w:space="0" w:color="auto"/>
        <w:right w:val="none" w:sz="0" w:space="0" w:color="auto"/>
      </w:divBdr>
    </w:div>
    <w:div w:id="559480933">
      <w:bodyDiv w:val="1"/>
      <w:marLeft w:val="0"/>
      <w:marRight w:val="0"/>
      <w:marTop w:val="0"/>
      <w:marBottom w:val="0"/>
      <w:divBdr>
        <w:top w:val="none" w:sz="0" w:space="0" w:color="auto"/>
        <w:left w:val="none" w:sz="0" w:space="0" w:color="auto"/>
        <w:bottom w:val="none" w:sz="0" w:space="0" w:color="auto"/>
        <w:right w:val="none" w:sz="0" w:space="0" w:color="auto"/>
      </w:divBdr>
    </w:div>
    <w:div w:id="621231546">
      <w:bodyDiv w:val="1"/>
      <w:marLeft w:val="0"/>
      <w:marRight w:val="0"/>
      <w:marTop w:val="0"/>
      <w:marBottom w:val="0"/>
      <w:divBdr>
        <w:top w:val="none" w:sz="0" w:space="0" w:color="auto"/>
        <w:left w:val="none" w:sz="0" w:space="0" w:color="auto"/>
        <w:bottom w:val="none" w:sz="0" w:space="0" w:color="auto"/>
        <w:right w:val="none" w:sz="0" w:space="0" w:color="auto"/>
      </w:divBdr>
    </w:div>
    <w:div w:id="634483224">
      <w:bodyDiv w:val="1"/>
      <w:marLeft w:val="0"/>
      <w:marRight w:val="0"/>
      <w:marTop w:val="0"/>
      <w:marBottom w:val="0"/>
      <w:divBdr>
        <w:top w:val="none" w:sz="0" w:space="0" w:color="auto"/>
        <w:left w:val="none" w:sz="0" w:space="0" w:color="auto"/>
        <w:bottom w:val="none" w:sz="0" w:space="0" w:color="auto"/>
        <w:right w:val="none" w:sz="0" w:space="0" w:color="auto"/>
      </w:divBdr>
    </w:div>
    <w:div w:id="674961324">
      <w:bodyDiv w:val="1"/>
      <w:marLeft w:val="0"/>
      <w:marRight w:val="0"/>
      <w:marTop w:val="0"/>
      <w:marBottom w:val="0"/>
      <w:divBdr>
        <w:top w:val="none" w:sz="0" w:space="0" w:color="auto"/>
        <w:left w:val="none" w:sz="0" w:space="0" w:color="auto"/>
        <w:bottom w:val="none" w:sz="0" w:space="0" w:color="auto"/>
        <w:right w:val="none" w:sz="0" w:space="0" w:color="auto"/>
      </w:divBdr>
    </w:div>
    <w:div w:id="688025307">
      <w:bodyDiv w:val="1"/>
      <w:marLeft w:val="0"/>
      <w:marRight w:val="0"/>
      <w:marTop w:val="0"/>
      <w:marBottom w:val="0"/>
      <w:divBdr>
        <w:top w:val="none" w:sz="0" w:space="0" w:color="auto"/>
        <w:left w:val="none" w:sz="0" w:space="0" w:color="auto"/>
        <w:bottom w:val="none" w:sz="0" w:space="0" w:color="auto"/>
        <w:right w:val="none" w:sz="0" w:space="0" w:color="auto"/>
      </w:divBdr>
    </w:div>
    <w:div w:id="711464196">
      <w:bodyDiv w:val="1"/>
      <w:marLeft w:val="0"/>
      <w:marRight w:val="0"/>
      <w:marTop w:val="0"/>
      <w:marBottom w:val="0"/>
      <w:divBdr>
        <w:top w:val="none" w:sz="0" w:space="0" w:color="auto"/>
        <w:left w:val="none" w:sz="0" w:space="0" w:color="auto"/>
        <w:bottom w:val="none" w:sz="0" w:space="0" w:color="auto"/>
        <w:right w:val="none" w:sz="0" w:space="0" w:color="auto"/>
      </w:divBdr>
    </w:div>
    <w:div w:id="741411762">
      <w:bodyDiv w:val="1"/>
      <w:marLeft w:val="0"/>
      <w:marRight w:val="0"/>
      <w:marTop w:val="0"/>
      <w:marBottom w:val="0"/>
      <w:divBdr>
        <w:top w:val="none" w:sz="0" w:space="0" w:color="auto"/>
        <w:left w:val="none" w:sz="0" w:space="0" w:color="auto"/>
        <w:bottom w:val="none" w:sz="0" w:space="0" w:color="auto"/>
        <w:right w:val="none" w:sz="0" w:space="0" w:color="auto"/>
      </w:divBdr>
    </w:div>
    <w:div w:id="822508205">
      <w:bodyDiv w:val="1"/>
      <w:marLeft w:val="0"/>
      <w:marRight w:val="0"/>
      <w:marTop w:val="0"/>
      <w:marBottom w:val="0"/>
      <w:divBdr>
        <w:top w:val="none" w:sz="0" w:space="0" w:color="auto"/>
        <w:left w:val="none" w:sz="0" w:space="0" w:color="auto"/>
        <w:bottom w:val="none" w:sz="0" w:space="0" w:color="auto"/>
        <w:right w:val="none" w:sz="0" w:space="0" w:color="auto"/>
      </w:divBdr>
    </w:div>
    <w:div w:id="837841715">
      <w:bodyDiv w:val="1"/>
      <w:marLeft w:val="0"/>
      <w:marRight w:val="0"/>
      <w:marTop w:val="0"/>
      <w:marBottom w:val="0"/>
      <w:divBdr>
        <w:top w:val="none" w:sz="0" w:space="0" w:color="auto"/>
        <w:left w:val="none" w:sz="0" w:space="0" w:color="auto"/>
        <w:bottom w:val="none" w:sz="0" w:space="0" w:color="auto"/>
        <w:right w:val="none" w:sz="0" w:space="0" w:color="auto"/>
      </w:divBdr>
      <w:divsChild>
        <w:div w:id="684525601">
          <w:marLeft w:val="0"/>
          <w:marRight w:val="0"/>
          <w:marTop w:val="0"/>
          <w:marBottom w:val="0"/>
          <w:divBdr>
            <w:top w:val="none" w:sz="0" w:space="0" w:color="auto"/>
            <w:left w:val="none" w:sz="0" w:space="0" w:color="auto"/>
            <w:bottom w:val="none" w:sz="0" w:space="0" w:color="auto"/>
            <w:right w:val="none" w:sz="0" w:space="0" w:color="auto"/>
          </w:divBdr>
        </w:div>
        <w:div w:id="1487549216">
          <w:marLeft w:val="0"/>
          <w:marRight w:val="0"/>
          <w:marTop w:val="0"/>
          <w:marBottom w:val="0"/>
          <w:divBdr>
            <w:top w:val="none" w:sz="0" w:space="0" w:color="auto"/>
            <w:left w:val="none" w:sz="0" w:space="0" w:color="auto"/>
            <w:bottom w:val="none" w:sz="0" w:space="0" w:color="auto"/>
            <w:right w:val="none" w:sz="0" w:space="0" w:color="auto"/>
          </w:divBdr>
        </w:div>
        <w:div w:id="1805998214">
          <w:marLeft w:val="0"/>
          <w:marRight w:val="0"/>
          <w:marTop w:val="0"/>
          <w:marBottom w:val="0"/>
          <w:divBdr>
            <w:top w:val="none" w:sz="0" w:space="0" w:color="auto"/>
            <w:left w:val="none" w:sz="0" w:space="0" w:color="auto"/>
            <w:bottom w:val="none" w:sz="0" w:space="0" w:color="auto"/>
            <w:right w:val="none" w:sz="0" w:space="0" w:color="auto"/>
          </w:divBdr>
        </w:div>
        <w:div w:id="2093506256">
          <w:marLeft w:val="0"/>
          <w:marRight w:val="0"/>
          <w:marTop w:val="0"/>
          <w:marBottom w:val="0"/>
          <w:divBdr>
            <w:top w:val="none" w:sz="0" w:space="0" w:color="auto"/>
            <w:left w:val="none" w:sz="0" w:space="0" w:color="auto"/>
            <w:bottom w:val="none" w:sz="0" w:space="0" w:color="auto"/>
            <w:right w:val="none" w:sz="0" w:space="0" w:color="auto"/>
          </w:divBdr>
        </w:div>
      </w:divsChild>
    </w:div>
    <w:div w:id="851378863">
      <w:bodyDiv w:val="1"/>
      <w:marLeft w:val="0"/>
      <w:marRight w:val="0"/>
      <w:marTop w:val="0"/>
      <w:marBottom w:val="0"/>
      <w:divBdr>
        <w:top w:val="none" w:sz="0" w:space="0" w:color="auto"/>
        <w:left w:val="none" w:sz="0" w:space="0" w:color="auto"/>
        <w:bottom w:val="none" w:sz="0" w:space="0" w:color="auto"/>
        <w:right w:val="none" w:sz="0" w:space="0" w:color="auto"/>
      </w:divBdr>
    </w:div>
    <w:div w:id="864945891">
      <w:bodyDiv w:val="1"/>
      <w:marLeft w:val="0"/>
      <w:marRight w:val="0"/>
      <w:marTop w:val="0"/>
      <w:marBottom w:val="0"/>
      <w:divBdr>
        <w:top w:val="none" w:sz="0" w:space="0" w:color="auto"/>
        <w:left w:val="none" w:sz="0" w:space="0" w:color="auto"/>
        <w:bottom w:val="none" w:sz="0" w:space="0" w:color="auto"/>
        <w:right w:val="none" w:sz="0" w:space="0" w:color="auto"/>
      </w:divBdr>
    </w:div>
    <w:div w:id="918951810">
      <w:bodyDiv w:val="1"/>
      <w:marLeft w:val="0"/>
      <w:marRight w:val="0"/>
      <w:marTop w:val="0"/>
      <w:marBottom w:val="0"/>
      <w:divBdr>
        <w:top w:val="none" w:sz="0" w:space="0" w:color="auto"/>
        <w:left w:val="none" w:sz="0" w:space="0" w:color="auto"/>
        <w:bottom w:val="none" w:sz="0" w:space="0" w:color="auto"/>
        <w:right w:val="none" w:sz="0" w:space="0" w:color="auto"/>
      </w:divBdr>
    </w:div>
    <w:div w:id="957640642">
      <w:bodyDiv w:val="1"/>
      <w:marLeft w:val="0"/>
      <w:marRight w:val="0"/>
      <w:marTop w:val="0"/>
      <w:marBottom w:val="0"/>
      <w:divBdr>
        <w:top w:val="none" w:sz="0" w:space="0" w:color="auto"/>
        <w:left w:val="none" w:sz="0" w:space="0" w:color="auto"/>
        <w:bottom w:val="none" w:sz="0" w:space="0" w:color="auto"/>
        <w:right w:val="none" w:sz="0" w:space="0" w:color="auto"/>
      </w:divBdr>
    </w:div>
    <w:div w:id="966928518">
      <w:bodyDiv w:val="1"/>
      <w:marLeft w:val="0"/>
      <w:marRight w:val="0"/>
      <w:marTop w:val="0"/>
      <w:marBottom w:val="0"/>
      <w:divBdr>
        <w:top w:val="none" w:sz="0" w:space="0" w:color="auto"/>
        <w:left w:val="none" w:sz="0" w:space="0" w:color="auto"/>
        <w:bottom w:val="none" w:sz="0" w:space="0" w:color="auto"/>
        <w:right w:val="none" w:sz="0" w:space="0" w:color="auto"/>
      </w:divBdr>
    </w:div>
    <w:div w:id="991786214">
      <w:bodyDiv w:val="1"/>
      <w:marLeft w:val="0"/>
      <w:marRight w:val="0"/>
      <w:marTop w:val="0"/>
      <w:marBottom w:val="0"/>
      <w:divBdr>
        <w:top w:val="none" w:sz="0" w:space="0" w:color="auto"/>
        <w:left w:val="none" w:sz="0" w:space="0" w:color="auto"/>
        <w:bottom w:val="none" w:sz="0" w:space="0" w:color="auto"/>
        <w:right w:val="none" w:sz="0" w:space="0" w:color="auto"/>
      </w:divBdr>
    </w:div>
    <w:div w:id="1010912338">
      <w:bodyDiv w:val="1"/>
      <w:marLeft w:val="0"/>
      <w:marRight w:val="0"/>
      <w:marTop w:val="0"/>
      <w:marBottom w:val="0"/>
      <w:divBdr>
        <w:top w:val="none" w:sz="0" w:space="0" w:color="auto"/>
        <w:left w:val="none" w:sz="0" w:space="0" w:color="auto"/>
        <w:bottom w:val="none" w:sz="0" w:space="0" w:color="auto"/>
        <w:right w:val="none" w:sz="0" w:space="0" w:color="auto"/>
      </w:divBdr>
    </w:div>
    <w:div w:id="1017200513">
      <w:bodyDiv w:val="1"/>
      <w:marLeft w:val="0"/>
      <w:marRight w:val="0"/>
      <w:marTop w:val="0"/>
      <w:marBottom w:val="0"/>
      <w:divBdr>
        <w:top w:val="none" w:sz="0" w:space="0" w:color="auto"/>
        <w:left w:val="none" w:sz="0" w:space="0" w:color="auto"/>
        <w:bottom w:val="none" w:sz="0" w:space="0" w:color="auto"/>
        <w:right w:val="none" w:sz="0" w:space="0" w:color="auto"/>
      </w:divBdr>
    </w:div>
    <w:div w:id="1021668869">
      <w:bodyDiv w:val="1"/>
      <w:marLeft w:val="0"/>
      <w:marRight w:val="0"/>
      <w:marTop w:val="0"/>
      <w:marBottom w:val="0"/>
      <w:divBdr>
        <w:top w:val="none" w:sz="0" w:space="0" w:color="auto"/>
        <w:left w:val="none" w:sz="0" w:space="0" w:color="auto"/>
        <w:bottom w:val="none" w:sz="0" w:space="0" w:color="auto"/>
        <w:right w:val="none" w:sz="0" w:space="0" w:color="auto"/>
      </w:divBdr>
    </w:div>
    <w:div w:id="1037198960">
      <w:bodyDiv w:val="1"/>
      <w:marLeft w:val="0"/>
      <w:marRight w:val="0"/>
      <w:marTop w:val="0"/>
      <w:marBottom w:val="0"/>
      <w:divBdr>
        <w:top w:val="none" w:sz="0" w:space="0" w:color="auto"/>
        <w:left w:val="none" w:sz="0" w:space="0" w:color="auto"/>
        <w:bottom w:val="none" w:sz="0" w:space="0" w:color="auto"/>
        <w:right w:val="none" w:sz="0" w:space="0" w:color="auto"/>
      </w:divBdr>
    </w:div>
    <w:div w:id="1046175918">
      <w:bodyDiv w:val="1"/>
      <w:marLeft w:val="0"/>
      <w:marRight w:val="0"/>
      <w:marTop w:val="0"/>
      <w:marBottom w:val="0"/>
      <w:divBdr>
        <w:top w:val="none" w:sz="0" w:space="0" w:color="auto"/>
        <w:left w:val="none" w:sz="0" w:space="0" w:color="auto"/>
        <w:bottom w:val="none" w:sz="0" w:space="0" w:color="auto"/>
        <w:right w:val="none" w:sz="0" w:space="0" w:color="auto"/>
      </w:divBdr>
    </w:div>
    <w:div w:id="1061096957">
      <w:bodyDiv w:val="1"/>
      <w:marLeft w:val="0"/>
      <w:marRight w:val="0"/>
      <w:marTop w:val="0"/>
      <w:marBottom w:val="0"/>
      <w:divBdr>
        <w:top w:val="none" w:sz="0" w:space="0" w:color="auto"/>
        <w:left w:val="none" w:sz="0" w:space="0" w:color="auto"/>
        <w:bottom w:val="none" w:sz="0" w:space="0" w:color="auto"/>
        <w:right w:val="none" w:sz="0" w:space="0" w:color="auto"/>
      </w:divBdr>
    </w:div>
    <w:div w:id="1063944113">
      <w:bodyDiv w:val="1"/>
      <w:marLeft w:val="0"/>
      <w:marRight w:val="0"/>
      <w:marTop w:val="0"/>
      <w:marBottom w:val="0"/>
      <w:divBdr>
        <w:top w:val="none" w:sz="0" w:space="0" w:color="auto"/>
        <w:left w:val="none" w:sz="0" w:space="0" w:color="auto"/>
        <w:bottom w:val="none" w:sz="0" w:space="0" w:color="auto"/>
        <w:right w:val="none" w:sz="0" w:space="0" w:color="auto"/>
      </w:divBdr>
    </w:div>
    <w:div w:id="1102530423">
      <w:bodyDiv w:val="1"/>
      <w:marLeft w:val="0"/>
      <w:marRight w:val="0"/>
      <w:marTop w:val="0"/>
      <w:marBottom w:val="0"/>
      <w:divBdr>
        <w:top w:val="none" w:sz="0" w:space="0" w:color="auto"/>
        <w:left w:val="none" w:sz="0" w:space="0" w:color="auto"/>
        <w:bottom w:val="none" w:sz="0" w:space="0" w:color="auto"/>
        <w:right w:val="none" w:sz="0" w:space="0" w:color="auto"/>
      </w:divBdr>
    </w:div>
    <w:div w:id="1119035624">
      <w:bodyDiv w:val="1"/>
      <w:marLeft w:val="0"/>
      <w:marRight w:val="0"/>
      <w:marTop w:val="0"/>
      <w:marBottom w:val="0"/>
      <w:divBdr>
        <w:top w:val="none" w:sz="0" w:space="0" w:color="auto"/>
        <w:left w:val="none" w:sz="0" w:space="0" w:color="auto"/>
        <w:bottom w:val="none" w:sz="0" w:space="0" w:color="auto"/>
        <w:right w:val="none" w:sz="0" w:space="0" w:color="auto"/>
      </w:divBdr>
    </w:div>
    <w:div w:id="1136919367">
      <w:bodyDiv w:val="1"/>
      <w:marLeft w:val="0"/>
      <w:marRight w:val="0"/>
      <w:marTop w:val="0"/>
      <w:marBottom w:val="0"/>
      <w:divBdr>
        <w:top w:val="none" w:sz="0" w:space="0" w:color="auto"/>
        <w:left w:val="none" w:sz="0" w:space="0" w:color="auto"/>
        <w:bottom w:val="none" w:sz="0" w:space="0" w:color="auto"/>
        <w:right w:val="none" w:sz="0" w:space="0" w:color="auto"/>
      </w:divBdr>
    </w:div>
    <w:div w:id="1165165769">
      <w:bodyDiv w:val="1"/>
      <w:marLeft w:val="0"/>
      <w:marRight w:val="0"/>
      <w:marTop w:val="0"/>
      <w:marBottom w:val="0"/>
      <w:divBdr>
        <w:top w:val="none" w:sz="0" w:space="0" w:color="auto"/>
        <w:left w:val="none" w:sz="0" w:space="0" w:color="auto"/>
        <w:bottom w:val="none" w:sz="0" w:space="0" w:color="auto"/>
        <w:right w:val="none" w:sz="0" w:space="0" w:color="auto"/>
      </w:divBdr>
    </w:div>
    <w:div w:id="1185174824">
      <w:bodyDiv w:val="1"/>
      <w:marLeft w:val="0"/>
      <w:marRight w:val="0"/>
      <w:marTop w:val="0"/>
      <w:marBottom w:val="0"/>
      <w:divBdr>
        <w:top w:val="none" w:sz="0" w:space="0" w:color="auto"/>
        <w:left w:val="none" w:sz="0" w:space="0" w:color="auto"/>
        <w:bottom w:val="none" w:sz="0" w:space="0" w:color="auto"/>
        <w:right w:val="none" w:sz="0" w:space="0" w:color="auto"/>
      </w:divBdr>
    </w:div>
    <w:div w:id="1239361238">
      <w:bodyDiv w:val="1"/>
      <w:marLeft w:val="0"/>
      <w:marRight w:val="0"/>
      <w:marTop w:val="0"/>
      <w:marBottom w:val="0"/>
      <w:divBdr>
        <w:top w:val="none" w:sz="0" w:space="0" w:color="auto"/>
        <w:left w:val="none" w:sz="0" w:space="0" w:color="auto"/>
        <w:bottom w:val="none" w:sz="0" w:space="0" w:color="auto"/>
        <w:right w:val="none" w:sz="0" w:space="0" w:color="auto"/>
      </w:divBdr>
    </w:div>
    <w:div w:id="1279139967">
      <w:bodyDiv w:val="1"/>
      <w:marLeft w:val="0"/>
      <w:marRight w:val="0"/>
      <w:marTop w:val="0"/>
      <w:marBottom w:val="0"/>
      <w:divBdr>
        <w:top w:val="none" w:sz="0" w:space="0" w:color="auto"/>
        <w:left w:val="none" w:sz="0" w:space="0" w:color="auto"/>
        <w:bottom w:val="none" w:sz="0" w:space="0" w:color="auto"/>
        <w:right w:val="none" w:sz="0" w:space="0" w:color="auto"/>
      </w:divBdr>
    </w:div>
    <w:div w:id="1293945247">
      <w:bodyDiv w:val="1"/>
      <w:marLeft w:val="0"/>
      <w:marRight w:val="0"/>
      <w:marTop w:val="0"/>
      <w:marBottom w:val="0"/>
      <w:divBdr>
        <w:top w:val="none" w:sz="0" w:space="0" w:color="auto"/>
        <w:left w:val="none" w:sz="0" w:space="0" w:color="auto"/>
        <w:bottom w:val="none" w:sz="0" w:space="0" w:color="auto"/>
        <w:right w:val="none" w:sz="0" w:space="0" w:color="auto"/>
      </w:divBdr>
    </w:div>
    <w:div w:id="1309017951">
      <w:bodyDiv w:val="1"/>
      <w:marLeft w:val="0"/>
      <w:marRight w:val="0"/>
      <w:marTop w:val="0"/>
      <w:marBottom w:val="0"/>
      <w:divBdr>
        <w:top w:val="none" w:sz="0" w:space="0" w:color="auto"/>
        <w:left w:val="none" w:sz="0" w:space="0" w:color="auto"/>
        <w:bottom w:val="none" w:sz="0" w:space="0" w:color="auto"/>
        <w:right w:val="none" w:sz="0" w:space="0" w:color="auto"/>
      </w:divBdr>
    </w:div>
    <w:div w:id="1312949225">
      <w:bodyDiv w:val="1"/>
      <w:marLeft w:val="0"/>
      <w:marRight w:val="0"/>
      <w:marTop w:val="0"/>
      <w:marBottom w:val="0"/>
      <w:divBdr>
        <w:top w:val="none" w:sz="0" w:space="0" w:color="auto"/>
        <w:left w:val="none" w:sz="0" w:space="0" w:color="auto"/>
        <w:bottom w:val="none" w:sz="0" w:space="0" w:color="auto"/>
        <w:right w:val="none" w:sz="0" w:space="0" w:color="auto"/>
      </w:divBdr>
    </w:div>
    <w:div w:id="1315641491">
      <w:bodyDiv w:val="1"/>
      <w:marLeft w:val="0"/>
      <w:marRight w:val="0"/>
      <w:marTop w:val="0"/>
      <w:marBottom w:val="0"/>
      <w:divBdr>
        <w:top w:val="none" w:sz="0" w:space="0" w:color="auto"/>
        <w:left w:val="none" w:sz="0" w:space="0" w:color="auto"/>
        <w:bottom w:val="none" w:sz="0" w:space="0" w:color="auto"/>
        <w:right w:val="none" w:sz="0" w:space="0" w:color="auto"/>
      </w:divBdr>
    </w:div>
    <w:div w:id="1335840593">
      <w:bodyDiv w:val="1"/>
      <w:marLeft w:val="0"/>
      <w:marRight w:val="0"/>
      <w:marTop w:val="0"/>
      <w:marBottom w:val="0"/>
      <w:divBdr>
        <w:top w:val="none" w:sz="0" w:space="0" w:color="auto"/>
        <w:left w:val="none" w:sz="0" w:space="0" w:color="auto"/>
        <w:bottom w:val="none" w:sz="0" w:space="0" w:color="auto"/>
        <w:right w:val="none" w:sz="0" w:space="0" w:color="auto"/>
      </w:divBdr>
      <w:divsChild>
        <w:div w:id="1093550547">
          <w:marLeft w:val="0"/>
          <w:marRight w:val="0"/>
          <w:marTop w:val="0"/>
          <w:marBottom w:val="0"/>
          <w:divBdr>
            <w:top w:val="none" w:sz="0" w:space="0" w:color="auto"/>
            <w:left w:val="none" w:sz="0" w:space="0" w:color="auto"/>
            <w:bottom w:val="none" w:sz="0" w:space="0" w:color="auto"/>
            <w:right w:val="none" w:sz="0" w:space="0" w:color="auto"/>
          </w:divBdr>
        </w:div>
        <w:div w:id="1206024759">
          <w:marLeft w:val="0"/>
          <w:marRight w:val="0"/>
          <w:marTop w:val="0"/>
          <w:marBottom w:val="0"/>
          <w:divBdr>
            <w:top w:val="none" w:sz="0" w:space="0" w:color="auto"/>
            <w:left w:val="none" w:sz="0" w:space="0" w:color="auto"/>
            <w:bottom w:val="none" w:sz="0" w:space="0" w:color="auto"/>
            <w:right w:val="none" w:sz="0" w:space="0" w:color="auto"/>
          </w:divBdr>
        </w:div>
        <w:div w:id="1327324830">
          <w:marLeft w:val="0"/>
          <w:marRight w:val="0"/>
          <w:marTop w:val="0"/>
          <w:marBottom w:val="0"/>
          <w:divBdr>
            <w:top w:val="none" w:sz="0" w:space="0" w:color="auto"/>
            <w:left w:val="none" w:sz="0" w:space="0" w:color="auto"/>
            <w:bottom w:val="none" w:sz="0" w:space="0" w:color="auto"/>
            <w:right w:val="none" w:sz="0" w:space="0" w:color="auto"/>
          </w:divBdr>
        </w:div>
        <w:div w:id="1901821229">
          <w:marLeft w:val="0"/>
          <w:marRight w:val="0"/>
          <w:marTop w:val="0"/>
          <w:marBottom w:val="0"/>
          <w:divBdr>
            <w:top w:val="none" w:sz="0" w:space="0" w:color="auto"/>
            <w:left w:val="none" w:sz="0" w:space="0" w:color="auto"/>
            <w:bottom w:val="none" w:sz="0" w:space="0" w:color="auto"/>
            <w:right w:val="none" w:sz="0" w:space="0" w:color="auto"/>
          </w:divBdr>
        </w:div>
      </w:divsChild>
    </w:div>
    <w:div w:id="1405831668">
      <w:bodyDiv w:val="1"/>
      <w:marLeft w:val="0"/>
      <w:marRight w:val="0"/>
      <w:marTop w:val="0"/>
      <w:marBottom w:val="0"/>
      <w:divBdr>
        <w:top w:val="none" w:sz="0" w:space="0" w:color="auto"/>
        <w:left w:val="none" w:sz="0" w:space="0" w:color="auto"/>
        <w:bottom w:val="none" w:sz="0" w:space="0" w:color="auto"/>
        <w:right w:val="none" w:sz="0" w:space="0" w:color="auto"/>
      </w:divBdr>
    </w:div>
    <w:div w:id="1426875959">
      <w:bodyDiv w:val="1"/>
      <w:marLeft w:val="0"/>
      <w:marRight w:val="0"/>
      <w:marTop w:val="0"/>
      <w:marBottom w:val="0"/>
      <w:divBdr>
        <w:top w:val="none" w:sz="0" w:space="0" w:color="auto"/>
        <w:left w:val="none" w:sz="0" w:space="0" w:color="auto"/>
        <w:bottom w:val="none" w:sz="0" w:space="0" w:color="auto"/>
        <w:right w:val="none" w:sz="0" w:space="0" w:color="auto"/>
      </w:divBdr>
    </w:div>
    <w:div w:id="1470973946">
      <w:bodyDiv w:val="1"/>
      <w:marLeft w:val="0"/>
      <w:marRight w:val="0"/>
      <w:marTop w:val="0"/>
      <w:marBottom w:val="0"/>
      <w:divBdr>
        <w:top w:val="none" w:sz="0" w:space="0" w:color="auto"/>
        <w:left w:val="none" w:sz="0" w:space="0" w:color="auto"/>
        <w:bottom w:val="none" w:sz="0" w:space="0" w:color="auto"/>
        <w:right w:val="none" w:sz="0" w:space="0" w:color="auto"/>
      </w:divBdr>
    </w:div>
    <w:div w:id="1490050435">
      <w:bodyDiv w:val="1"/>
      <w:marLeft w:val="0"/>
      <w:marRight w:val="0"/>
      <w:marTop w:val="0"/>
      <w:marBottom w:val="0"/>
      <w:divBdr>
        <w:top w:val="none" w:sz="0" w:space="0" w:color="auto"/>
        <w:left w:val="none" w:sz="0" w:space="0" w:color="auto"/>
        <w:bottom w:val="none" w:sz="0" w:space="0" w:color="auto"/>
        <w:right w:val="none" w:sz="0" w:space="0" w:color="auto"/>
      </w:divBdr>
    </w:div>
    <w:div w:id="1496264832">
      <w:bodyDiv w:val="1"/>
      <w:marLeft w:val="0"/>
      <w:marRight w:val="0"/>
      <w:marTop w:val="0"/>
      <w:marBottom w:val="0"/>
      <w:divBdr>
        <w:top w:val="none" w:sz="0" w:space="0" w:color="auto"/>
        <w:left w:val="none" w:sz="0" w:space="0" w:color="auto"/>
        <w:bottom w:val="none" w:sz="0" w:space="0" w:color="auto"/>
        <w:right w:val="none" w:sz="0" w:space="0" w:color="auto"/>
      </w:divBdr>
    </w:div>
    <w:div w:id="1523860731">
      <w:bodyDiv w:val="1"/>
      <w:marLeft w:val="0"/>
      <w:marRight w:val="0"/>
      <w:marTop w:val="0"/>
      <w:marBottom w:val="0"/>
      <w:divBdr>
        <w:top w:val="none" w:sz="0" w:space="0" w:color="auto"/>
        <w:left w:val="none" w:sz="0" w:space="0" w:color="auto"/>
        <w:bottom w:val="none" w:sz="0" w:space="0" w:color="auto"/>
        <w:right w:val="none" w:sz="0" w:space="0" w:color="auto"/>
      </w:divBdr>
    </w:div>
    <w:div w:id="1531722864">
      <w:bodyDiv w:val="1"/>
      <w:marLeft w:val="0"/>
      <w:marRight w:val="0"/>
      <w:marTop w:val="0"/>
      <w:marBottom w:val="0"/>
      <w:divBdr>
        <w:top w:val="none" w:sz="0" w:space="0" w:color="auto"/>
        <w:left w:val="none" w:sz="0" w:space="0" w:color="auto"/>
        <w:bottom w:val="none" w:sz="0" w:space="0" w:color="auto"/>
        <w:right w:val="none" w:sz="0" w:space="0" w:color="auto"/>
      </w:divBdr>
    </w:div>
    <w:div w:id="1537544911">
      <w:bodyDiv w:val="1"/>
      <w:marLeft w:val="0"/>
      <w:marRight w:val="0"/>
      <w:marTop w:val="0"/>
      <w:marBottom w:val="0"/>
      <w:divBdr>
        <w:top w:val="none" w:sz="0" w:space="0" w:color="auto"/>
        <w:left w:val="none" w:sz="0" w:space="0" w:color="auto"/>
        <w:bottom w:val="none" w:sz="0" w:space="0" w:color="auto"/>
        <w:right w:val="none" w:sz="0" w:space="0" w:color="auto"/>
      </w:divBdr>
    </w:div>
    <w:div w:id="1589076464">
      <w:bodyDiv w:val="1"/>
      <w:marLeft w:val="0"/>
      <w:marRight w:val="0"/>
      <w:marTop w:val="0"/>
      <w:marBottom w:val="0"/>
      <w:divBdr>
        <w:top w:val="none" w:sz="0" w:space="0" w:color="auto"/>
        <w:left w:val="none" w:sz="0" w:space="0" w:color="auto"/>
        <w:bottom w:val="none" w:sz="0" w:space="0" w:color="auto"/>
        <w:right w:val="none" w:sz="0" w:space="0" w:color="auto"/>
      </w:divBdr>
    </w:div>
    <w:div w:id="1616516767">
      <w:bodyDiv w:val="1"/>
      <w:marLeft w:val="0"/>
      <w:marRight w:val="0"/>
      <w:marTop w:val="0"/>
      <w:marBottom w:val="0"/>
      <w:divBdr>
        <w:top w:val="none" w:sz="0" w:space="0" w:color="auto"/>
        <w:left w:val="none" w:sz="0" w:space="0" w:color="auto"/>
        <w:bottom w:val="none" w:sz="0" w:space="0" w:color="auto"/>
        <w:right w:val="none" w:sz="0" w:space="0" w:color="auto"/>
      </w:divBdr>
    </w:div>
    <w:div w:id="1616518084">
      <w:bodyDiv w:val="1"/>
      <w:marLeft w:val="0"/>
      <w:marRight w:val="0"/>
      <w:marTop w:val="0"/>
      <w:marBottom w:val="0"/>
      <w:divBdr>
        <w:top w:val="none" w:sz="0" w:space="0" w:color="auto"/>
        <w:left w:val="none" w:sz="0" w:space="0" w:color="auto"/>
        <w:bottom w:val="none" w:sz="0" w:space="0" w:color="auto"/>
        <w:right w:val="none" w:sz="0" w:space="0" w:color="auto"/>
      </w:divBdr>
    </w:div>
    <w:div w:id="1622807589">
      <w:bodyDiv w:val="1"/>
      <w:marLeft w:val="0"/>
      <w:marRight w:val="0"/>
      <w:marTop w:val="0"/>
      <w:marBottom w:val="0"/>
      <w:divBdr>
        <w:top w:val="none" w:sz="0" w:space="0" w:color="auto"/>
        <w:left w:val="none" w:sz="0" w:space="0" w:color="auto"/>
        <w:bottom w:val="none" w:sz="0" w:space="0" w:color="auto"/>
        <w:right w:val="none" w:sz="0" w:space="0" w:color="auto"/>
      </w:divBdr>
    </w:div>
    <w:div w:id="1640190683">
      <w:bodyDiv w:val="1"/>
      <w:marLeft w:val="0"/>
      <w:marRight w:val="0"/>
      <w:marTop w:val="0"/>
      <w:marBottom w:val="0"/>
      <w:divBdr>
        <w:top w:val="none" w:sz="0" w:space="0" w:color="auto"/>
        <w:left w:val="none" w:sz="0" w:space="0" w:color="auto"/>
        <w:bottom w:val="none" w:sz="0" w:space="0" w:color="auto"/>
        <w:right w:val="none" w:sz="0" w:space="0" w:color="auto"/>
      </w:divBdr>
    </w:div>
    <w:div w:id="1652246671">
      <w:bodyDiv w:val="1"/>
      <w:marLeft w:val="0"/>
      <w:marRight w:val="0"/>
      <w:marTop w:val="0"/>
      <w:marBottom w:val="0"/>
      <w:divBdr>
        <w:top w:val="none" w:sz="0" w:space="0" w:color="auto"/>
        <w:left w:val="none" w:sz="0" w:space="0" w:color="auto"/>
        <w:bottom w:val="none" w:sz="0" w:space="0" w:color="auto"/>
        <w:right w:val="none" w:sz="0" w:space="0" w:color="auto"/>
      </w:divBdr>
    </w:div>
    <w:div w:id="1653564464">
      <w:bodyDiv w:val="1"/>
      <w:marLeft w:val="0"/>
      <w:marRight w:val="0"/>
      <w:marTop w:val="0"/>
      <w:marBottom w:val="0"/>
      <w:divBdr>
        <w:top w:val="none" w:sz="0" w:space="0" w:color="auto"/>
        <w:left w:val="none" w:sz="0" w:space="0" w:color="auto"/>
        <w:bottom w:val="none" w:sz="0" w:space="0" w:color="auto"/>
        <w:right w:val="none" w:sz="0" w:space="0" w:color="auto"/>
      </w:divBdr>
    </w:div>
    <w:div w:id="1704280147">
      <w:bodyDiv w:val="1"/>
      <w:marLeft w:val="0"/>
      <w:marRight w:val="0"/>
      <w:marTop w:val="0"/>
      <w:marBottom w:val="0"/>
      <w:divBdr>
        <w:top w:val="none" w:sz="0" w:space="0" w:color="auto"/>
        <w:left w:val="none" w:sz="0" w:space="0" w:color="auto"/>
        <w:bottom w:val="none" w:sz="0" w:space="0" w:color="auto"/>
        <w:right w:val="none" w:sz="0" w:space="0" w:color="auto"/>
      </w:divBdr>
    </w:div>
    <w:div w:id="1705861426">
      <w:bodyDiv w:val="1"/>
      <w:marLeft w:val="0"/>
      <w:marRight w:val="0"/>
      <w:marTop w:val="0"/>
      <w:marBottom w:val="0"/>
      <w:divBdr>
        <w:top w:val="none" w:sz="0" w:space="0" w:color="auto"/>
        <w:left w:val="none" w:sz="0" w:space="0" w:color="auto"/>
        <w:bottom w:val="none" w:sz="0" w:space="0" w:color="auto"/>
        <w:right w:val="none" w:sz="0" w:space="0" w:color="auto"/>
      </w:divBdr>
    </w:div>
    <w:div w:id="1717048265">
      <w:bodyDiv w:val="1"/>
      <w:marLeft w:val="0"/>
      <w:marRight w:val="0"/>
      <w:marTop w:val="0"/>
      <w:marBottom w:val="0"/>
      <w:divBdr>
        <w:top w:val="none" w:sz="0" w:space="0" w:color="auto"/>
        <w:left w:val="none" w:sz="0" w:space="0" w:color="auto"/>
        <w:bottom w:val="none" w:sz="0" w:space="0" w:color="auto"/>
        <w:right w:val="none" w:sz="0" w:space="0" w:color="auto"/>
      </w:divBdr>
    </w:div>
    <w:div w:id="1728139759">
      <w:bodyDiv w:val="1"/>
      <w:marLeft w:val="0"/>
      <w:marRight w:val="0"/>
      <w:marTop w:val="0"/>
      <w:marBottom w:val="0"/>
      <w:divBdr>
        <w:top w:val="none" w:sz="0" w:space="0" w:color="auto"/>
        <w:left w:val="none" w:sz="0" w:space="0" w:color="auto"/>
        <w:bottom w:val="none" w:sz="0" w:space="0" w:color="auto"/>
        <w:right w:val="none" w:sz="0" w:space="0" w:color="auto"/>
      </w:divBdr>
    </w:div>
    <w:div w:id="1764373859">
      <w:bodyDiv w:val="1"/>
      <w:marLeft w:val="0"/>
      <w:marRight w:val="0"/>
      <w:marTop w:val="0"/>
      <w:marBottom w:val="0"/>
      <w:divBdr>
        <w:top w:val="none" w:sz="0" w:space="0" w:color="auto"/>
        <w:left w:val="none" w:sz="0" w:space="0" w:color="auto"/>
        <w:bottom w:val="none" w:sz="0" w:space="0" w:color="auto"/>
        <w:right w:val="none" w:sz="0" w:space="0" w:color="auto"/>
      </w:divBdr>
    </w:div>
    <w:div w:id="1767191870">
      <w:bodyDiv w:val="1"/>
      <w:marLeft w:val="0"/>
      <w:marRight w:val="0"/>
      <w:marTop w:val="0"/>
      <w:marBottom w:val="0"/>
      <w:divBdr>
        <w:top w:val="none" w:sz="0" w:space="0" w:color="auto"/>
        <w:left w:val="none" w:sz="0" w:space="0" w:color="auto"/>
        <w:bottom w:val="none" w:sz="0" w:space="0" w:color="auto"/>
        <w:right w:val="none" w:sz="0" w:space="0" w:color="auto"/>
      </w:divBdr>
    </w:div>
    <w:div w:id="1837257732">
      <w:bodyDiv w:val="1"/>
      <w:marLeft w:val="0"/>
      <w:marRight w:val="0"/>
      <w:marTop w:val="0"/>
      <w:marBottom w:val="0"/>
      <w:divBdr>
        <w:top w:val="none" w:sz="0" w:space="0" w:color="auto"/>
        <w:left w:val="none" w:sz="0" w:space="0" w:color="auto"/>
        <w:bottom w:val="none" w:sz="0" w:space="0" w:color="auto"/>
        <w:right w:val="none" w:sz="0" w:space="0" w:color="auto"/>
      </w:divBdr>
    </w:div>
    <w:div w:id="1868248647">
      <w:bodyDiv w:val="1"/>
      <w:marLeft w:val="0"/>
      <w:marRight w:val="0"/>
      <w:marTop w:val="0"/>
      <w:marBottom w:val="0"/>
      <w:divBdr>
        <w:top w:val="none" w:sz="0" w:space="0" w:color="auto"/>
        <w:left w:val="none" w:sz="0" w:space="0" w:color="auto"/>
        <w:bottom w:val="none" w:sz="0" w:space="0" w:color="auto"/>
        <w:right w:val="none" w:sz="0" w:space="0" w:color="auto"/>
      </w:divBdr>
    </w:div>
    <w:div w:id="1885561114">
      <w:bodyDiv w:val="1"/>
      <w:marLeft w:val="0"/>
      <w:marRight w:val="0"/>
      <w:marTop w:val="0"/>
      <w:marBottom w:val="0"/>
      <w:divBdr>
        <w:top w:val="none" w:sz="0" w:space="0" w:color="auto"/>
        <w:left w:val="none" w:sz="0" w:space="0" w:color="auto"/>
        <w:bottom w:val="none" w:sz="0" w:space="0" w:color="auto"/>
        <w:right w:val="none" w:sz="0" w:space="0" w:color="auto"/>
      </w:divBdr>
    </w:div>
    <w:div w:id="1886986858">
      <w:bodyDiv w:val="1"/>
      <w:marLeft w:val="0"/>
      <w:marRight w:val="0"/>
      <w:marTop w:val="0"/>
      <w:marBottom w:val="0"/>
      <w:divBdr>
        <w:top w:val="none" w:sz="0" w:space="0" w:color="auto"/>
        <w:left w:val="none" w:sz="0" w:space="0" w:color="auto"/>
        <w:bottom w:val="none" w:sz="0" w:space="0" w:color="auto"/>
        <w:right w:val="none" w:sz="0" w:space="0" w:color="auto"/>
      </w:divBdr>
    </w:div>
    <w:div w:id="1890724290">
      <w:bodyDiv w:val="1"/>
      <w:marLeft w:val="0"/>
      <w:marRight w:val="0"/>
      <w:marTop w:val="0"/>
      <w:marBottom w:val="0"/>
      <w:divBdr>
        <w:top w:val="none" w:sz="0" w:space="0" w:color="auto"/>
        <w:left w:val="none" w:sz="0" w:space="0" w:color="auto"/>
        <w:bottom w:val="none" w:sz="0" w:space="0" w:color="auto"/>
        <w:right w:val="none" w:sz="0" w:space="0" w:color="auto"/>
      </w:divBdr>
    </w:div>
    <w:div w:id="1893080065">
      <w:bodyDiv w:val="1"/>
      <w:marLeft w:val="0"/>
      <w:marRight w:val="0"/>
      <w:marTop w:val="0"/>
      <w:marBottom w:val="0"/>
      <w:divBdr>
        <w:top w:val="none" w:sz="0" w:space="0" w:color="auto"/>
        <w:left w:val="none" w:sz="0" w:space="0" w:color="auto"/>
        <w:bottom w:val="none" w:sz="0" w:space="0" w:color="auto"/>
        <w:right w:val="none" w:sz="0" w:space="0" w:color="auto"/>
      </w:divBdr>
    </w:div>
    <w:div w:id="1923103631">
      <w:bodyDiv w:val="1"/>
      <w:marLeft w:val="0"/>
      <w:marRight w:val="0"/>
      <w:marTop w:val="0"/>
      <w:marBottom w:val="0"/>
      <w:divBdr>
        <w:top w:val="none" w:sz="0" w:space="0" w:color="auto"/>
        <w:left w:val="none" w:sz="0" w:space="0" w:color="auto"/>
        <w:bottom w:val="none" w:sz="0" w:space="0" w:color="auto"/>
        <w:right w:val="none" w:sz="0" w:space="0" w:color="auto"/>
      </w:divBdr>
    </w:div>
    <w:div w:id="1928728124">
      <w:bodyDiv w:val="1"/>
      <w:marLeft w:val="0"/>
      <w:marRight w:val="0"/>
      <w:marTop w:val="0"/>
      <w:marBottom w:val="0"/>
      <w:divBdr>
        <w:top w:val="none" w:sz="0" w:space="0" w:color="auto"/>
        <w:left w:val="none" w:sz="0" w:space="0" w:color="auto"/>
        <w:bottom w:val="none" w:sz="0" w:space="0" w:color="auto"/>
        <w:right w:val="none" w:sz="0" w:space="0" w:color="auto"/>
      </w:divBdr>
    </w:div>
    <w:div w:id="1929850543">
      <w:bodyDiv w:val="1"/>
      <w:marLeft w:val="0"/>
      <w:marRight w:val="0"/>
      <w:marTop w:val="0"/>
      <w:marBottom w:val="0"/>
      <w:divBdr>
        <w:top w:val="none" w:sz="0" w:space="0" w:color="auto"/>
        <w:left w:val="none" w:sz="0" w:space="0" w:color="auto"/>
        <w:bottom w:val="none" w:sz="0" w:space="0" w:color="auto"/>
        <w:right w:val="none" w:sz="0" w:space="0" w:color="auto"/>
      </w:divBdr>
    </w:div>
    <w:div w:id="1938710574">
      <w:bodyDiv w:val="1"/>
      <w:marLeft w:val="0"/>
      <w:marRight w:val="0"/>
      <w:marTop w:val="0"/>
      <w:marBottom w:val="0"/>
      <w:divBdr>
        <w:top w:val="none" w:sz="0" w:space="0" w:color="auto"/>
        <w:left w:val="none" w:sz="0" w:space="0" w:color="auto"/>
        <w:bottom w:val="none" w:sz="0" w:space="0" w:color="auto"/>
        <w:right w:val="none" w:sz="0" w:space="0" w:color="auto"/>
      </w:divBdr>
    </w:div>
    <w:div w:id="1941722393">
      <w:bodyDiv w:val="1"/>
      <w:marLeft w:val="0"/>
      <w:marRight w:val="0"/>
      <w:marTop w:val="0"/>
      <w:marBottom w:val="0"/>
      <w:divBdr>
        <w:top w:val="none" w:sz="0" w:space="0" w:color="auto"/>
        <w:left w:val="none" w:sz="0" w:space="0" w:color="auto"/>
        <w:bottom w:val="none" w:sz="0" w:space="0" w:color="auto"/>
        <w:right w:val="none" w:sz="0" w:space="0" w:color="auto"/>
      </w:divBdr>
    </w:div>
    <w:div w:id="2025546035">
      <w:bodyDiv w:val="1"/>
      <w:marLeft w:val="0"/>
      <w:marRight w:val="0"/>
      <w:marTop w:val="0"/>
      <w:marBottom w:val="0"/>
      <w:divBdr>
        <w:top w:val="none" w:sz="0" w:space="0" w:color="auto"/>
        <w:left w:val="none" w:sz="0" w:space="0" w:color="auto"/>
        <w:bottom w:val="none" w:sz="0" w:space="0" w:color="auto"/>
        <w:right w:val="none" w:sz="0" w:space="0" w:color="auto"/>
      </w:divBdr>
    </w:div>
    <w:div w:id="2071493970">
      <w:bodyDiv w:val="1"/>
      <w:marLeft w:val="0"/>
      <w:marRight w:val="0"/>
      <w:marTop w:val="0"/>
      <w:marBottom w:val="0"/>
      <w:divBdr>
        <w:top w:val="none" w:sz="0" w:space="0" w:color="auto"/>
        <w:left w:val="none" w:sz="0" w:space="0" w:color="auto"/>
        <w:bottom w:val="none" w:sz="0" w:space="0" w:color="auto"/>
        <w:right w:val="none" w:sz="0" w:space="0" w:color="auto"/>
      </w:divBdr>
    </w:div>
    <w:div w:id="2072382442">
      <w:bodyDiv w:val="1"/>
      <w:marLeft w:val="0"/>
      <w:marRight w:val="0"/>
      <w:marTop w:val="0"/>
      <w:marBottom w:val="0"/>
      <w:divBdr>
        <w:top w:val="none" w:sz="0" w:space="0" w:color="auto"/>
        <w:left w:val="none" w:sz="0" w:space="0" w:color="auto"/>
        <w:bottom w:val="none" w:sz="0" w:space="0" w:color="auto"/>
        <w:right w:val="none" w:sz="0" w:space="0" w:color="auto"/>
      </w:divBdr>
    </w:div>
    <w:div w:id="2077780115">
      <w:bodyDiv w:val="1"/>
      <w:marLeft w:val="0"/>
      <w:marRight w:val="0"/>
      <w:marTop w:val="0"/>
      <w:marBottom w:val="0"/>
      <w:divBdr>
        <w:top w:val="none" w:sz="0" w:space="0" w:color="auto"/>
        <w:left w:val="none" w:sz="0" w:space="0" w:color="auto"/>
        <w:bottom w:val="none" w:sz="0" w:space="0" w:color="auto"/>
        <w:right w:val="none" w:sz="0" w:space="0" w:color="auto"/>
      </w:divBdr>
    </w:div>
    <w:div w:id="2080902341">
      <w:bodyDiv w:val="1"/>
      <w:marLeft w:val="0"/>
      <w:marRight w:val="0"/>
      <w:marTop w:val="0"/>
      <w:marBottom w:val="0"/>
      <w:divBdr>
        <w:top w:val="none" w:sz="0" w:space="0" w:color="auto"/>
        <w:left w:val="none" w:sz="0" w:space="0" w:color="auto"/>
        <w:bottom w:val="none" w:sz="0" w:space="0" w:color="auto"/>
        <w:right w:val="none" w:sz="0" w:space="0" w:color="auto"/>
      </w:divBdr>
    </w:div>
    <w:div w:id="2080979803">
      <w:bodyDiv w:val="1"/>
      <w:marLeft w:val="0"/>
      <w:marRight w:val="0"/>
      <w:marTop w:val="0"/>
      <w:marBottom w:val="0"/>
      <w:divBdr>
        <w:top w:val="none" w:sz="0" w:space="0" w:color="auto"/>
        <w:left w:val="none" w:sz="0" w:space="0" w:color="auto"/>
        <w:bottom w:val="none" w:sz="0" w:space="0" w:color="auto"/>
        <w:right w:val="none" w:sz="0" w:space="0" w:color="auto"/>
      </w:divBdr>
    </w:div>
    <w:div w:id="2099784461">
      <w:bodyDiv w:val="1"/>
      <w:marLeft w:val="0"/>
      <w:marRight w:val="0"/>
      <w:marTop w:val="0"/>
      <w:marBottom w:val="0"/>
      <w:divBdr>
        <w:top w:val="none" w:sz="0" w:space="0" w:color="auto"/>
        <w:left w:val="none" w:sz="0" w:space="0" w:color="auto"/>
        <w:bottom w:val="none" w:sz="0" w:space="0" w:color="auto"/>
        <w:right w:val="none" w:sz="0" w:space="0" w:color="auto"/>
      </w:divBdr>
    </w:div>
    <w:div w:id="2118600891">
      <w:bodyDiv w:val="1"/>
      <w:marLeft w:val="0"/>
      <w:marRight w:val="0"/>
      <w:marTop w:val="0"/>
      <w:marBottom w:val="0"/>
      <w:divBdr>
        <w:top w:val="none" w:sz="0" w:space="0" w:color="auto"/>
        <w:left w:val="none" w:sz="0" w:space="0" w:color="auto"/>
        <w:bottom w:val="none" w:sz="0" w:space="0" w:color="auto"/>
        <w:right w:val="none" w:sz="0" w:space="0" w:color="auto"/>
      </w:divBdr>
    </w:div>
    <w:div w:id="21342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www.luistascon.com"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luistascon.com"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analitica.com/actualidad/actualidad-nacional/chavez-no-renunciare-aunque-logren-90-de-votos-en-el-referendum/" TargetMode="External"/><Relationship Id="rId13" Type="http://schemas.openxmlformats.org/officeDocument/2006/relationships/hyperlink" Target="http://www.eluniversal.com/2003/08/14/pol_art_14104AA.shtml" TargetMode="External"/><Relationship Id="rId18" Type="http://schemas.openxmlformats.org/officeDocument/2006/relationships/hyperlink" Target="https://www.cartercenter.org/documents/2021.pdf" TargetMode="External"/><Relationship Id="rId26" Type="http://schemas.openxmlformats.org/officeDocument/2006/relationships/hyperlink" Target="https://www.hrw.org/sites/default/files/reports/venezuela0908spweb_0.pdf" TargetMode="External"/><Relationship Id="rId3" Type="http://schemas.openxmlformats.org/officeDocument/2006/relationships/hyperlink" Target="http://www.corteidh.or.cr/docs/asuntos/sanmiguelsosa_06_02_17.pdf" TargetMode="External"/><Relationship Id="rId21" Type="http://schemas.openxmlformats.org/officeDocument/2006/relationships/hyperlink" Target="http://www.cne.gob.ve/web/gaceta_electoral/gaceta_electoral_detallado.php?tg=1&amp;num_gac=210" TargetMode="External"/><Relationship Id="rId34" Type="http://schemas.openxmlformats.org/officeDocument/2006/relationships/hyperlink" Target="http://www.ohchr.org/SP/ProfessionalInterest/Pages/IndependenceJudiciary.aspx" TargetMode="External"/><Relationship Id="rId7" Type="http://schemas.openxmlformats.org/officeDocument/2006/relationships/hyperlink" Target="http://www.sumate.org/proyectos.html" TargetMode="External"/><Relationship Id="rId12" Type="http://schemas.openxmlformats.org/officeDocument/2006/relationships/hyperlink" Target="http://elpais.com/diario/2003/12/03/internacional/1070406013_850215.html" TargetMode="External"/><Relationship Id="rId17" Type="http://schemas.openxmlformats.org/officeDocument/2006/relationships/hyperlink" Target="https://ciudadaniaactivavzla.wordpress.com/2015/03/26/documentallalistatascon/" TargetMode="External"/><Relationship Id="rId25" Type="http://schemas.openxmlformats.org/officeDocument/2006/relationships/hyperlink" Target="http://www.eluniversal.com/2004/03/21/pol_art_21108A.shtml" TargetMode="External"/><Relationship Id="rId33" Type="http://schemas.openxmlformats.org/officeDocument/2006/relationships/hyperlink" Target="http://www1.umn.edu/humanrts/hrcommittee/Sgencom25.html" TargetMode="External"/><Relationship Id="rId38" Type="http://schemas.openxmlformats.org/officeDocument/2006/relationships/hyperlink" Target="https://vimeopro.com/corteidh/caso-san-miguel-sosa-y-otros-vs-venezuela" TargetMode="External"/><Relationship Id="rId2" Type="http://schemas.openxmlformats.org/officeDocument/2006/relationships/hyperlink" Target="http://www.corteidh.or.cr/docs/asuntos/sanmiguel_sosa_20_12_16.pdf" TargetMode="External"/><Relationship Id="rId16" Type="http://schemas.openxmlformats.org/officeDocument/2006/relationships/hyperlink" Target="https://www.youtube.com/watch?v=2LuOQjhg8BU" TargetMode="External"/><Relationship Id="rId20" Type="http://schemas.openxmlformats.org/officeDocument/2006/relationships/hyperlink" Target="http://www.cne.gob.ve/web/gaceta_electoral/gaceta_electoral_detallado.php?tg=1&amp;num_gac=202" TargetMode="External"/><Relationship Id="rId29" Type="http://schemas.openxmlformats.org/officeDocument/2006/relationships/hyperlink" Target="http://www.eluniversal.com/2008/02/23/eco_art_despidosilegalesim_726634.shtml" TargetMode="External"/><Relationship Id="rId1" Type="http://schemas.openxmlformats.org/officeDocument/2006/relationships/hyperlink" Target="http://www.oas.org/es/cidh/docs/anual/2013/docs-es/44.VEAD212-06ES.pdf" TargetMode="External"/><Relationship Id="rId6" Type="http://schemas.openxmlformats.org/officeDocument/2006/relationships/hyperlink" Target="http://www.cne.gob.ve/web/normativa_electoral/constitucion/titulo3.php" TargetMode="External"/><Relationship Id="rId11" Type="http://schemas.openxmlformats.org/officeDocument/2006/relationships/hyperlink" Target="https://sumate.org/Elecciones/2004Revocatorio/200409_informe_avance_anexos_referendo_revocatorio_presidencial.pdf" TargetMode="External"/><Relationship Id="rId24" Type="http://schemas.openxmlformats.org/officeDocument/2006/relationships/hyperlink" Target="https://www.sumate.org/documentos/ApartheidSigloXXI/Apartheid%20del%20Siglo%20XXI%20Capitulo5.pdf" TargetMode="External"/><Relationship Id="rId32" Type="http://schemas.openxmlformats.org/officeDocument/2006/relationships/hyperlink" Target="http://www.cidh.org/countryrep/Venezuela2009sp/VE09CAPIISP.htm" TargetMode="External"/><Relationship Id="rId37" Type="http://schemas.openxmlformats.org/officeDocument/2006/relationships/hyperlink" Target="http://www.ohchr.org/SP/ProfessionalInterest/Pages/IndependenceJudiciary.aspx" TargetMode="External"/><Relationship Id="rId5" Type="http://schemas.openxmlformats.org/officeDocument/2006/relationships/hyperlink" Target="http://www.corteidh.or.cr/docs/asuntos/sanmiguelsosa_18_05_17.pdf" TargetMode="External"/><Relationship Id="rId15" Type="http://schemas.openxmlformats.org/officeDocument/2006/relationships/hyperlink" Target="http://www.cidh.oas.org/annualrep/2004sp/cap.5d.htm" TargetMode="External"/><Relationship Id="rId23" Type="http://schemas.openxmlformats.org/officeDocument/2006/relationships/hyperlink" Target="http://www.oas.org/es/centro_noticias/comunicado_prensa.asp?sCodigo=C138/04" TargetMode="External"/><Relationship Id="rId28" Type="http://schemas.openxmlformats.org/officeDocument/2006/relationships/hyperlink" Target="http://www.eluniversal.com/2004/03/18/imp_eco_art_18166A.shtml" TargetMode="External"/><Relationship Id="rId36" Type="http://schemas.openxmlformats.org/officeDocument/2006/relationships/hyperlink" Target="http://www.bjdh.org.mx/interamericano/busqueda" TargetMode="External"/><Relationship Id="rId10" Type="http://schemas.openxmlformats.org/officeDocument/2006/relationships/hyperlink" Target="http://www.cne.gob.ve/web/gaceta_electoral/gaceta_electoral_detallado.php?tg=1&amp;num_gac=168" TargetMode="External"/><Relationship Id="rId19" Type="http://schemas.openxmlformats.org/officeDocument/2006/relationships/hyperlink" Target="http://www.eluniversal.com/2006/11/11/imp_pol_art_65474.shtml" TargetMode="External"/><Relationship Id="rId31" Type="http://schemas.openxmlformats.org/officeDocument/2006/relationships/hyperlink" Target="http://studylib.es/doc/8201013/situaci%C3%B3n-ha-sido-denunciada-en-algunos-medios" TargetMode="External"/><Relationship Id="rId4" Type="http://schemas.openxmlformats.org/officeDocument/2006/relationships/hyperlink" Target="https://vimeopro.com/corteidh/caso-san-miguel-sosa-y-otros-vs-venezuela" TargetMode="External"/><Relationship Id="rId9" Type="http://schemas.openxmlformats.org/officeDocument/2006/relationships/hyperlink" Target="http://eldia.es/venezuela/2002-11-29/2-Tribunal-Supremo-Justicia-anula-referendum-febrero.htm" TargetMode="External"/><Relationship Id="rId14" Type="http://schemas.openxmlformats.org/officeDocument/2006/relationships/hyperlink" Target="http://www.cne.gob.ve/web/sala_prensa/noticia_detallada.php?id=1629" TargetMode="External"/><Relationship Id="rId22" Type="http://schemas.openxmlformats.org/officeDocument/2006/relationships/hyperlink" Target="http://www.oas.org/es/centro_noticias/comunicado_prensa.asp?sCodigo=C003/04" TargetMode="External"/><Relationship Id="rId27" Type="http://schemas.openxmlformats.org/officeDocument/2006/relationships/hyperlink" Target="http://www.controlciudadano.org/publicaciones/informe/pdf/Paginas%2067-316%20Cap&#237;tulo%20V.pdf" TargetMode="External"/><Relationship Id="rId30" Type="http://schemas.openxmlformats.org/officeDocument/2006/relationships/hyperlink" Target="http://www.sumate.org/documentos/ApartheidSigloXXI/Apartheid%20del%20Siglo%20XXI%20Capitulo7.pdf" TargetMode="External"/><Relationship Id="rId35" Type="http://schemas.openxmlformats.org/officeDocument/2006/relationships/hyperlink" Target="https://vimeopro.com/corteidh/caso-san-miguel-sosa-y-otros-vs-venezu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4360-E559-4B78-A4AF-A6262CBC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109</Pages>
  <Words>47003</Words>
  <Characters>258522</Characters>
  <Application>Microsoft Office Word</Application>
  <DocSecurity>0</DocSecurity>
  <Lines>2154</Lines>
  <Paragraphs>609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304916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Ana Rita Ramirez</cp:lastModifiedBy>
  <cp:revision>5</cp:revision>
  <cp:lastPrinted>2018-02-08T15:55:00Z</cp:lastPrinted>
  <dcterms:created xsi:type="dcterms:W3CDTF">2018-05-30T18:25:00Z</dcterms:created>
  <dcterms:modified xsi:type="dcterms:W3CDTF">2018-05-30T20:09:00Z</dcterms:modified>
</cp:coreProperties>
</file>